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0BA3900" wp14:editId="73298ED6">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9409A5" w:rsidP="002A4EF8">
      <w:pPr>
        <w:rPr>
          <w:b/>
          <w:sz w:val="36"/>
          <w:szCs w:val="36"/>
        </w:rPr>
      </w:pPr>
      <w:r>
        <w:rPr>
          <w:b/>
          <w:sz w:val="36"/>
          <w:szCs w:val="36"/>
        </w:rPr>
        <w:t>6</w:t>
      </w:r>
      <w:r w:rsidR="002438D9">
        <w:rPr>
          <w:b/>
          <w:sz w:val="36"/>
          <w:szCs w:val="36"/>
        </w:rPr>
        <w:t xml:space="preserve"> – </w:t>
      </w:r>
      <w:r>
        <w:rPr>
          <w:b/>
          <w:sz w:val="36"/>
          <w:szCs w:val="36"/>
        </w:rPr>
        <w:t>12</w:t>
      </w:r>
      <w:r w:rsidR="00356E72">
        <w:rPr>
          <w:b/>
          <w:sz w:val="36"/>
          <w:szCs w:val="36"/>
        </w:rPr>
        <w:t xml:space="preserve"> </w:t>
      </w:r>
      <w:r>
        <w:rPr>
          <w:b/>
          <w:sz w:val="36"/>
          <w:szCs w:val="36"/>
        </w:rPr>
        <w:t>Dec</w:t>
      </w:r>
      <w:r w:rsidR="00505B5E">
        <w:rPr>
          <w:b/>
          <w:sz w:val="36"/>
          <w:szCs w:val="36"/>
        </w:rPr>
        <w:t>ember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840B14" w:rsidRPr="00840B14">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9409A5">
        <w:rPr>
          <w:bCs/>
          <w:lang w:eastAsia="en-AU"/>
        </w:rPr>
        <w:t>6</w:t>
      </w:r>
      <w:r w:rsidR="000E55C7">
        <w:rPr>
          <w:bCs/>
          <w:lang w:eastAsia="en-AU"/>
        </w:rPr>
        <w:t xml:space="preserve"> to </w:t>
      </w:r>
      <w:r w:rsidR="009409A5">
        <w:rPr>
          <w:bCs/>
          <w:lang w:eastAsia="en-AU"/>
        </w:rPr>
        <w:t>12</w:t>
      </w:r>
      <w:r w:rsidR="00356E72">
        <w:rPr>
          <w:bCs/>
          <w:lang w:eastAsia="en-AU"/>
        </w:rPr>
        <w:t xml:space="preserve"> </w:t>
      </w:r>
      <w:r w:rsidR="009409A5">
        <w:rPr>
          <w:bCs/>
          <w:lang w:eastAsia="en-AU"/>
        </w:rPr>
        <w:t>Dece</w:t>
      </w:r>
      <w:r w:rsidR="00505B5E">
        <w:rPr>
          <w:bCs/>
          <w:lang w:eastAsia="en-AU"/>
        </w:rPr>
        <w:t>mber</w:t>
      </w:r>
      <w:r w:rsidR="00760FD8" w:rsidRPr="00215E19">
        <w:rPr>
          <w:bCs/>
          <w:lang w:eastAsia="en-AU"/>
        </w:rPr>
        <w:t xml:space="preserve"> </w:t>
      </w:r>
      <w:r w:rsidR="00AF7058" w:rsidRPr="00215E19">
        <w:rPr>
          <w:bCs/>
          <w:lang w:eastAsia="en-AU"/>
        </w:rPr>
        <w:t>2015.</w:t>
      </w:r>
      <w:r w:rsidR="0010743A">
        <w:rPr>
          <w:bCs/>
          <w:lang w:eastAsia="en-AU"/>
        </w:rPr>
        <w:t xml:space="preserve"> </w:t>
      </w:r>
      <w:r w:rsidR="00E95CA7" w:rsidRPr="00E95CA7">
        <w:rPr>
          <w:bCs/>
          <w:lang w:eastAsia="en-AU"/>
        </w:rPr>
        <w:t xml:space="preserve">There were </w:t>
      </w:r>
      <w:r w:rsidR="00CA394C">
        <w:rPr>
          <w:bCs/>
          <w:lang w:eastAsia="en-AU"/>
        </w:rPr>
        <w:t>two</w:t>
      </w:r>
      <w:r w:rsidR="00E95CA7" w:rsidRPr="00E95CA7">
        <w:rPr>
          <w:bCs/>
          <w:lang w:eastAsia="en-AU"/>
        </w:rPr>
        <w:t xml:space="preserve"> occasions where the spot price in </w:t>
      </w:r>
      <w:r w:rsidR="00EC0674">
        <w:rPr>
          <w:bCs/>
          <w:lang w:eastAsia="en-AU"/>
        </w:rPr>
        <w:t>South Australia</w:t>
      </w:r>
      <w:r w:rsidR="00E95CA7" w:rsidRPr="00E95CA7">
        <w:rPr>
          <w:bCs/>
          <w:lang w:eastAsia="en-AU"/>
        </w:rPr>
        <w:t xml:space="preserve"> was greater than three times the </w:t>
      </w:r>
      <w:r w:rsidR="00EC0674">
        <w:rPr>
          <w:bCs/>
          <w:lang w:eastAsia="en-AU"/>
        </w:rPr>
        <w:t>South Australia weekly average price of $54</w:t>
      </w:r>
      <w:r w:rsidR="00E95CA7" w:rsidRPr="00E95CA7">
        <w:rPr>
          <w:bCs/>
          <w:lang w:eastAsia="en-AU"/>
        </w:rPr>
        <w:t>/MWh and above $250/MWh</w:t>
      </w:r>
      <w:r w:rsidR="00CA394C">
        <w:rPr>
          <w:bCs/>
          <w:lang w:eastAsia="en-AU"/>
        </w:rPr>
        <w:t>.</w:t>
      </w:r>
      <w:r w:rsidR="00355D2F">
        <w:rPr>
          <w:bCs/>
          <w:lang w:eastAsia="en-AU"/>
        </w:rPr>
        <w:t xml:space="preserve"> </w:t>
      </w:r>
    </w:p>
    <w:p w:rsidR="00BF4639" w:rsidRDefault="00275002" w:rsidP="00405B42">
      <w:pPr>
        <w:pStyle w:val="Caption"/>
      </w:pPr>
      <w:bookmarkStart w:id="6" w:name="_Ref410382491"/>
      <w:bookmarkStart w:id="7" w:name="OLE_LINK28"/>
      <w:bookmarkStart w:id="8" w:name="OLE_LINK29"/>
      <w:r w:rsidRPr="000E2946">
        <w:t xml:space="preserve">Figure </w:t>
      </w:r>
      <w:fldSimple w:instr=" SEQ Figure \* ARABIC ">
        <w:r w:rsidR="00840B14">
          <w:rPr>
            <w:noProof/>
          </w:rPr>
          <w:t>1</w:t>
        </w:r>
      </w:fldSimple>
      <w:bookmarkEnd w:id="6"/>
      <w:r w:rsidRPr="000E2946">
        <w:t>: Spot price by region ($/MWh)</w:t>
      </w:r>
    </w:p>
    <w:p w:rsidR="00275002" w:rsidRPr="00215E19" w:rsidRDefault="00DD1263" w:rsidP="00215E19">
      <w:pPr>
        <w:pStyle w:val="Caption"/>
        <w:rPr>
          <w:bCs w:val="0"/>
          <w:lang w:eastAsia="en-AU"/>
        </w:rPr>
      </w:pPr>
      <w:r w:rsidRPr="00DD1263">
        <w:rPr>
          <w:noProof/>
          <w:lang w:eastAsia="en-AU"/>
        </w:rPr>
        <w:drawing>
          <wp:inline distT="0" distB="0" distL="0" distR="0" wp14:anchorId="1C599FC8" wp14:editId="35536EAF">
            <wp:extent cx="5731510" cy="2860244"/>
            <wp:effectExtent l="0" t="0" r="2540" b="0"/>
            <wp:docPr id="8" name="Picture 8"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15E19" w:rsidRDefault="00215E19">
      <w:pPr>
        <w:spacing w:line="240" w:lineRule="auto"/>
      </w:pPr>
      <w:r>
        <w:br w:type="page"/>
      </w:r>
    </w:p>
    <w:p w:rsidR="00275002" w:rsidRPr="00F167CF" w:rsidRDefault="00275002" w:rsidP="00F167CF">
      <w:pPr>
        <w:pStyle w:val="AERbodytext"/>
        <w:spacing w:after="120"/>
      </w:pPr>
      <w:r w:rsidRPr="00F167CF">
        <w:lastRenderedPageBreak/>
        <w:fldChar w:fldCharType="begin"/>
      </w:r>
      <w:r w:rsidRPr="00F167CF">
        <w:instrText xml:space="preserve"> REF _Ref410382517 \h </w:instrText>
      </w:r>
      <w:r w:rsidR="009A3D22" w:rsidRPr="00F167CF">
        <w:instrText xml:space="preserve"> \* MERGEFORMAT </w:instrText>
      </w:r>
      <w:r w:rsidRPr="00F167CF">
        <w:fldChar w:fldCharType="separate"/>
      </w:r>
      <w:r w:rsidR="00840B14">
        <w:t>Figure 2</w:t>
      </w:r>
      <w:r w:rsidRPr="00F167CF">
        <w:fldChar w:fldCharType="end"/>
      </w:r>
      <w:r w:rsidRPr="00F167CF">
        <w:t xml:space="preserve"> shows the volume weighted average (VWA) prices for the current week (with prices shown in </w:t>
      </w:r>
      <w:r w:rsidRPr="00F167CF">
        <w:fldChar w:fldCharType="begin"/>
      </w:r>
      <w:r w:rsidRPr="00F167CF">
        <w:instrText xml:space="preserve"> REF _Ref410382587 \h </w:instrText>
      </w:r>
      <w:r w:rsidR="009A3D22" w:rsidRPr="00F167CF">
        <w:instrText xml:space="preserve"> \* MERGEFORMAT </w:instrText>
      </w:r>
      <w:r w:rsidRPr="00F167CF">
        <w:fldChar w:fldCharType="separate"/>
      </w:r>
      <w:r w:rsidR="00840B14">
        <w:t>Table 1</w:t>
      </w:r>
      <w:r w:rsidRPr="00F167CF">
        <w:fldChar w:fldCharType="end"/>
      </w:r>
      <w:r w:rsidRPr="00F167CF">
        <w:t>) and the preceding 12 weeks, as well as the VWA price over the previous 3 financial years</w:t>
      </w:r>
      <w:r w:rsidR="00762D41" w:rsidRPr="00F167CF">
        <w:t>.</w:t>
      </w:r>
    </w:p>
    <w:p w:rsidR="00275002" w:rsidRDefault="00275002" w:rsidP="00F167CF">
      <w:pPr>
        <w:pStyle w:val="Caption"/>
        <w:spacing w:before="0" w:line="240" w:lineRule="auto"/>
      </w:pPr>
      <w:bookmarkStart w:id="9" w:name="_Ref410382517"/>
      <w:r>
        <w:t xml:space="preserve">Figure </w:t>
      </w:r>
      <w:fldSimple w:instr=" SEQ Figure \* ARABIC ">
        <w:r w:rsidR="00840B14">
          <w:rPr>
            <w:noProof/>
          </w:rPr>
          <w:t>2</w:t>
        </w:r>
      </w:fldSimple>
      <w:bookmarkEnd w:id="9"/>
      <w:r>
        <w:t>:</w:t>
      </w:r>
      <w:r w:rsidRPr="00037176">
        <w:t xml:space="preserve"> Volume weighted average spot price by region ($/MWh)</w:t>
      </w:r>
    </w:p>
    <w:p w:rsidR="001F22EE" w:rsidRPr="001F22EE" w:rsidRDefault="00DD1263" w:rsidP="00F167CF">
      <w:pPr>
        <w:spacing w:before="0" w:after="120" w:line="240" w:lineRule="auto"/>
      </w:pPr>
      <w:r w:rsidRPr="00DD1263">
        <w:rPr>
          <w:noProof/>
          <w:lang w:eastAsia="en-AU"/>
        </w:rPr>
        <w:drawing>
          <wp:inline distT="0" distB="0" distL="0" distR="0" wp14:anchorId="5CC9FDCC" wp14:editId="4C1A6D3A">
            <wp:extent cx="5731510" cy="2860244"/>
            <wp:effectExtent l="0" t="0" r="2540" b="0"/>
            <wp:docPr id="9" name="Picture 9"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31019A" w:rsidRDefault="00275002" w:rsidP="00F167CF">
      <w:pPr>
        <w:pStyle w:val="Caption"/>
        <w:spacing w:before="0" w:line="240" w:lineRule="auto"/>
      </w:pPr>
      <w:bookmarkStart w:id="10" w:name="_Ref410382587"/>
      <w:r>
        <w:t xml:space="preserve">Table </w:t>
      </w:r>
      <w:fldSimple w:instr=" SEQ Table \* ARABIC ">
        <w:r w:rsidR="00840B14">
          <w:rPr>
            <w:noProof/>
          </w:rPr>
          <w:t>1</w:t>
        </w:r>
      </w:fldSimple>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DD1263" w:rsidRPr="00E35AE8" w:rsidTr="00440A5B">
        <w:trPr>
          <w:trHeight w:hRule="exact" w:val="340"/>
        </w:trPr>
        <w:tc>
          <w:tcPr>
            <w:tcW w:w="1357" w:type="pct"/>
            <w:noWrap/>
            <w:vAlign w:val="center"/>
            <w:hideMark/>
          </w:tcPr>
          <w:p w:rsidR="00DD1263" w:rsidRPr="009B21F2" w:rsidRDefault="00DD1263"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DD1263" w:rsidRPr="00DD1263" w:rsidRDefault="00DD1263" w:rsidP="00440A5B">
            <w:pPr>
              <w:spacing w:before="0" w:after="0" w:line="240" w:lineRule="auto"/>
              <w:jc w:val="center"/>
              <w:rPr>
                <w:sz w:val="20"/>
                <w:szCs w:val="20"/>
              </w:rPr>
            </w:pPr>
            <w:r w:rsidRPr="00DD1263">
              <w:rPr>
                <w:sz w:val="20"/>
                <w:szCs w:val="20"/>
              </w:rPr>
              <w:t>42</w:t>
            </w:r>
          </w:p>
        </w:tc>
        <w:tc>
          <w:tcPr>
            <w:tcW w:w="729" w:type="pct"/>
            <w:noWrap/>
            <w:vAlign w:val="center"/>
          </w:tcPr>
          <w:p w:rsidR="00DD1263" w:rsidRPr="00DD1263" w:rsidRDefault="00DD1263" w:rsidP="00440A5B">
            <w:pPr>
              <w:spacing w:before="0" w:after="0" w:line="240" w:lineRule="auto"/>
              <w:jc w:val="center"/>
              <w:rPr>
                <w:sz w:val="20"/>
                <w:szCs w:val="20"/>
              </w:rPr>
            </w:pPr>
            <w:r w:rsidRPr="00DD1263">
              <w:rPr>
                <w:sz w:val="20"/>
                <w:szCs w:val="20"/>
              </w:rPr>
              <w:t>41</w:t>
            </w:r>
          </w:p>
        </w:tc>
        <w:tc>
          <w:tcPr>
            <w:tcW w:w="728" w:type="pct"/>
            <w:noWrap/>
            <w:vAlign w:val="center"/>
          </w:tcPr>
          <w:p w:rsidR="00DD1263" w:rsidRPr="00DD1263" w:rsidRDefault="00DD1263" w:rsidP="00440A5B">
            <w:pPr>
              <w:spacing w:before="0" w:after="0" w:line="240" w:lineRule="auto"/>
              <w:jc w:val="center"/>
              <w:rPr>
                <w:sz w:val="20"/>
                <w:szCs w:val="20"/>
              </w:rPr>
            </w:pPr>
            <w:r w:rsidRPr="00DD1263">
              <w:rPr>
                <w:sz w:val="20"/>
                <w:szCs w:val="20"/>
              </w:rPr>
              <w:t>45</w:t>
            </w:r>
          </w:p>
        </w:tc>
        <w:tc>
          <w:tcPr>
            <w:tcW w:w="729" w:type="pct"/>
            <w:noWrap/>
            <w:vAlign w:val="center"/>
          </w:tcPr>
          <w:p w:rsidR="00DD1263" w:rsidRPr="00DD1263" w:rsidRDefault="00DD1263" w:rsidP="00440A5B">
            <w:pPr>
              <w:spacing w:before="0" w:after="0" w:line="240" w:lineRule="auto"/>
              <w:jc w:val="center"/>
              <w:rPr>
                <w:sz w:val="20"/>
                <w:szCs w:val="20"/>
              </w:rPr>
            </w:pPr>
            <w:r w:rsidRPr="00DD1263">
              <w:rPr>
                <w:sz w:val="20"/>
                <w:szCs w:val="20"/>
              </w:rPr>
              <w:t>54</w:t>
            </w:r>
          </w:p>
        </w:tc>
        <w:tc>
          <w:tcPr>
            <w:tcW w:w="729" w:type="pct"/>
            <w:noWrap/>
            <w:vAlign w:val="center"/>
          </w:tcPr>
          <w:p w:rsidR="00DD1263" w:rsidRPr="00DD1263" w:rsidRDefault="00DD1263" w:rsidP="00440A5B">
            <w:pPr>
              <w:spacing w:before="0" w:after="0" w:line="240" w:lineRule="auto"/>
              <w:jc w:val="center"/>
              <w:rPr>
                <w:sz w:val="20"/>
                <w:szCs w:val="20"/>
              </w:rPr>
            </w:pPr>
            <w:r w:rsidRPr="00DD1263">
              <w:rPr>
                <w:sz w:val="20"/>
                <w:szCs w:val="20"/>
              </w:rPr>
              <w:t>88</w:t>
            </w:r>
          </w:p>
        </w:tc>
      </w:tr>
      <w:tr w:rsidR="00DD1263" w:rsidRPr="00E35AE8" w:rsidTr="00440A5B">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DD1263" w:rsidRPr="00B65CAC" w:rsidRDefault="00DD1263"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DD1263" w:rsidRPr="00DD1263" w:rsidRDefault="00DD1263" w:rsidP="00440A5B">
            <w:pPr>
              <w:spacing w:before="0" w:after="0" w:line="240" w:lineRule="auto"/>
              <w:jc w:val="center"/>
              <w:rPr>
                <w:szCs w:val="20"/>
              </w:rPr>
            </w:pPr>
            <w:r w:rsidRPr="00DD1263">
              <w:rPr>
                <w:szCs w:val="20"/>
              </w:rPr>
              <w:t>39</w:t>
            </w:r>
          </w:p>
        </w:tc>
        <w:tc>
          <w:tcPr>
            <w:tcW w:w="729" w:type="pct"/>
            <w:noWrap/>
            <w:vAlign w:val="center"/>
          </w:tcPr>
          <w:p w:rsidR="00DD1263" w:rsidRPr="00DD1263" w:rsidRDefault="00DD1263" w:rsidP="00440A5B">
            <w:pPr>
              <w:spacing w:before="0" w:after="0" w:line="240" w:lineRule="auto"/>
              <w:jc w:val="center"/>
              <w:rPr>
                <w:szCs w:val="20"/>
              </w:rPr>
            </w:pPr>
            <w:r w:rsidRPr="00DD1263">
              <w:rPr>
                <w:szCs w:val="20"/>
              </w:rPr>
              <w:t>37</w:t>
            </w:r>
          </w:p>
        </w:tc>
        <w:tc>
          <w:tcPr>
            <w:tcW w:w="728" w:type="pct"/>
            <w:noWrap/>
            <w:vAlign w:val="center"/>
          </w:tcPr>
          <w:p w:rsidR="00DD1263" w:rsidRPr="00DD1263" w:rsidRDefault="00DD1263" w:rsidP="00440A5B">
            <w:pPr>
              <w:spacing w:before="0" w:after="0" w:line="240" w:lineRule="auto"/>
              <w:jc w:val="center"/>
              <w:rPr>
                <w:szCs w:val="20"/>
              </w:rPr>
            </w:pPr>
            <w:r w:rsidRPr="00DD1263">
              <w:rPr>
                <w:szCs w:val="20"/>
              </w:rPr>
              <w:t>34</w:t>
            </w:r>
          </w:p>
        </w:tc>
        <w:tc>
          <w:tcPr>
            <w:tcW w:w="729" w:type="pct"/>
            <w:noWrap/>
            <w:vAlign w:val="center"/>
          </w:tcPr>
          <w:p w:rsidR="00DD1263" w:rsidRPr="00DD1263" w:rsidRDefault="00DD1263" w:rsidP="00440A5B">
            <w:pPr>
              <w:spacing w:before="0" w:after="0" w:line="240" w:lineRule="auto"/>
              <w:jc w:val="center"/>
              <w:rPr>
                <w:szCs w:val="20"/>
              </w:rPr>
            </w:pPr>
            <w:r w:rsidRPr="00DD1263">
              <w:rPr>
                <w:szCs w:val="20"/>
              </w:rPr>
              <w:t>42</w:t>
            </w:r>
          </w:p>
        </w:tc>
        <w:tc>
          <w:tcPr>
            <w:tcW w:w="729" w:type="pct"/>
            <w:noWrap/>
            <w:vAlign w:val="center"/>
          </w:tcPr>
          <w:p w:rsidR="00DD1263" w:rsidRPr="00DD1263" w:rsidRDefault="00DD1263" w:rsidP="00440A5B">
            <w:pPr>
              <w:spacing w:before="0" w:after="0" w:line="240" w:lineRule="auto"/>
              <w:jc w:val="center"/>
              <w:rPr>
                <w:szCs w:val="20"/>
              </w:rPr>
            </w:pPr>
            <w:r w:rsidRPr="00DD1263">
              <w:rPr>
                <w:szCs w:val="20"/>
              </w:rPr>
              <w:t>38</w:t>
            </w:r>
          </w:p>
        </w:tc>
      </w:tr>
      <w:tr w:rsidR="00DD1263" w:rsidRPr="00E35AE8" w:rsidTr="00440A5B">
        <w:trPr>
          <w:trHeight w:hRule="exact" w:val="340"/>
        </w:trPr>
        <w:tc>
          <w:tcPr>
            <w:tcW w:w="1357" w:type="pct"/>
            <w:noWrap/>
            <w:vAlign w:val="center"/>
            <w:hideMark/>
          </w:tcPr>
          <w:p w:rsidR="00DD1263" w:rsidRPr="00B65CAC" w:rsidRDefault="00DD1263"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DD1263" w:rsidRPr="00DD1263" w:rsidRDefault="00DD1263" w:rsidP="00440A5B">
            <w:pPr>
              <w:spacing w:before="0" w:after="0" w:line="240" w:lineRule="auto"/>
              <w:jc w:val="center"/>
              <w:rPr>
                <w:sz w:val="20"/>
                <w:szCs w:val="20"/>
              </w:rPr>
            </w:pPr>
            <w:r w:rsidRPr="00DD1263">
              <w:rPr>
                <w:sz w:val="20"/>
                <w:szCs w:val="20"/>
              </w:rPr>
              <w:t>44</w:t>
            </w:r>
          </w:p>
        </w:tc>
        <w:tc>
          <w:tcPr>
            <w:tcW w:w="729" w:type="pct"/>
            <w:noWrap/>
            <w:vAlign w:val="center"/>
          </w:tcPr>
          <w:p w:rsidR="00DD1263" w:rsidRPr="00DD1263" w:rsidRDefault="00DD1263" w:rsidP="00440A5B">
            <w:pPr>
              <w:spacing w:before="0" w:after="0" w:line="240" w:lineRule="auto"/>
              <w:jc w:val="center"/>
              <w:rPr>
                <w:sz w:val="20"/>
                <w:szCs w:val="20"/>
              </w:rPr>
            </w:pPr>
            <w:r w:rsidRPr="00DD1263">
              <w:rPr>
                <w:sz w:val="20"/>
                <w:szCs w:val="20"/>
              </w:rPr>
              <w:t>45</w:t>
            </w:r>
          </w:p>
        </w:tc>
        <w:tc>
          <w:tcPr>
            <w:tcW w:w="728" w:type="pct"/>
            <w:noWrap/>
            <w:vAlign w:val="center"/>
          </w:tcPr>
          <w:p w:rsidR="00DD1263" w:rsidRPr="00DD1263" w:rsidRDefault="00DD1263" w:rsidP="00440A5B">
            <w:pPr>
              <w:spacing w:before="0" w:after="0" w:line="240" w:lineRule="auto"/>
              <w:jc w:val="center"/>
              <w:rPr>
                <w:sz w:val="20"/>
                <w:szCs w:val="20"/>
              </w:rPr>
            </w:pPr>
            <w:r w:rsidRPr="00DD1263">
              <w:rPr>
                <w:sz w:val="20"/>
                <w:szCs w:val="20"/>
              </w:rPr>
              <w:t>39</w:t>
            </w:r>
          </w:p>
        </w:tc>
        <w:tc>
          <w:tcPr>
            <w:tcW w:w="729" w:type="pct"/>
            <w:noWrap/>
            <w:vAlign w:val="center"/>
          </w:tcPr>
          <w:p w:rsidR="00DD1263" w:rsidRPr="00DD1263" w:rsidRDefault="00DD1263" w:rsidP="00440A5B">
            <w:pPr>
              <w:spacing w:before="0" w:after="0" w:line="240" w:lineRule="auto"/>
              <w:jc w:val="center"/>
              <w:rPr>
                <w:sz w:val="20"/>
                <w:szCs w:val="20"/>
              </w:rPr>
            </w:pPr>
            <w:r w:rsidRPr="00DD1263">
              <w:rPr>
                <w:sz w:val="20"/>
                <w:szCs w:val="20"/>
              </w:rPr>
              <w:t>60</w:t>
            </w:r>
          </w:p>
        </w:tc>
        <w:tc>
          <w:tcPr>
            <w:tcW w:w="729" w:type="pct"/>
            <w:noWrap/>
            <w:vAlign w:val="center"/>
          </w:tcPr>
          <w:p w:rsidR="00DD1263" w:rsidRPr="00DD1263" w:rsidRDefault="00DD1263" w:rsidP="00440A5B">
            <w:pPr>
              <w:spacing w:before="0" w:after="0" w:line="240" w:lineRule="auto"/>
              <w:jc w:val="center"/>
              <w:rPr>
                <w:sz w:val="20"/>
                <w:szCs w:val="20"/>
              </w:rPr>
            </w:pPr>
            <w:r w:rsidRPr="00DD1263">
              <w:rPr>
                <w:sz w:val="20"/>
                <w:szCs w:val="20"/>
              </w:rPr>
              <w:t>53</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 xml:space="preserve">ere </w:t>
      </w:r>
      <w:r w:rsidR="00231D30">
        <w:rPr>
          <w:bCs/>
          <w:lang w:eastAsia="en-AU"/>
        </w:rPr>
        <w:t>148</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840B14" w:rsidRPr="00840B14">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lastRenderedPageBreak/>
        <w:t xml:space="preserve">Table </w:t>
      </w:r>
      <w:fldSimple w:instr=" SEQ Table \* ARABIC ">
        <w:r w:rsidR="00840B14">
          <w:rPr>
            <w:noProof/>
          </w:rPr>
          <w:t>2</w:t>
        </w:r>
      </w:fldSimple>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231D30" w:rsidRPr="00003169" w:rsidTr="00440A5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231D30" w:rsidRPr="00E35AE8" w:rsidRDefault="00231D30" w:rsidP="006C62B7">
            <w:pPr>
              <w:spacing w:after="0" w:line="240" w:lineRule="auto"/>
              <w:rPr>
                <w:sz w:val="20"/>
                <w:szCs w:val="20"/>
              </w:rPr>
            </w:pPr>
            <w:r w:rsidRPr="00E35AE8">
              <w:rPr>
                <w:sz w:val="20"/>
                <w:szCs w:val="20"/>
              </w:rPr>
              <w:t>% of total above forecast</w:t>
            </w:r>
          </w:p>
        </w:tc>
        <w:tc>
          <w:tcPr>
            <w:tcW w:w="1571" w:type="dxa"/>
            <w:noWrap/>
            <w:vAlign w:val="center"/>
          </w:tcPr>
          <w:p w:rsidR="00231D30" w:rsidRPr="00231D30" w:rsidRDefault="00231D30" w:rsidP="00440A5B">
            <w:pPr>
              <w:spacing w:after="0" w:line="240" w:lineRule="auto"/>
              <w:jc w:val="center"/>
              <w:rPr>
                <w:sz w:val="20"/>
              </w:rPr>
            </w:pPr>
            <w:r w:rsidRPr="00231D30">
              <w:rPr>
                <w:sz w:val="20"/>
              </w:rPr>
              <w:t>8</w:t>
            </w:r>
          </w:p>
        </w:tc>
        <w:tc>
          <w:tcPr>
            <w:tcW w:w="1572" w:type="dxa"/>
            <w:noWrap/>
            <w:vAlign w:val="center"/>
          </w:tcPr>
          <w:p w:rsidR="00231D30" w:rsidRPr="00231D30" w:rsidRDefault="00231D30" w:rsidP="00440A5B">
            <w:pPr>
              <w:spacing w:after="0" w:line="240" w:lineRule="auto"/>
              <w:jc w:val="center"/>
              <w:rPr>
                <w:sz w:val="20"/>
              </w:rPr>
            </w:pPr>
            <w:r w:rsidRPr="00231D30">
              <w:rPr>
                <w:sz w:val="20"/>
              </w:rPr>
              <w:t>60</w:t>
            </w:r>
          </w:p>
        </w:tc>
        <w:tc>
          <w:tcPr>
            <w:tcW w:w="1572" w:type="dxa"/>
            <w:noWrap/>
            <w:vAlign w:val="center"/>
          </w:tcPr>
          <w:p w:rsidR="00231D30" w:rsidRPr="00231D30" w:rsidRDefault="00231D30" w:rsidP="00440A5B">
            <w:pPr>
              <w:spacing w:after="0" w:line="240" w:lineRule="auto"/>
              <w:jc w:val="center"/>
              <w:rPr>
                <w:sz w:val="20"/>
              </w:rPr>
            </w:pPr>
            <w:r w:rsidRPr="00231D30">
              <w:rPr>
                <w:sz w:val="20"/>
              </w:rPr>
              <w:t>0</w:t>
            </w:r>
          </w:p>
        </w:tc>
        <w:tc>
          <w:tcPr>
            <w:tcW w:w="1572" w:type="dxa"/>
            <w:vAlign w:val="center"/>
          </w:tcPr>
          <w:p w:rsidR="00231D30" w:rsidRPr="00231D30" w:rsidRDefault="00231D30" w:rsidP="00440A5B">
            <w:pPr>
              <w:spacing w:after="0" w:line="240" w:lineRule="auto"/>
              <w:jc w:val="center"/>
              <w:rPr>
                <w:sz w:val="20"/>
              </w:rPr>
            </w:pPr>
            <w:r w:rsidRPr="00231D30">
              <w:rPr>
                <w:sz w:val="20"/>
              </w:rPr>
              <w:t>1</w:t>
            </w:r>
          </w:p>
        </w:tc>
      </w:tr>
      <w:tr w:rsidR="00231D30" w:rsidRPr="00003169" w:rsidTr="00440A5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231D30" w:rsidRPr="00E35AE8" w:rsidRDefault="00231D30" w:rsidP="006C62B7">
            <w:pPr>
              <w:spacing w:after="0" w:line="240" w:lineRule="auto"/>
              <w:rPr>
                <w:sz w:val="20"/>
                <w:szCs w:val="20"/>
              </w:rPr>
            </w:pPr>
            <w:r w:rsidRPr="00E35AE8">
              <w:rPr>
                <w:sz w:val="20"/>
                <w:szCs w:val="20"/>
              </w:rPr>
              <w:t>% of total below forecast</w:t>
            </w:r>
          </w:p>
        </w:tc>
        <w:tc>
          <w:tcPr>
            <w:tcW w:w="1571" w:type="dxa"/>
            <w:noWrap/>
            <w:vAlign w:val="center"/>
          </w:tcPr>
          <w:p w:rsidR="00231D30" w:rsidRPr="00231D30" w:rsidRDefault="00231D30" w:rsidP="00440A5B">
            <w:pPr>
              <w:spacing w:after="0" w:line="240" w:lineRule="auto"/>
              <w:jc w:val="center"/>
              <w:rPr>
                <w:sz w:val="20"/>
              </w:rPr>
            </w:pPr>
            <w:r w:rsidRPr="00231D30">
              <w:rPr>
                <w:sz w:val="20"/>
              </w:rPr>
              <w:t>27</w:t>
            </w:r>
          </w:p>
        </w:tc>
        <w:tc>
          <w:tcPr>
            <w:tcW w:w="1572" w:type="dxa"/>
            <w:noWrap/>
            <w:vAlign w:val="center"/>
          </w:tcPr>
          <w:p w:rsidR="00231D30" w:rsidRPr="00231D30" w:rsidRDefault="00231D30" w:rsidP="00440A5B">
            <w:pPr>
              <w:spacing w:after="0" w:line="240" w:lineRule="auto"/>
              <w:jc w:val="center"/>
              <w:rPr>
                <w:sz w:val="20"/>
              </w:rPr>
            </w:pPr>
            <w:r w:rsidRPr="00231D30">
              <w:rPr>
                <w:sz w:val="20"/>
              </w:rPr>
              <w:t>3</w:t>
            </w:r>
          </w:p>
        </w:tc>
        <w:tc>
          <w:tcPr>
            <w:tcW w:w="1572" w:type="dxa"/>
            <w:noWrap/>
            <w:vAlign w:val="center"/>
          </w:tcPr>
          <w:p w:rsidR="00231D30" w:rsidRPr="00231D30" w:rsidRDefault="00231D30" w:rsidP="00440A5B">
            <w:pPr>
              <w:spacing w:after="0" w:line="240" w:lineRule="auto"/>
              <w:jc w:val="center"/>
              <w:rPr>
                <w:sz w:val="20"/>
              </w:rPr>
            </w:pPr>
            <w:r w:rsidRPr="00231D30">
              <w:rPr>
                <w:sz w:val="20"/>
              </w:rPr>
              <w:t>0</w:t>
            </w:r>
          </w:p>
        </w:tc>
        <w:tc>
          <w:tcPr>
            <w:tcW w:w="1572" w:type="dxa"/>
            <w:vAlign w:val="center"/>
          </w:tcPr>
          <w:p w:rsidR="00231D30" w:rsidRPr="00231D30" w:rsidRDefault="00231D30" w:rsidP="00440A5B">
            <w:pPr>
              <w:spacing w:after="0" w:line="240" w:lineRule="auto"/>
              <w:jc w:val="center"/>
              <w:rPr>
                <w:sz w:val="20"/>
              </w:rPr>
            </w:pPr>
            <w:r w:rsidRPr="00231D30">
              <w:rPr>
                <w:sz w:val="20"/>
              </w:rPr>
              <w:t>0</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840B14" w:rsidRPr="00840B14">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840B14">
        <w:t xml:space="preserve">Figure </w:t>
      </w:r>
      <w:r w:rsidR="00840B14">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943969" w:rsidRPr="00215E19" w:rsidRDefault="00943969" w:rsidP="00215E19">
      <w:pPr>
        <w:pStyle w:val="AERbodytext"/>
        <w:spacing w:before="120" w:after="120"/>
        <w:rPr>
          <w:bCs/>
          <w:lang w:eastAsia="en-AU"/>
        </w:rPr>
      </w:pPr>
      <w:bookmarkStart w:id="13" w:name="_GoBack"/>
      <w:bookmarkEnd w:id="13"/>
      <w:r>
        <w:rPr>
          <w:bCs/>
          <w:lang w:eastAsia="en-AU"/>
        </w:rPr>
        <w:t xml:space="preserve">The red ellipse on </w:t>
      </w:r>
      <w:r>
        <w:rPr>
          <w:bCs/>
          <w:lang w:eastAsia="en-AU"/>
        </w:rPr>
        <w:fldChar w:fldCharType="begin"/>
      </w:r>
      <w:r>
        <w:rPr>
          <w:bCs/>
          <w:lang w:eastAsia="en-AU"/>
        </w:rPr>
        <w:instrText xml:space="preserve"> REF _Ref423965683 \h </w:instrText>
      </w:r>
      <w:r>
        <w:rPr>
          <w:bCs/>
          <w:lang w:eastAsia="en-AU"/>
        </w:rPr>
      </w:r>
      <w:r>
        <w:rPr>
          <w:bCs/>
          <w:lang w:eastAsia="en-AU"/>
        </w:rPr>
        <w:fldChar w:fldCharType="separate"/>
      </w:r>
      <w:r w:rsidR="00840B14" w:rsidRPr="00EC0674">
        <w:t xml:space="preserve">Figure </w:t>
      </w:r>
      <w:r w:rsidR="00840B14">
        <w:rPr>
          <w:noProof/>
        </w:rPr>
        <w:t>6</w:t>
      </w:r>
      <w:r>
        <w:rPr>
          <w:bCs/>
          <w:lang w:eastAsia="en-AU"/>
        </w:rPr>
        <w:fldChar w:fldCharType="end"/>
      </w:r>
      <w:r>
        <w:rPr>
          <w:bCs/>
          <w:lang w:eastAsia="en-AU"/>
        </w:rPr>
        <w:t xml:space="preserve"> highlights the period during which rebids in South Australia caused the two prices which exceeded our reporting threshold and on which we report later.</w:t>
      </w:r>
    </w:p>
    <w:p w:rsidR="00275002" w:rsidRDefault="00275002" w:rsidP="000E2946">
      <w:pPr>
        <w:pStyle w:val="Caption"/>
      </w:pPr>
      <w:bookmarkStart w:id="14" w:name="_Ref410383507"/>
      <w:r>
        <w:t xml:space="preserve">Figure </w:t>
      </w:r>
      <w:fldSimple w:instr=" SEQ Figure \* ARABIC ">
        <w:r w:rsidR="00840B14">
          <w:rPr>
            <w:noProof/>
          </w:rPr>
          <w:t>3</w:t>
        </w:r>
      </w:fldSimple>
      <w:bookmarkEnd w:id="14"/>
      <w:r>
        <w:t xml:space="preserve">: Queensland </w:t>
      </w:r>
      <w:r w:rsidRPr="00690328">
        <w:t>generation and bidding patterns</w:t>
      </w:r>
    </w:p>
    <w:p w:rsidR="00FB265D" w:rsidRPr="00FB265D" w:rsidRDefault="00231D30" w:rsidP="00FB265D">
      <w:r w:rsidRPr="00231D30">
        <w:rPr>
          <w:noProof/>
          <w:lang w:eastAsia="en-AU"/>
        </w:rPr>
        <w:drawing>
          <wp:inline distT="0" distB="0" distL="0" distR="0" wp14:anchorId="7904BC5A" wp14:editId="45BAAEAC">
            <wp:extent cx="5731510" cy="4115071"/>
            <wp:effectExtent l="0" t="0" r="2540" b="0"/>
            <wp:docPr id="16" name="Picture 16"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275002"/>
    <w:p w:rsidR="00275002" w:rsidRDefault="00275002" w:rsidP="000E2946">
      <w:pPr>
        <w:pStyle w:val="Caption"/>
      </w:pPr>
      <w:bookmarkStart w:id="15" w:name="_Ref428273135"/>
      <w:r>
        <w:lastRenderedPageBreak/>
        <w:t xml:space="preserve">Figure </w:t>
      </w:r>
      <w:fldSimple w:instr=" SEQ Figure \* ARABIC ">
        <w:r w:rsidR="00840B14">
          <w:rPr>
            <w:noProof/>
          </w:rPr>
          <w:t>4</w:t>
        </w:r>
      </w:fldSimple>
      <w:bookmarkEnd w:id="15"/>
      <w:r>
        <w:t xml:space="preserve">: </w:t>
      </w:r>
      <w:r w:rsidRPr="00CC5077">
        <w:t>New South Wales generation and bidding patterns</w:t>
      </w:r>
    </w:p>
    <w:p w:rsidR="00181C46" w:rsidRDefault="00231D30" w:rsidP="00181C46">
      <w:r w:rsidRPr="00231D30">
        <w:rPr>
          <w:noProof/>
          <w:lang w:eastAsia="en-AU"/>
        </w:rPr>
        <w:drawing>
          <wp:inline distT="0" distB="0" distL="0" distR="0" wp14:anchorId="25CBDE91" wp14:editId="1926319A">
            <wp:extent cx="5731510" cy="4120550"/>
            <wp:effectExtent l="0" t="0" r="2540" b="0"/>
            <wp:docPr id="18" name="Picture 18"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Default="00275002" w:rsidP="000E2946">
      <w:pPr>
        <w:pStyle w:val="Caption"/>
      </w:pPr>
      <w:bookmarkStart w:id="16" w:name="_Ref437936792"/>
      <w:r>
        <w:t xml:space="preserve">Figure </w:t>
      </w:r>
      <w:fldSimple w:instr=" SEQ Figure \* ARABIC ">
        <w:r w:rsidR="00840B14">
          <w:rPr>
            <w:noProof/>
          </w:rPr>
          <w:t>5</w:t>
        </w:r>
      </w:fldSimple>
      <w:bookmarkEnd w:id="16"/>
      <w:r w:rsidRPr="0003635A">
        <w:t>: Victoria generation and bidding patterns</w:t>
      </w:r>
    </w:p>
    <w:p w:rsidR="00FB265D" w:rsidRPr="00FB265D" w:rsidRDefault="00231D30" w:rsidP="00FB265D">
      <w:r w:rsidRPr="00231D30">
        <w:rPr>
          <w:noProof/>
          <w:lang w:eastAsia="en-AU"/>
        </w:rPr>
        <w:drawing>
          <wp:inline distT="0" distB="0" distL="0" distR="0" wp14:anchorId="69499B03" wp14:editId="47CCB986">
            <wp:extent cx="5731510" cy="4115071"/>
            <wp:effectExtent l="0" t="0" r="2540" b="0"/>
            <wp:docPr id="19" name="Picture 19"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181C46" w:rsidRPr="00181C46" w:rsidRDefault="00181C46" w:rsidP="00181C46"/>
    <w:p w:rsidR="00275002" w:rsidRDefault="00275002" w:rsidP="00966015">
      <w:pPr>
        <w:pStyle w:val="Caption"/>
        <w:spacing w:before="0" w:after="0" w:line="240" w:lineRule="auto"/>
      </w:pPr>
      <w:bookmarkStart w:id="17" w:name="_Ref423965683"/>
      <w:bookmarkStart w:id="18" w:name="_Ref439669843"/>
      <w:r w:rsidRPr="00EC0674">
        <w:lastRenderedPageBreak/>
        <w:t xml:space="preserve">Figure </w:t>
      </w:r>
      <w:fldSimple w:instr=" SEQ Figure \* ARABIC ">
        <w:r w:rsidR="00840B14">
          <w:rPr>
            <w:noProof/>
          </w:rPr>
          <w:t>6</w:t>
        </w:r>
      </w:fldSimple>
      <w:bookmarkEnd w:id="17"/>
      <w:r w:rsidRPr="00EC0674">
        <w:t>: South Australia generation and bidding patterns</w:t>
      </w:r>
      <w:bookmarkEnd w:id="18"/>
    </w:p>
    <w:bookmarkStart w:id="19" w:name="_Ref410383520"/>
    <w:p w:rsidR="00F019C5" w:rsidRDefault="00943969" w:rsidP="00966015">
      <w:pPr>
        <w:spacing w:before="0" w:line="240" w:lineRule="auto"/>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1295400</wp:posOffset>
                </wp:positionH>
                <wp:positionV relativeFrom="paragraph">
                  <wp:posOffset>520065</wp:posOffset>
                </wp:positionV>
                <wp:extent cx="289560" cy="1615440"/>
                <wp:effectExtent l="0" t="0" r="15240" b="22860"/>
                <wp:wrapNone/>
                <wp:docPr id="2" name="Oval 2"/>
                <wp:cNvGraphicFramePr/>
                <a:graphic xmlns:a="http://schemas.openxmlformats.org/drawingml/2006/main">
                  <a:graphicData uri="http://schemas.microsoft.com/office/word/2010/wordprocessingShape">
                    <wps:wsp>
                      <wps:cNvSpPr/>
                      <wps:spPr>
                        <a:xfrm>
                          <a:off x="0" y="0"/>
                          <a:ext cx="289560" cy="16154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02pt;margin-top:40.95pt;width:22.8pt;height:1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" filled="f" strokecolor="red" strokeweight="2pt"/>
            </w:pict>
          </mc:Fallback>
        </mc:AlternateContent>
      </w:r>
      <w:r w:rsidR="00EC0674" w:rsidRPr="00EC0674">
        <w:rPr>
          <w:noProof/>
          <w:lang w:eastAsia="en-AU"/>
        </w:rPr>
        <w:drawing>
          <wp:inline distT="0" distB="0" distL="0" distR="0" wp14:anchorId="211F7281" wp14:editId="4E7882E6">
            <wp:extent cx="5731510" cy="4124493"/>
            <wp:effectExtent l="0" t="0" r="2540" b="9525"/>
            <wp:docPr id="28" name="Picture 28"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966015" w:rsidRDefault="00966015" w:rsidP="00966015">
      <w:pPr>
        <w:spacing w:before="0" w:line="240" w:lineRule="auto"/>
      </w:pPr>
    </w:p>
    <w:p w:rsidR="00275002" w:rsidRDefault="00275002" w:rsidP="00966015">
      <w:pPr>
        <w:pStyle w:val="Caption"/>
        <w:spacing w:before="0" w:after="0" w:line="240" w:lineRule="auto"/>
      </w:pPr>
      <w:bookmarkStart w:id="20" w:name="_Ref433287168"/>
      <w:r>
        <w:t xml:space="preserve">Figure </w:t>
      </w:r>
      <w:fldSimple w:instr=" SEQ Figure \* ARABIC ">
        <w:r w:rsidR="00840B14">
          <w:rPr>
            <w:noProof/>
          </w:rPr>
          <w:t>7</w:t>
        </w:r>
      </w:fldSimple>
      <w:bookmarkEnd w:id="19"/>
      <w:bookmarkEnd w:id="20"/>
      <w:r>
        <w:t xml:space="preserve">: </w:t>
      </w:r>
      <w:r w:rsidRPr="008837C4">
        <w:t>Tasmania generation and bidding patterns</w:t>
      </w:r>
    </w:p>
    <w:p w:rsidR="00181C46" w:rsidRDefault="00231D30" w:rsidP="00966015">
      <w:pPr>
        <w:spacing w:before="0" w:line="240" w:lineRule="auto"/>
      </w:pPr>
      <w:r w:rsidRPr="00231D30">
        <w:rPr>
          <w:noProof/>
          <w:lang w:eastAsia="en-AU"/>
        </w:rPr>
        <w:drawing>
          <wp:inline distT="0" distB="0" distL="0" distR="0" wp14:anchorId="59EAB8BB" wp14:editId="1CBDB467">
            <wp:extent cx="5731510" cy="4115071"/>
            <wp:effectExtent l="0" t="0" r="2540" b="0"/>
            <wp:docPr id="20" name="Picture 20"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A86493" w:rsidRDefault="00A86493" w:rsidP="00966015">
      <w:pPr>
        <w:spacing w:before="0" w:line="240" w:lineRule="auto"/>
      </w:pPr>
    </w:p>
    <w:p w:rsidR="00275002" w:rsidRPr="0031019A" w:rsidRDefault="00471D94" w:rsidP="00914A87">
      <w:pPr>
        <w:pStyle w:val="AERHeading1"/>
      </w:pPr>
      <w:r>
        <w:br w:type="column"/>
      </w:r>
      <w:r w:rsidR="00275002"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21" w:name="_Ref410383413"/>
      <w:r w:rsidRPr="00B62BB5">
        <w:rPr>
          <w:bCs/>
          <w:lang w:eastAsia="en-AU"/>
        </w:rPr>
        <w:t>The total cost of FCAS on the</w:t>
      </w:r>
      <w:r w:rsidR="00AD3D69">
        <w:rPr>
          <w:bCs/>
          <w:lang w:eastAsia="en-AU"/>
        </w:rPr>
        <w:t xml:space="preserve"> mainland for the week was $</w:t>
      </w:r>
      <w:r w:rsidR="00440F0B">
        <w:rPr>
          <w:bCs/>
          <w:lang w:eastAsia="en-AU"/>
        </w:rPr>
        <w:t>151 500</w:t>
      </w:r>
      <w:r w:rsidR="00440F0B" w:rsidRPr="00B62BB5">
        <w:rPr>
          <w:bCs/>
          <w:lang w:eastAsia="en-AU"/>
        </w:rPr>
        <w:t xml:space="preserve"> </w:t>
      </w:r>
      <w:r w:rsidRPr="00B62BB5">
        <w:rPr>
          <w:bCs/>
          <w:lang w:eastAsia="en-AU"/>
        </w:rPr>
        <w:t xml:space="preserve">or </w:t>
      </w:r>
      <w:r w:rsidR="003D5258">
        <w:rPr>
          <w:bCs/>
          <w:lang w:eastAsia="en-AU"/>
        </w:rPr>
        <w:t>less than 1</w:t>
      </w:r>
      <w:r w:rsidRPr="00B62BB5">
        <w:rPr>
          <w:bCs/>
          <w:lang w:eastAsia="en-AU"/>
        </w:rPr>
        <w:t xml:space="preserve"> per cent of energy turnover on the mainland.</w:t>
      </w:r>
    </w:p>
    <w:p w:rsidR="00411897" w:rsidRPr="00215E19" w:rsidRDefault="00B62BB5" w:rsidP="00215E19">
      <w:pPr>
        <w:pStyle w:val="AERbodytext"/>
        <w:spacing w:before="120" w:after="120"/>
        <w:rPr>
          <w:bCs/>
          <w:lang w:eastAsia="en-AU"/>
        </w:rPr>
      </w:pPr>
      <w:r w:rsidRPr="00F06531">
        <w:rPr>
          <w:bCs/>
          <w:lang w:eastAsia="en-AU"/>
        </w:rPr>
        <w:t>The total cost of FCAS i</w:t>
      </w:r>
      <w:r w:rsidR="00AD3D69" w:rsidRPr="00F06531">
        <w:rPr>
          <w:bCs/>
          <w:lang w:eastAsia="en-AU"/>
        </w:rPr>
        <w:t>n Tasmania for the week was $</w:t>
      </w:r>
      <w:r w:rsidR="00440F0B" w:rsidRPr="00F06531">
        <w:rPr>
          <w:bCs/>
          <w:lang w:eastAsia="en-AU"/>
        </w:rPr>
        <w:t>1</w:t>
      </w:r>
      <w:r w:rsidR="00440F0B">
        <w:rPr>
          <w:bCs/>
          <w:lang w:eastAsia="en-AU"/>
        </w:rPr>
        <w:t>53</w:t>
      </w:r>
      <w:r w:rsidR="00440F0B" w:rsidRPr="00F06531">
        <w:rPr>
          <w:bCs/>
          <w:lang w:eastAsia="en-AU"/>
        </w:rPr>
        <w:t> </w:t>
      </w:r>
      <w:r w:rsidR="00440F0B">
        <w:rPr>
          <w:bCs/>
          <w:lang w:eastAsia="en-AU"/>
        </w:rPr>
        <w:t>0</w:t>
      </w:r>
      <w:r w:rsidR="00440F0B" w:rsidRPr="00F06531">
        <w:rPr>
          <w:bCs/>
          <w:lang w:eastAsia="en-AU"/>
        </w:rPr>
        <w:t xml:space="preserve">00 </w:t>
      </w:r>
      <w:r w:rsidRPr="00F06531">
        <w:rPr>
          <w:bCs/>
          <w:lang w:eastAsia="en-AU"/>
        </w:rPr>
        <w:t xml:space="preserve">or </w:t>
      </w:r>
      <w:r w:rsidR="00AA7190" w:rsidRPr="00F06531">
        <w:rPr>
          <w:bCs/>
          <w:lang w:eastAsia="en-AU"/>
        </w:rPr>
        <w:t>1</w:t>
      </w:r>
      <w:r w:rsidRPr="00F06531">
        <w:rPr>
          <w:bCs/>
          <w:lang w:eastAsia="en-AU"/>
        </w:rPr>
        <w:t xml:space="preserve"> per cent of energy</w:t>
      </w:r>
      <w:r w:rsidRPr="00B62BB5">
        <w:rPr>
          <w:bCs/>
          <w:lang w:eastAsia="en-AU"/>
        </w:rPr>
        <w:t xml:space="preserve">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840B14" w:rsidRPr="00840B14">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22" w:name="_Ref418082853"/>
      <w:r>
        <w:t xml:space="preserve">Figure </w:t>
      </w:r>
      <w:fldSimple w:instr=" SEQ Figure \* ARABIC ">
        <w:r w:rsidR="00840B14">
          <w:rPr>
            <w:noProof/>
          </w:rPr>
          <w:t>8</w:t>
        </w:r>
      </w:fldSimple>
      <w:bookmarkEnd w:id="21"/>
      <w:bookmarkEnd w:id="22"/>
      <w:r w:rsidRPr="007707C6">
        <w:t>: Daily frequency control ancillary service cost</w:t>
      </w:r>
    </w:p>
    <w:p w:rsidR="005A6CB0" w:rsidRDefault="00231D30" w:rsidP="005A6CB0">
      <w:r w:rsidRPr="00231D30">
        <w:rPr>
          <w:noProof/>
          <w:lang w:eastAsia="en-AU"/>
        </w:rPr>
        <w:drawing>
          <wp:inline distT="0" distB="0" distL="0" distR="0" wp14:anchorId="34BE9E6C" wp14:editId="0FD06842">
            <wp:extent cx="5731510" cy="2893363"/>
            <wp:effectExtent l="0" t="0" r="2540" b="2540"/>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F167CF" w:rsidRDefault="00F167CF" w:rsidP="005A6CB0"/>
    <w:p w:rsidR="00F167CF" w:rsidRDefault="00F167CF" w:rsidP="005A6CB0"/>
    <w:p w:rsidR="001D5BEB" w:rsidRDefault="001D5BEB" w:rsidP="005A6CB0"/>
    <w:p w:rsidR="00950B15" w:rsidRPr="0067180B" w:rsidRDefault="00950B15" w:rsidP="00950B15">
      <w:pPr>
        <w:pStyle w:val="AERHeading1"/>
        <w:keepNext/>
        <w:rPr>
          <w:rFonts w:cs="Arial"/>
        </w:rPr>
      </w:pPr>
      <w:r w:rsidRPr="0067180B">
        <w:rPr>
          <w:rFonts w:cs="Arial"/>
        </w:rPr>
        <w:lastRenderedPageBreak/>
        <w:t>Detailed market analysis of significant price events</w:t>
      </w:r>
    </w:p>
    <w:p w:rsidR="00950B15" w:rsidRDefault="00950B15" w:rsidP="00950B15">
      <w:pPr>
        <w:pStyle w:val="AERbodytext"/>
        <w:spacing w:before="120" w:after="120"/>
        <w:rPr>
          <w:bCs/>
          <w:lang w:eastAsia="en-AU"/>
        </w:rPr>
      </w:pPr>
      <w:r w:rsidRPr="0067180B">
        <w:rPr>
          <w:bCs/>
          <w:lang w:eastAsia="en-AU"/>
        </w:rPr>
        <w:t xml:space="preserve">We provide more detailed analysis of events where the spot price was greater than three times the weekly average price in a region and above $250/MWh or was below </w:t>
      </w:r>
      <w:r w:rsidRPr="0067180B">
        <w:rPr>
          <w:bCs/>
          <w:lang w:eastAsia="en-AU"/>
        </w:rPr>
        <w:noBreakHyphen/>
        <w:t xml:space="preserve">$100/MWh. </w:t>
      </w:r>
    </w:p>
    <w:p w:rsidR="00F74FC8" w:rsidRPr="0067180B" w:rsidRDefault="00EC0674" w:rsidP="00F74FC8">
      <w:pPr>
        <w:pStyle w:val="AERHeading3"/>
      </w:pPr>
      <w:r>
        <w:t>South Australia</w:t>
      </w:r>
    </w:p>
    <w:p w:rsidR="00F74FC8" w:rsidRDefault="00F74FC8" w:rsidP="00F74FC8">
      <w:pPr>
        <w:pStyle w:val="AERHeading3"/>
        <w:rPr>
          <w:b w:val="0"/>
          <w:bCs w:val="0"/>
          <w:color w:val="auto"/>
          <w:sz w:val="22"/>
          <w:lang w:eastAsia="en-AU"/>
        </w:rPr>
      </w:pPr>
      <w:r w:rsidRPr="00855A23">
        <w:rPr>
          <w:b w:val="0"/>
          <w:bCs w:val="0"/>
          <w:color w:val="auto"/>
          <w:sz w:val="22"/>
          <w:lang w:eastAsia="en-AU"/>
        </w:rPr>
        <w:t xml:space="preserve">There </w:t>
      </w:r>
      <w:r w:rsidR="00F06531">
        <w:rPr>
          <w:b w:val="0"/>
          <w:bCs w:val="0"/>
          <w:color w:val="auto"/>
          <w:sz w:val="22"/>
          <w:lang w:eastAsia="en-AU"/>
        </w:rPr>
        <w:t>were two</w:t>
      </w:r>
      <w:r w:rsidRPr="00855A23">
        <w:rPr>
          <w:b w:val="0"/>
          <w:bCs w:val="0"/>
          <w:color w:val="auto"/>
          <w:sz w:val="22"/>
          <w:lang w:eastAsia="en-AU"/>
        </w:rPr>
        <w:t xml:space="preserve"> occasion</w:t>
      </w:r>
      <w:r w:rsidR="00F06531">
        <w:rPr>
          <w:b w:val="0"/>
          <w:bCs w:val="0"/>
          <w:color w:val="auto"/>
          <w:sz w:val="22"/>
          <w:lang w:eastAsia="en-AU"/>
        </w:rPr>
        <w:t>s</w:t>
      </w:r>
      <w:r w:rsidRPr="00855A23">
        <w:rPr>
          <w:b w:val="0"/>
          <w:bCs w:val="0"/>
          <w:color w:val="auto"/>
          <w:sz w:val="22"/>
          <w:lang w:eastAsia="en-AU"/>
        </w:rPr>
        <w:t xml:space="preserve"> where the spot price in </w:t>
      </w:r>
      <w:r w:rsidR="00F06531">
        <w:rPr>
          <w:b w:val="0"/>
          <w:bCs w:val="0"/>
          <w:color w:val="auto"/>
          <w:sz w:val="22"/>
          <w:lang w:eastAsia="en-AU"/>
        </w:rPr>
        <w:t>South Australia</w:t>
      </w:r>
      <w:r w:rsidRPr="00855A23">
        <w:rPr>
          <w:b w:val="0"/>
          <w:bCs w:val="0"/>
          <w:color w:val="auto"/>
          <w:sz w:val="22"/>
          <w:lang w:eastAsia="en-AU"/>
        </w:rPr>
        <w:t xml:space="preserve"> was greater than three times the </w:t>
      </w:r>
      <w:r w:rsidR="00F06531">
        <w:rPr>
          <w:b w:val="0"/>
          <w:bCs w:val="0"/>
          <w:color w:val="auto"/>
          <w:sz w:val="22"/>
          <w:lang w:eastAsia="en-AU"/>
        </w:rPr>
        <w:t>South Australian</w:t>
      </w:r>
      <w:r w:rsidRPr="00855A23">
        <w:rPr>
          <w:b w:val="0"/>
          <w:bCs w:val="0"/>
          <w:color w:val="auto"/>
          <w:sz w:val="22"/>
          <w:lang w:eastAsia="en-AU"/>
        </w:rPr>
        <w:t xml:space="preserve"> weekly average price of $</w:t>
      </w:r>
      <w:r w:rsidR="00F06531">
        <w:rPr>
          <w:b w:val="0"/>
          <w:bCs w:val="0"/>
          <w:color w:val="auto"/>
          <w:sz w:val="22"/>
          <w:lang w:eastAsia="en-AU"/>
        </w:rPr>
        <w:t>54</w:t>
      </w:r>
      <w:r w:rsidRPr="00855A23">
        <w:rPr>
          <w:b w:val="0"/>
          <w:bCs w:val="0"/>
          <w:color w:val="auto"/>
          <w:sz w:val="22"/>
          <w:lang w:eastAsia="en-AU"/>
        </w:rPr>
        <w:t xml:space="preserve">/MWh and above $250/MWh. </w:t>
      </w:r>
    </w:p>
    <w:p w:rsidR="00F74FC8" w:rsidRPr="0067180B" w:rsidRDefault="00EC0674" w:rsidP="00F74FC8">
      <w:pPr>
        <w:pStyle w:val="AERHeading3"/>
      </w:pPr>
      <w:r>
        <w:t>Monday, 7</w:t>
      </w:r>
      <w:r w:rsidR="00F74FC8" w:rsidRPr="0067180B">
        <w:t xml:space="preserve"> </w:t>
      </w:r>
      <w:r>
        <w:t>Dec</w:t>
      </w:r>
      <w:r w:rsidR="00F74FC8" w:rsidRPr="0067180B">
        <w:t xml:space="preserve">ember </w:t>
      </w:r>
    </w:p>
    <w:p w:rsidR="00F74FC8" w:rsidRPr="0067180B" w:rsidRDefault="00F74FC8" w:rsidP="00F74FC8">
      <w:pPr>
        <w:pStyle w:val="Caption"/>
      </w:pPr>
      <w:r>
        <w:t>Table 3</w:t>
      </w:r>
      <w:r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F74FC8" w:rsidRPr="0067180B" w:rsidTr="00C669A3">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F74FC8" w:rsidRPr="0067180B" w:rsidRDefault="00F74FC8" w:rsidP="00C669A3">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F74FC8" w:rsidRPr="0067180B" w:rsidRDefault="00F74FC8" w:rsidP="00C669A3">
            <w:pPr>
              <w:pStyle w:val="TableHeading"/>
              <w:jc w:val="center"/>
              <w:rPr>
                <w:rFonts w:cs="Arial"/>
                <w:sz w:val="20"/>
                <w:szCs w:val="20"/>
              </w:rPr>
            </w:pPr>
            <w:r w:rsidRPr="0067180B">
              <w:rPr>
                <w:rFonts w:cs="Arial"/>
                <w:sz w:val="20"/>
                <w:szCs w:val="20"/>
              </w:rPr>
              <w:t>Price ($/MWh)</w:t>
            </w:r>
          </w:p>
        </w:tc>
        <w:tc>
          <w:tcPr>
            <w:tcW w:w="1422" w:type="pct"/>
            <w:gridSpan w:val="3"/>
            <w:hideMark/>
          </w:tcPr>
          <w:p w:rsidR="00F74FC8" w:rsidRPr="0067180B" w:rsidRDefault="00F74FC8" w:rsidP="00C669A3">
            <w:pPr>
              <w:pStyle w:val="TableHeading"/>
              <w:jc w:val="center"/>
              <w:rPr>
                <w:rFonts w:cs="Arial"/>
                <w:sz w:val="20"/>
                <w:szCs w:val="20"/>
              </w:rPr>
            </w:pPr>
            <w:r w:rsidRPr="0067180B">
              <w:rPr>
                <w:rFonts w:cs="Arial"/>
                <w:sz w:val="20"/>
                <w:szCs w:val="20"/>
              </w:rPr>
              <w:t>Demand (MW)</w:t>
            </w:r>
          </w:p>
        </w:tc>
        <w:tc>
          <w:tcPr>
            <w:tcW w:w="1429" w:type="pct"/>
            <w:gridSpan w:val="3"/>
            <w:hideMark/>
          </w:tcPr>
          <w:p w:rsidR="00F74FC8" w:rsidRPr="0067180B" w:rsidRDefault="00F74FC8" w:rsidP="00C669A3">
            <w:pPr>
              <w:pStyle w:val="TableHeading"/>
              <w:jc w:val="center"/>
              <w:rPr>
                <w:rFonts w:cs="Arial"/>
                <w:sz w:val="20"/>
                <w:szCs w:val="20"/>
              </w:rPr>
            </w:pPr>
            <w:r w:rsidRPr="0067180B">
              <w:rPr>
                <w:rFonts w:cs="Arial"/>
                <w:sz w:val="20"/>
                <w:szCs w:val="20"/>
              </w:rPr>
              <w:t>Availability (MW)</w:t>
            </w:r>
          </w:p>
        </w:tc>
      </w:tr>
      <w:tr w:rsidR="00F74FC8" w:rsidRPr="0067180B" w:rsidTr="00C669A3">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12 hr forecast</w:t>
            </w:r>
          </w:p>
        </w:tc>
      </w:tr>
      <w:tr w:rsidR="00EC0674" w:rsidRPr="0067180B" w:rsidTr="00C669A3">
        <w:trPr>
          <w:trHeight w:val="510"/>
        </w:trPr>
        <w:tc>
          <w:tcPr>
            <w:tcW w:w="533" w:type="pct"/>
            <w:vAlign w:val="center"/>
          </w:tcPr>
          <w:p w:rsidR="00EC0674" w:rsidRPr="00EC0674" w:rsidRDefault="00EC0674">
            <w:pPr>
              <w:pStyle w:val="NormalWeb"/>
              <w:jc w:val="center"/>
              <w:rPr>
                <w:rFonts w:asciiTheme="minorHAnsi" w:hAnsiTheme="minorHAnsi" w:cstheme="minorHAnsi"/>
                <w:sz w:val="18"/>
              </w:rPr>
            </w:pPr>
            <w:r>
              <w:rPr>
                <w:rFonts w:asciiTheme="minorHAnsi" w:hAnsiTheme="minorHAnsi" w:cstheme="minorHAnsi"/>
                <w:b/>
                <w:bCs/>
                <w:sz w:val="18"/>
                <w:szCs w:val="16"/>
              </w:rPr>
              <w:t>8.</w:t>
            </w:r>
            <w:r w:rsidRPr="00EC0674">
              <w:rPr>
                <w:rFonts w:asciiTheme="minorHAnsi" w:hAnsiTheme="minorHAnsi" w:cstheme="minorHAnsi"/>
                <w:b/>
                <w:bCs/>
                <w:sz w:val="18"/>
                <w:szCs w:val="16"/>
              </w:rPr>
              <w:t xml:space="preserve">30 </w:t>
            </w:r>
            <w:r>
              <w:rPr>
                <w:rFonts w:asciiTheme="minorHAnsi" w:hAnsiTheme="minorHAnsi" w:cstheme="minorHAnsi"/>
                <w:b/>
                <w:bCs/>
                <w:sz w:val="18"/>
                <w:szCs w:val="16"/>
              </w:rPr>
              <w:t>am</w:t>
            </w:r>
          </w:p>
        </w:tc>
        <w:tc>
          <w:tcPr>
            <w:tcW w:w="611"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269.65</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73.63</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64.90</w:t>
            </w:r>
          </w:p>
        </w:tc>
        <w:tc>
          <w:tcPr>
            <w:tcW w:w="418"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2140</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2143</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1968</w:t>
            </w:r>
          </w:p>
        </w:tc>
        <w:tc>
          <w:tcPr>
            <w:tcW w:w="425"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2672</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2860</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2946</w:t>
            </w:r>
          </w:p>
        </w:tc>
      </w:tr>
      <w:tr w:rsidR="00EC0674" w:rsidRPr="0067180B" w:rsidTr="00C669A3">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b/>
                <w:bCs/>
                <w:sz w:val="18"/>
                <w:szCs w:val="16"/>
              </w:rPr>
              <w:t>9</w:t>
            </w:r>
            <w:r>
              <w:rPr>
                <w:rFonts w:asciiTheme="minorHAnsi" w:hAnsiTheme="minorHAnsi" w:cstheme="minorHAnsi"/>
                <w:b/>
                <w:bCs/>
                <w:sz w:val="18"/>
                <w:szCs w:val="16"/>
              </w:rPr>
              <w:t xml:space="preserve"> am</w:t>
            </w:r>
          </w:p>
        </w:tc>
        <w:tc>
          <w:tcPr>
            <w:tcW w:w="611"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316.63</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86.88</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64.88</w:t>
            </w:r>
          </w:p>
        </w:tc>
        <w:tc>
          <w:tcPr>
            <w:tcW w:w="418"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2190</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2230</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2051</w:t>
            </w:r>
          </w:p>
        </w:tc>
        <w:tc>
          <w:tcPr>
            <w:tcW w:w="425"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2731</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2855</w:t>
            </w:r>
          </w:p>
        </w:tc>
        <w:tc>
          <w:tcPr>
            <w:tcW w:w="502" w:type="pct"/>
            <w:vAlign w:val="center"/>
          </w:tcPr>
          <w:p w:rsidR="00EC0674" w:rsidRPr="00EC0674" w:rsidRDefault="00EC0674">
            <w:pPr>
              <w:pStyle w:val="NormalWeb"/>
              <w:jc w:val="center"/>
              <w:rPr>
                <w:rFonts w:asciiTheme="minorHAnsi" w:hAnsiTheme="minorHAnsi" w:cstheme="minorHAnsi"/>
                <w:sz w:val="18"/>
              </w:rPr>
            </w:pPr>
            <w:r w:rsidRPr="00EC0674">
              <w:rPr>
                <w:rFonts w:asciiTheme="minorHAnsi" w:hAnsiTheme="minorHAnsi" w:cstheme="minorHAnsi"/>
                <w:sz w:val="18"/>
                <w:szCs w:val="16"/>
              </w:rPr>
              <w:t>2931</w:t>
            </w:r>
          </w:p>
        </w:tc>
      </w:tr>
    </w:tbl>
    <w:p w:rsidR="00FA18E7" w:rsidRPr="00564D15" w:rsidRDefault="00F06531" w:rsidP="00564D15">
      <w:pPr>
        <w:pStyle w:val="AERbodytext"/>
      </w:pPr>
      <w:r>
        <w:br/>
      </w:r>
      <w:r w:rsidR="00FA18E7" w:rsidRPr="00564D15">
        <w:t>Conditions at the time saw demand close to forecast</w:t>
      </w:r>
      <w:r w:rsidR="00F72C06" w:rsidRPr="00564D15">
        <w:t xml:space="preserve"> four hours </w:t>
      </w:r>
      <w:r w:rsidR="00564D15" w:rsidRPr="00564D15">
        <w:t>ahead</w:t>
      </w:r>
      <w:r w:rsidR="00FA18E7" w:rsidRPr="00564D15">
        <w:t xml:space="preserve">. Available capacity was </w:t>
      </w:r>
      <w:r w:rsidR="00564D15" w:rsidRPr="00564D15">
        <w:t xml:space="preserve">slightly </w:t>
      </w:r>
      <w:r w:rsidR="00FA18E7" w:rsidRPr="00564D15">
        <w:t>below forecast.</w:t>
      </w:r>
    </w:p>
    <w:p w:rsidR="00F74FC8" w:rsidRPr="00483FA8" w:rsidRDefault="00F74FC8" w:rsidP="00F74FC8">
      <w:pPr>
        <w:pStyle w:val="Caption"/>
      </w:pPr>
      <w:r w:rsidRPr="00483FA8">
        <w:t xml:space="preserve">Table 4: Rebids for the </w:t>
      </w:r>
      <w:r w:rsidR="00483FA8">
        <w:t>8.</w:t>
      </w:r>
      <w:r w:rsidR="00564D15">
        <w:t>30 </w:t>
      </w:r>
      <w:r w:rsidR="00483FA8">
        <w:t xml:space="preserve">am and </w:t>
      </w:r>
      <w:r w:rsidR="00564D15">
        <w:t>9 </w:t>
      </w:r>
      <w:r w:rsidR="00483FA8">
        <w:t>am</w:t>
      </w:r>
      <w:r w:rsidRPr="00483FA8">
        <w:t xml:space="preserve"> trading interval</w:t>
      </w:r>
      <w:r w:rsidR="00483FA8">
        <w:t>s</w:t>
      </w:r>
    </w:p>
    <w:tbl>
      <w:tblPr>
        <w:tblStyle w:val="AERTable-Text"/>
        <w:tblW w:w="9471" w:type="dxa"/>
        <w:tblLook w:val="04A0" w:firstRow="1" w:lastRow="0" w:firstColumn="1" w:lastColumn="0" w:noHBand="0" w:noVBand="1"/>
      </w:tblPr>
      <w:tblGrid>
        <w:gridCol w:w="1027"/>
        <w:gridCol w:w="887"/>
        <w:gridCol w:w="1313"/>
        <w:gridCol w:w="850"/>
        <w:gridCol w:w="917"/>
        <w:gridCol w:w="926"/>
        <w:gridCol w:w="906"/>
        <w:gridCol w:w="2645"/>
      </w:tblGrid>
      <w:tr w:rsidR="00F74FC8" w:rsidRPr="00483FA8" w:rsidTr="00D44C71">
        <w:trPr>
          <w:cnfStyle w:val="100000000000" w:firstRow="1" w:lastRow="0" w:firstColumn="0" w:lastColumn="0" w:oddVBand="0" w:evenVBand="0" w:oddHBand="0" w:evenHBand="0" w:firstRowFirstColumn="0" w:firstRowLastColumn="0" w:lastRowFirstColumn="0" w:lastRowLastColumn="0"/>
          <w:trHeight w:val="210"/>
        </w:trPr>
        <w:tc>
          <w:tcPr>
            <w:tcW w:w="1027" w:type="dxa"/>
            <w:hideMark/>
          </w:tcPr>
          <w:p w:rsidR="00F74FC8" w:rsidRPr="00483FA8"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483FA8">
              <w:rPr>
                <w:rFonts w:eastAsia="Times New Roman" w:cs="Arial"/>
                <w:b w:val="0"/>
                <w:color w:val="FFFFFF"/>
                <w:sz w:val="18"/>
                <w:szCs w:val="18"/>
                <w:lang w:eastAsia="en-AU"/>
              </w:rPr>
              <w:t>Submitted</w:t>
            </w:r>
            <w:r w:rsidRPr="00483FA8">
              <w:rPr>
                <w:rFonts w:eastAsia="Times New Roman" w:cs="Arial"/>
                <w:b w:val="0"/>
                <w:color w:val="FFFFFF"/>
                <w:sz w:val="18"/>
                <w:szCs w:val="18"/>
                <w:lang w:eastAsia="en-AU"/>
              </w:rPr>
              <w:br/>
              <w:t>time</w:t>
            </w:r>
          </w:p>
        </w:tc>
        <w:tc>
          <w:tcPr>
            <w:tcW w:w="887" w:type="dxa"/>
            <w:hideMark/>
          </w:tcPr>
          <w:p w:rsidR="00F74FC8" w:rsidRPr="00483FA8"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483FA8">
              <w:rPr>
                <w:rFonts w:eastAsia="Times New Roman" w:cs="Arial"/>
                <w:b w:val="0"/>
                <w:color w:val="FFFFFF"/>
                <w:sz w:val="18"/>
                <w:szCs w:val="18"/>
                <w:lang w:eastAsia="en-AU"/>
              </w:rPr>
              <w:t>Time</w:t>
            </w:r>
            <w:r w:rsidRPr="00483FA8">
              <w:rPr>
                <w:rFonts w:eastAsia="Times New Roman" w:cs="Arial"/>
                <w:b w:val="0"/>
                <w:color w:val="FFFFFF"/>
                <w:sz w:val="18"/>
                <w:szCs w:val="18"/>
                <w:lang w:eastAsia="en-AU"/>
              </w:rPr>
              <w:br/>
              <w:t>effective</w:t>
            </w:r>
          </w:p>
        </w:tc>
        <w:tc>
          <w:tcPr>
            <w:tcW w:w="1313" w:type="dxa"/>
            <w:hideMark/>
          </w:tcPr>
          <w:p w:rsidR="00F74FC8" w:rsidRPr="00483FA8" w:rsidRDefault="00F74FC8" w:rsidP="00C669A3">
            <w:pPr>
              <w:spacing w:before="0" w:line="240" w:lineRule="auto"/>
              <w:jc w:val="center"/>
              <w:textAlignment w:val="top"/>
              <w:rPr>
                <w:rFonts w:eastAsia="Times New Roman" w:cs="Arial"/>
                <w:b w:val="0"/>
                <w:color w:val="FFFFFF"/>
                <w:sz w:val="18"/>
                <w:szCs w:val="18"/>
                <w:lang w:eastAsia="en-AU"/>
              </w:rPr>
            </w:pPr>
            <w:r w:rsidRPr="00483FA8">
              <w:rPr>
                <w:rFonts w:eastAsia="Times New Roman" w:cs="Arial"/>
                <w:b w:val="0"/>
                <w:color w:val="FFFFFF"/>
                <w:sz w:val="18"/>
                <w:szCs w:val="18"/>
                <w:lang w:eastAsia="en-AU"/>
              </w:rPr>
              <w:t>Participant</w:t>
            </w:r>
          </w:p>
        </w:tc>
        <w:tc>
          <w:tcPr>
            <w:tcW w:w="850" w:type="dxa"/>
            <w:hideMark/>
          </w:tcPr>
          <w:p w:rsidR="00F74FC8" w:rsidRPr="00483FA8" w:rsidRDefault="00F74FC8" w:rsidP="00C669A3">
            <w:pPr>
              <w:spacing w:before="0" w:line="240" w:lineRule="auto"/>
              <w:jc w:val="center"/>
              <w:textAlignment w:val="top"/>
              <w:rPr>
                <w:rFonts w:eastAsia="Times New Roman" w:cs="Arial"/>
                <w:b w:val="0"/>
                <w:color w:val="FFFFFF"/>
                <w:sz w:val="18"/>
                <w:szCs w:val="18"/>
                <w:lang w:eastAsia="en-AU"/>
              </w:rPr>
            </w:pPr>
            <w:r w:rsidRPr="00483FA8">
              <w:rPr>
                <w:rFonts w:eastAsia="Times New Roman" w:cs="Arial"/>
                <w:b w:val="0"/>
                <w:color w:val="FFFFFF"/>
                <w:sz w:val="18"/>
                <w:szCs w:val="18"/>
                <w:lang w:eastAsia="en-AU"/>
              </w:rPr>
              <w:t>Station</w:t>
            </w:r>
          </w:p>
        </w:tc>
        <w:tc>
          <w:tcPr>
            <w:tcW w:w="917" w:type="dxa"/>
            <w:hideMark/>
          </w:tcPr>
          <w:p w:rsidR="00F74FC8" w:rsidRPr="00483FA8"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483FA8">
              <w:rPr>
                <w:rFonts w:eastAsia="Times New Roman" w:cs="Arial"/>
                <w:b w:val="0"/>
                <w:color w:val="FFFFFF"/>
                <w:sz w:val="18"/>
                <w:szCs w:val="18"/>
                <w:lang w:eastAsia="en-AU"/>
              </w:rPr>
              <w:t>Capacity rebid</w:t>
            </w:r>
            <w:r w:rsidRPr="00483FA8">
              <w:rPr>
                <w:rFonts w:eastAsia="Times New Roman" w:cs="Arial"/>
                <w:b w:val="0"/>
                <w:color w:val="FFFFFF"/>
                <w:sz w:val="18"/>
                <w:szCs w:val="18"/>
                <w:lang w:eastAsia="en-AU"/>
              </w:rPr>
              <w:br/>
              <w:t>(MW)</w:t>
            </w:r>
          </w:p>
        </w:tc>
        <w:tc>
          <w:tcPr>
            <w:tcW w:w="926" w:type="dxa"/>
            <w:hideMark/>
          </w:tcPr>
          <w:p w:rsidR="00F74FC8" w:rsidRPr="00483FA8"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483FA8">
              <w:rPr>
                <w:rFonts w:eastAsia="Times New Roman" w:cs="Arial"/>
                <w:b w:val="0"/>
                <w:color w:val="FFFFFF"/>
                <w:sz w:val="18"/>
                <w:szCs w:val="18"/>
                <w:lang w:eastAsia="en-AU"/>
              </w:rPr>
              <w:t>Price from</w:t>
            </w:r>
            <w:r w:rsidRPr="00483FA8">
              <w:rPr>
                <w:rFonts w:eastAsia="Times New Roman" w:cs="Arial"/>
                <w:b w:val="0"/>
                <w:color w:val="FFFFFF"/>
                <w:sz w:val="18"/>
                <w:szCs w:val="18"/>
                <w:lang w:eastAsia="en-AU"/>
              </w:rPr>
              <w:br/>
              <w:t>($/MWh)</w:t>
            </w:r>
          </w:p>
        </w:tc>
        <w:tc>
          <w:tcPr>
            <w:tcW w:w="906" w:type="dxa"/>
            <w:hideMark/>
          </w:tcPr>
          <w:p w:rsidR="00F74FC8" w:rsidRPr="00483FA8"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483FA8">
              <w:rPr>
                <w:rFonts w:eastAsia="Times New Roman" w:cs="Arial"/>
                <w:b w:val="0"/>
                <w:color w:val="FFFFFF"/>
                <w:sz w:val="18"/>
                <w:szCs w:val="18"/>
                <w:lang w:eastAsia="en-AU"/>
              </w:rPr>
              <w:t>Price to</w:t>
            </w:r>
            <w:r w:rsidRPr="00483FA8">
              <w:rPr>
                <w:rFonts w:eastAsia="Times New Roman" w:cs="Arial"/>
                <w:b w:val="0"/>
                <w:color w:val="FFFFFF"/>
                <w:sz w:val="18"/>
                <w:szCs w:val="18"/>
                <w:lang w:eastAsia="en-AU"/>
              </w:rPr>
              <w:br/>
              <w:t>($/MWh)</w:t>
            </w:r>
          </w:p>
        </w:tc>
        <w:tc>
          <w:tcPr>
            <w:tcW w:w="2645" w:type="dxa"/>
            <w:hideMark/>
          </w:tcPr>
          <w:p w:rsidR="00F74FC8" w:rsidRPr="00483FA8" w:rsidRDefault="00F74FC8" w:rsidP="00C669A3">
            <w:pPr>
              <w:spacing w:before="0" w:line="240" w:lineRule="auto"/>
              <w:jc w:val="center"/>
              <w:textAlignment w:val="top"/>
              <w:rPr>
                <w:rFonts w:eastAsia="Times New Roman" w:cs="Arial"/>
                <w:b w:val="0"/>
                <w:color w:val="FFFFFF"/>
                <w:sz w:val="18"/>
                <w:szCs w:val="18"/>
                <w:lang w:eastAsia="en-AU"/>
              </w:rPr>
            </w:pPr>
            <w:r w:rsidRPr="00483FA8">
              <w:rPr>
                <w:rFonts w:eastAsia="Times New Roman" w:cs="Arial"/>
                <w:b w:val="0"/>
                <w:color w:val="FFFFFF"/>
                <w:sz w:val="18"/>
                <w:szCs w:val="18"/>
                <w:lang w:eastAsia="en-AU"/>
              </w:rPr>
              <w:t>Rebid reason</w:t>
            </w:r>
          </w:p>
        </w:tc>
      </w:tr>
      <w:tr w:rsidR="00F74FC8" w:rsidRPr="00483FA8" w:rsidTr="00D44C71">
        <w:trPr>
          <w:trHeight w:val="582"/>
        </w:trPr>
        <w:tc>
          <w:tcPr>
            <w:tcW w:w="1027" w:type="dxa"/>
            <w:vAlign w:val="center"/>
          </w:tcPr>
          <w:p w:rsidR="00F74FC8" w:rsidRPr="00483FA8" w:rsidRDefault="00483FA8" w:rsidP="00D44C71">
            <w:pPr>
              <w:spacing w:before="0" w:line="240" w:lineRule="auto"/>
              <w:jc w:val="center"/>
              <w:textAlignment w:val="center"/>
              <w:rPr>
                <w:rFonts w:eastAsia="Times New Roman" w:cs="Arial"/>
                <w:color w:val="000000"/>
                <w:szCs w:val="18"/>
                <w:lang w:eastAsia="en-AU"/>
              </w:rPr>
            </w:pPr>
            <w:r w:rsidRPr="00483FA8">
              <w:rPr>
                <w:rFonts w:eastAsia="Times New Roman" w:cs="Arial"/>
                <w:color w:val="000000"/>
                <w:szCs w:val="18"/>
                <w:lang w:eastAsia="en-AU"/>
              </w:rPr>
              <w:t>7.06 am</w:t>
            </w:r>
          </w:p>
        </w:tc>
        <w:tc>
          <w:tcPr>
            <w:tcW w:w="887" w:type="dxa"/>
            <w:vAlign w:val="center"/>
          </w:tcPr>
          <w:p w:rsidR="00F74FC8" w:rsidRPr="00483FA8" w:rsidRDefault="00F74FC8" w:rsidP="00D44C71">
            <w:pPr>
              <w:spacing w:before="0" w:line="240" w:lineRule="auto"/>
              <w:jc w:val="center"/>
              <w:textAlignment w:val="center"/>
              <w:rPr>
                <w:rFonts w:eastAsia="Times New Roman" w:cs="Arial"/>
                <w:color w:val="000000"/>
                <w:szCs w:val="18"/>
                <w:lang w:eastAsia="en-AU"/>
              </w:rPr>
            </w:pPr>
          </w:p>
        </w:tc>
        <w:tc>
          <w:tcPr>
            <w:tcW w:w="1313" w:type="dxa"/>
            <w:vAlign w:val="center"/>
          </w:tcPr>
          <w:p w:rsidR="00F74FC8" w:rsidRPr="00483FA8" w:rsidRDefault="00483FA8" w:rsidP="00D44C71">
            <w:pPr>
              <w:spacing w:before="0" w:line="240" w:lineRule="auto"/>
              <w:jc w:val="center"/>
              <w:textAlignment w:val="center"/>
              <w:rPr>
                <w:rFonts w:eastAsia="Times New Roman" w:cs="Arial"/>
                <w:color w:val="000000"/>
                <w:szCs w:val="18"/>
                <w:lang w:eastAsia="en-AU"/>
              </w:rPr>
            </w:pPr>
            <w:r w:rsidRPr="00483FA8">
              <w:rPr>
                <w:rFonts w:eastAsia="Times New Roman" w:cs="Arial"/>
                <w:color w:val="000000"/>
                <w:szCs w:val="18"/>
                <w:lang w:eastAsia="en-AU"/>
              </w:rPr>
              <w:t>AGL Energy</w:t>
            </w:r>
          </w:p>
        </w:tc>
        <w:tc>
          <w:tcPr>
            <w:tcW w:w="850" w:type="dxa"/>
            <w:vAlign w:val="center"/>
          </w:tcPr>
          <w:p w:rsidR="00F74FC8" w:rsidRPr="00483FA8" w:rsidRDefault="00483FA8" w:rsidP="00D44C71">
            <w:pPr>
              <w:spacing w:before="0" w:line="240" w:lineRule="auto"/>
              <w:jc w:val="center"/>
              <w:textAlignment w:val="center"/>
              <w:rPr>
                <w:rFonts w:eastAsia="Times New Roman" w:cs="Arial"/>
                <w:color w:val="000000"/>
                <w:szCs w:val="18"/>
                <w:lang w:eastAsia="en-AU"/>
              </w:rPr>
            </w:pPr>
            <w:r w:rsidRPr="00483FA8">
              <w:rPr>
                <w:rFonts w:eastAsia="Times New Roman" w:cs="Arial"/>
                <w:color w:val="000000"/>
                <w:szCs w:val="18"/>
                <w:lang w:eastAsia="en-AU"/>
              </w:rPr>
              <w:t>Torrens Island</w:t>
            </w:r>
          </w:p>
        </w:tc>
        <w:tc>
          <w:tcPr>
            <w:tcW w:w="917" w:type="dxa"/>
            <w:vAlign w:val="center"/>
          </w:tcPr>
          <w:p w:rsidR="00F74FC8" w:rsidRPr="00483FA8" w:rsidRDefault="00BF2D75" w:rsidP="00D44C71">
            <w:pPr>
              <w:spacing w:before="0" w:line="240" w:lineRule="auto"/>
              <w:jc w:val="center"/>
              <w:textAlignment w:val="center"/>
              <w:rPr>
                <w:rFonts w:eastAsia="Times New Roman" w:cs="Arial"/>
                <w:color w:val="000000"/>
                <w:szCs w:val="18"/>
                <w:lang w:eastAsia="en-AU"/>
              </w:rPr>
            </w:pPr>
            <w:r>
              <w:rPr>
                <w:rFonts w:eastAsia="Times New Roman" w:cs="Arial"/>
                <w:color w:val="000000"/>
                <w:szCs w:val="18"/>
                <w:lang w:eastAsia="en-AU"/>
              </w:rPr>
              <w:t>105</w:t>
            </w:r>
          </w:p>
        </w:tc>
        <w:tc>
          <w:tcPr>
            <w:tcW w:w="926" w:type="dxa"/>
            <w:vAlign w:val="center"/>
          </w:tcPr>
          <w:p w:rsidR="00F74FC8" w:rsidRPr="00483FA8" w:rsidRDefault="00483FA8" w:rsidP="00D44C71">
            <w:pPr>
              <w:spacing w:before="0" w:line="240" w:lineRule="auto"/>
              <w:jc w:val="center"/>
              <w:textAlignment w:val="center"/>
              <w:rPr>
                <w:rFonts w:eastAsia="Times New Roman" w:cs="Arial"/>
                <w:color w:val="000000"/>
                <w:szCs w:val="18"/>
                <w:lang w:eastAsia="en-AU"/>
              </w:rPr>
            </w:pPr>
            <w:r w:rsidRPr="00483FA8">
              <w:rPr>
                <w:rFonts w:eastAsia="Times New Roman" w:cs="Arial"/>
                <w:color w:val="000000"/>
                <w:szCs w:val="18"/>
                <w:lang w:eastAsia="en-AU"/>
              </w:rPr>
              <w:t>&lt;95</w:t>
            </w:r>
          </w:p>
        </w:tc>
        <w:tc>
          <w:tcPr>
            <w:tcW w:w="906" w:type="dxa"/>
            <w:vAlign w:val="center"/>
          </w:tcPr>
          <w:p w:rsidR="00F74FC8" w:rsidRPr="00483FA8" w:rsidRDefault="00483FA8" w:rsidP="00D44C71">
            <w:pPr>
              <w:spacing w:before="0" w:line="240" w:lineRule="auto"/>
              <w:jc w:val="center"/>
              <w:textAlignment w:val="center"/>
              <w:rPr>
                <w:rFonts w:eastAsia="Times New Roman" w:cs="Arial"/>
                <w:color w:val="000000"/>
                <w:szCs w:val="18"/>
                <w:lang w:eastAsia="en-AU"/>
              </w:rPr>
            </w:pPr>
            <w:r w:rsidRPr="00483FA8">
              <w:rPr>
                <w:rFonts w:eastAsia="Times New Roman" w:cs="Arial"/>
                <w:color w:val="000000"/>
                <w:szCs w:val="18"/>
                <w:lang w:eastAsia="en-AU"/>
              </w:rPr>
              <w:t>351</w:t>
            </w:r>
          </w:p>
        </w:tc>
        <w:tc>
          <w:tcPr>
            <w:tcW w:w="2645" w:type="dxa"/>
          </w:tcPr>
          <w:p w:rsidR="00F74FC8" w:rsidRPr="00483FA8" w:rsidRDefault="00483FA8" w:rsidP="00C669A3">
            <w:pPr>
              <w:spacing w:before="0" w:line="240" w:lineRule="auto"/>
              <w:textAlignment w:val="center"/>
              <w:rPr>
                <w:rFonts w:eastAsia="Times New Roman" w:cs="Arial"/>
                <w:color w:val="000000"/>
                <w:szCs w:val="18"/>
                <w:lang w:eastAsia="en-AU"/>
              </w:rPr>
            </w:pPr>
            <w:r w:rsidRPr="00483FA8">
              <w:rPr>
                <w:rFonts w:cs="Arial"/>
                <w:sz w:val="16"/>
                <w:szCs w:val="16"/>
              </w:rPr>
              <w:t>0700~F~010 CHANGE IN F/CAST FUEL CONSUMPT~010 CONSERVE GAS FOR LIMITS</w:t>
            </w:r>
          </w:p>
        </w:tc>
      </w:tr>
      <w:tr w:rsidR="00483FA8" w:rsidRPr="00483FA8" w:rsidTr="00D44C71">
        <w:trPr>
          <w:cnfStyle w:val="000000010000" w:firstRow="0" w:lastRow="0" w:firstColumn="0" w:lastColumn="0" w:oddVBand="0" w:evenVBand="0" w:oddHBand="0" w:evenHBand="1" w:firstRowFirstColumn="0" w:firstRowLastColumn="0" w:lastRowFirstColumn="0" w:lastRowLastColumn="0"/>
          <w:trHeight w:val="582"/>
        </w:trPr>
        <w:tc>
          <w:tcPr>
            <w:tcW w:w="1027" w:type="dxa"/>
            <w:vAlign w:val="center"/>
          </w:tcPr>
          <w:p w:rsidR="00483FA8" w:rsidRPr="00483FA8" w:rsidRDefault="00483FA8" w:rsidP="00D44C71">
            <w:pPr>
              <w:spacing w:before="0" w:line="240" w:lineRule="auto"/>
              <w:jc w:val="center"/>
              <w:textAlignment w:val="center"/>
              <w:rPr>
                <w:rFonts w:eastAsia="Times New Roman" w:cs="Arial"/>
                <w:color w:val="000000"/>
                <w:sz w:val="18"/>
                <w:szCs w:val="18"/>
                <w:lang w:eastAsia="en-AU"/>
              </w:rPr>
            </w:pPr>
            <w:r w:rsidRPr="00483FA8">
              <w:rPr>
                <w:rFonts w:eastAsia="Times New Roman" w:cs="Arial"/>
                <w:color w:val="000000"/>
                <w:sz w:val="18"/>
                <w:szCs w:val="18"/>
                <w:lang w:eastAsia="en-AU"/>
              </w:rPr>
              <w:t>7.37 am</w:t>
            </w:r>
          </w:p>
        </w:tc>
        <w:tc>
          <w:tcPr>
            <w:tcW w:w="887" w:type="dxa"/>
            <w:vAlign w:val="center"/>
          </w:tcPr>
          <w:p w:rsidR="00483FA8" w:rsidRPr="00483FA8" w:rsidRDefault="00483FA8" w:rsidP="00D44C71">
            <w:pPr>
              <w:spacing w:before="0" w:line="240" w:lineRule="auto"/>
              <w:jc w:val="center"/>
              <w:textAlignment w:val="center"/>
              <w:rPr>
                <w:rFonts w:eastAsia="Times New Roman" w:cs="Arial"/>
                <w:color w:val="000000"/>
                <w:sz w:val="18"/>
                <w:szCs w:val="18"/>
                <w:lang w:eastAsia="en-AU"/>
              </w:rPr>
            </w:pPr>
          </w:p>
        </w:tc>
        <w:tc>
          <w:tcPr>
            <w:tcW w:w="1313" w:type="dxa"/>
            <w:vAlign w:val="center"/>
          </w:tcPr>
          <w:p w:rsidR="00483FA8" w:rsidRPr="00483FA8" w:rsidRDefault="00483FA8" w:rsidP="00D44C71">
            <w:pPr>
              <w:spacing w:before="0" w:line="240" w:lineRule="auto"/>
              <w:jc w:val="center"/>
              <w:textAlignment w:val="center"/>
              <w:rPr>
                <w:rFonts w:eastAsia="Times New Roman" w:cs="Arial"/>
                <w:color w:val="000000"/>
                <w:sz w:val="18"/>
                <w:szCs w:val="18"/>
                <w:lang w:eastAsia="en-AU"/>
              </w:rPr>
            </w:pPr>
            <w:r w:rsidRPr="00483FA8">
              <w:rPr>
                <w:rFonts w:eastAsia="Times New Roman" w:cs="Arial"/>
                <w:color w:val="000000"/>
                <w:sz w:val="18"/>
                <w:szCs w:val="18"/>
                <w:lang w:eastAsia="en-AU"/>
              </w:rPr>
              <w:t>AGL Energy</w:t>
            </w:r>
          </w:p>
        </w:tc>
        <w:tc>
          <w:tcPr>
            <w:tcW w:w="850" w:type="dxa"/>
            <w:vAlign w:val="center"/>
          </w:tcPr>
          <w:p w:rsidR="00483FA8" w:rsidRPr="00483FA8" w:rsidRDefault="00483FA8" w:rsidP="00D44C71">
            <w:pPr>
              <w:spacing w:before="0" w:line="240" w:lineRule="auto"/>
              <w:jc w:val="center"/>
              <w:textAlignment w:val="center"/>
              <w:rPr>
                <w:rFonts w:eastAsia="Times New Roman" w:cs="Arial"/>
                <w:color w:val="000000"/>
                <w:sz w:val="18"/>
                <w:szCs w:val="18"/>
                <w:lang w:eastAsia="en-AU"/>
              </w:rPr>
            </w:pPr>
            <w:r w:rsidRPr="00483FA8">
              <w:rPr>
                <w:rFonts w:eastAsia="Times New Roman" w:cs="Arial"/>
                <w:color w:val="000000"/>
                <w:sz w:val="18"/>
                <w:szCs w:val="18"/>
                <w:lang w:eastAsia="en-AU"/>
              </w:rPr>
              <w:t>Torrens Island</w:t>
            </w:r>
          </w:p>
        </w:tc>
        <w:tc>
          <w:tcPr>
            <w:tcW w:w="917" w:type="dxa"/>
            <w:vAlign w:val="center"/>
          </w:tcPr>
          <w:p w:rsidR="00483FA8" w:rsidRPr="00483FA8" w:rsidRDefault="00483FA8" w:rsidP="00D44C71">
            <w:pPr>
              <w:spacing w:before="0" w:line="240" w:lineRule="auto"/>
              <w:jc w:val="center"/>
              <w:textAlignment w:val="center"/>
              <w:rPr>
                <w:rFonts w:eastAsia="Times New Roman" w:cs="Arial"/>
                <w:color w:val="000000"/>
                <w:sz w:val="18"/>
                <w:szCs w:val="18"/>
                <w:lang w:eastAsia="en-AU"/>
              </w:rPr>
            </w:pPr>
            <w:r w:rsidRPr="00483FA8">
              <w:rPr>
                <w:rFonts w:eastAsia="Times New Roman" w:cs="Arial"/>
                <w:color w:val="000000"/>
                <w:sz w:val="18"/>
                <w:szCs w:val="18"/>
                <w:lang w:eastAsia="en-AU"/>
              </w:rPr>
              <w:t>280</w:t>
            </w:r>
          </w:p>
        </w:tc>
        <w:tc>
          <w:tcPr>
            <w:tcW w:w="926" w:type="dxa"/>
            <w:vAlign w:val="center"/>
          </w:tcPr>
          <w:p w:rsidR="00483FA8" w:rsidRPr="00483FA8" w:rsidRDefault="00483FA8" w:rsidP="00D44C71">
            <w:pPr>
              <w:spacing w:before="0" w:line="240" w:lineRule="auto"/>
              <w:jc w:val="center"/>
              <w:textAlignment w:val="center"/>
              <w:rPr>
                <w:rFonts w:eastAsia="Times New Roman" w:cs="Arial"/>
                <w:color w:val="000000"/>
                <w:sz w:val="18"/>
                <w:szCs w:val="18"/>
                <w:lang w:eastAsia="en-AU"/>
              </w:rPr>
            </w:pPr>
            <w:r w:rsidRPr="00483FA8">
              <w:rPr>
                <w:rFonts w:eastAsia="Times New Roman" w:cs="Arial"/>
                <w:color w:val="000000"/>
                <w:sz w:val="18"/>
                <w:szCs w:val="18"/>
                <w:lang w:eastAsia="en-AU"/>
              </w:rPr>
              <w:t>&lt;125</w:t>
            </w:r>
          </w:p>
        </w:tc>
        <w:tc>
          <w:tcPr>
            <w:tcW w:w="906" w:type="dxa"/>
            <w:vAlign w:val="center"/>
          </w:tcPr>
          <w:p w:rsidR="00483FA8" w:rsidRPr="00483FA8" w:rsidRDefault="00483FA8" w:rsidP="00D44C71">
            <w:pPr>
              <w:spacing w:before="0" w:line="240" w:lineRule="auto"/>
              <w:jc w:val="center"/>
              <w:textAlignment w:val="center"/>
              <w:rPr>
                <w:rFonts w:eastAsia="Times New Roman" w:cs="Arial"/>
                <w:color w:val="000000"/>
                <w:sz w:val="18"/>
                <w:szCs w:val="18"/>
                <w:lang w:eastAsia="en-AU"/>
              </w:rPr>
            </w:pPr>
            <w:r w:rsidRPr="00483FA8">
              <w:rPr>
                <w:rFonts w:eastAsia="Times New Roman" w:cs="Arial"/>
                <w:color w:val="000000"/>
                <w:sz w:val="18"/>
                <w:szCs w:val="18"/>
                <w:lang w:eastAsia="en-AU"/>
              </w:rPr>
              <w:t>351</w:t>
            </w:r>
          </w:p>
        </w:tc>
        <w:tc>
          <w:tcPr>
            <w:tcW w:w="2645" w:type="dxa"/>
          </w:tcPr>
          <w:p w:rsidR="00483FA8" w:rsidRPr="00483FA8" w:rsidRDefault="00675F7A" w:rsidP="00675F7A">
            <w:pPr>
              <w:spacing w:before="0" w:line="240" w:lineRule="auto"/>
              <w:textAlignment w:val="center"/>
              <w:rPr>
                <w:rFonts w:eastAsia="Times New Roman" w:cs="Arial"/>
                <w:color w:val="000000"/>
                <w:szCs w:val="18"/>
                <w:lang w:eastAsia="en-AU"/>
              </w:rPr>
            </w:pPr>
            <w:r w:rsidRPr="00483FA8">
              <w:rPr>
                <w:rFonts w:cs="Arial"/>
                <w:sz w:val="16"/>
                <w:szCs w:val="16"/>
              </w:rPr>
              <w:t>07</w:t>
            </w:r>
            <w:r>
              <w:rPr>
                <w:rFonts w:cs="Arial"/>
                <w:sz w:val="16"/>
                <w:szCs w:val="16"/>
              </w:rPr>
              <w:t>3</w:t>
            </w:r>
            <w:r w:rsidRPr="00483FA8">
              <w:rPr>
                <w:rFonts w:cs="Arial"/>
                <w:sz w:val="16"/>
                <w:szCs w:val="16"/>
              </w:rPr>
              <w:t>0</w:t>
            </w:r>
            <w:r w:rsidR="00483FA8" w:rsidRPr="00483FA8">
              <w:rPr>
                <w:rFonts w:cs="Arial"/>
                <w:sz w:val="16"/>
                <w:szCs w:val="16"/>
              </w:rPr>
              <w:t>~F~010 CHANGE IN F/CAST FUEL CONSUMPT~010 CONSERVE GAS FOR LIMITS</w:t>
            </w:r>
          </w:p>
        </w:tc>
      </w:tr>
    </w:tbl>
    <w:p w:rsidR="00F74FC8" w:rsidRPr="00D44C71" w:rsidRDefault="00970C3B" w:rsidP="00564D15">
      <w:pPr>
        <w:pStyle w:val="AERbodytext"/>
        <w:rPr>
          <w:b/>
        </w:rPr>
      </w:pPr>
      <w:r w:rsidRPr="00D44C71">
        <w:t xml:space="preserve">As a result of the above rebidding </w:t>
      </w:r>
      <w:r w:rsidR="00EA05DF" w:rsidRPr="00D44C71">
        <w:t xml:space="preserve">all but the </w:t>
      </w:r>
      <w:r w:rsidR="00D44C71" w:rsidRPr="00D44C71">
        <w:t>8.</w:t>
      </w:r>
      <w:r w:rsidR="00564D15" w:rsidRPr="00D44C71">
        <w:t>05</w:t>
      </w:r>
      <w:r w:rsidR="00564D15">
        <w:rPr>
          <w:b/>
        </w:rPr>
        <w:t> </w:t>
      </w:r>
      <w:r w:rsidR="00D44C71" w:rsidRPr="00D44C71">
        <w:t>am, 8.</w:t>
      </w:r>
      <w:r w:rsidR="00564D15" w:rsidRPr="00D44C71">
        <w:t>30</w:t>
      </w:r>
      <w:r w:rsidR="00564D15">
        <w:rPr>
          <w:b/>
        </w:rPr>
        <w:t> </w:t>
      </w:r>
      <w:r w:rsidR="00D44C71" w:rsidRPr="00D44C71">
        <w:t>am, and 8.</w:t>
      </w:r>
      <w:r w:rsidR="00564D15" w:rsidRPr="00D44C71">
        <w:t>35</w:t>
      </w:r>
      <w:r w:rsidR="00564D15">
        <w:rPr>
          <w:b/>
        </w:rPr>
        <w:t> </w:t>
      </w:r>
      <w:r w:rsidR="00D44C71" w:rsidRPr="00D44C71">
        <w:t>am</w:t>
      </w:r>
      <w:r w:rsidR="00EA05DF" w:rsidRPr="00D44C71">
        <w:t xml:space="preserve"> </w:t>
      </w:r>
      <w:r w:rsidRPr="00D44C71">
        <w:t xml:space="preserve">dispatch interval </w:t>
      </w:r>
      <w:r w:rsidR="00EA05DF" w:rsidRPr="00D44C71">
        <w:t>price</w:t>
      </w:r>
      <w:r w:rsidR="00D44C71" w:rsidRPr="00D44C71">
        <w:t>s were around $35</w:t>
      </w:r>
      <w:r w:rsidR="00EA05DF" w:rsidRPr="00D44C71">
        <w:t>0/</w:t>
      </w:r>
      <w:r w:rsidR="007E4344">
        <w:t>MWh, set by Torrens Island</w:t>
      </w:r>
      <w:r w:rsidR="00EA05DF" w:rsidRPr="00D44C71">
        <w:t>.</w:t>
      </w:r>
    </w:p>
    <w:bookmarkEnd w:id="0"/>
    <w:bookmarkEnd w:id="1"/>
    <w:bookmarkEnd w:id="2"/>
    <w:bookmarkEnd w:id="3"/>
    <w:bookmarkEnd w:id="4"/>
    <w:bookmarkEnd w:id="5"/>
    <w:p w:rsidR="00141D3A" w:rsidRDefault="00141D3A">
      <w:pPr>
        <w:spacing w:line="240" w:lineRule="auto"/>
        <w:rPr>
          <w:rFonts w:eastAsiaTheme="majorEastAsia" w:cstheme="majorBidi"/>
          <w:b/>
          <w:bCs/>
          <w:color w:val="51626F"/>
          <w:sz w:val="28"/>
          <w:szCs w:val="26"/>
        </w:rPr>
      </w:pPr>
      <w:r>
        <w:rPr>
          <w:rFonts w:eastAsiaTheme="majorEastAsia" w:cstheme="majorBidi"/>
          <w:b/>
          <w:bCs/>
          <w:color w:val="51626F"/>
          <w:sz w:val="28"/>
          <w:szCs w:val="26"/>
        </w:rPr>
        <w:br w:type="page"/>
      </w:r>
    </w:p>
    <w:p w:rsidR="00275002" w:rsidRPr="0031019A" w:rsidRDefault="00275002" w:rsidP="005F6ADE">
      <w:pPr>
        <w:pStyle w:val="Heading2"/>
      </w:pPr>
      <w:r w:rsidRPr="0031019A">
        <w:lastRenderedPageBreak/>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840B14">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966015">
      <w:pPr>
        <w:pStyle w:val="Caption"/>
        <w:spacing w:before="0" w:line="240" w:lineRule="auto"/>
      </w:pPr>
      <w:bookmarkStart w:id="23" w:name="_Ref410386540"/>
      <w:r>
        <w:t xml:space="preserve">Figure </w:t>
      </w:r>
      <w:fldSimple w:instr=" SEQ Figure \* ARABIC ">
        <w:r w:rsidR="00840B14">
          <w:rPr>
            <w:noProof/>
          </w:rPr>
          <w:t>9</w:t>
        </w:r>
      </w:fldSimple>
      <w:bookmarkEnd w:id="23"/>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231D30" w:rsidP="00966015">
      <w:pPr>
        <w:spacing w:before="0" w:after="120" w:line="240" w:lineRule="auto"/>
      </w:pPr>
      <w:r w:rsidRPr="00231D30">
        <w:rPr>
          <w:noProof/>
          <w:lang w:eastAsia="en-AU"/>
        </w:rPr>
        <w:drawing>
          <wp:inline distT="0" distB="0" distL="0" distR="0" wp14:anchorId="493C6958" wp14:editId="2DA225BE">
            <wp:extent cx="5731510" cy="2887842"/>
            <wp:effectExtent l="0" t="0" r="2540" b="8255"/>
            <wp:docPr id="22" name="Picture 2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p>
    <w:p w:rsidR="00CA0ECB" w:rsidRDefault="00275002" w:rsidP="00966015">
      <w:pPr>
        <w:spacing w:before="0" w:after="120" w:line="240" w:lineRule="auto"/>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Default="00275002" w:rsidP="009A3D22">
      <w:pPr>
        <w:jc w:val="both"/>
      </w:pPr>
      <w:r>
        <w:fldChar w:fldCharType="begin"/>
      </w:r>
      <w:r>
        <w:instrText xml:space="preserve"> REF _Ref410380382 \h </w:instrText>
      </w:r>
      <w:r w:rsidR="009A3D22">
        <w:instrText xml:space="preserve"> \* MERGEFORMAT </w:instrText>
      </w:r>
      <w:r>
        <w:fldChar w:fldCharType="separate"/>
      </w:r>
      <w:r w:rsidR="00840B14">
        <w:t xml:space="preserve">Figure </w:t>
      </w:r>
      <w:r w:rsidR="00840B14">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2B720D">
      <w:pPr>
        <w:pStyle w:val="Caption"/>
      </w:pPr>
      <w:bookmarkStart w:id="24" w:name="_Ref410380382"/>
      <w:r>
        <w:t xml:space="preserve">Figure </w:t>
      </w:r>
      <w:fldSimple w:instr=" SEQ Figure \* ARABIC ">
        <w:r w:rsidR="00840B14">
          <w:rPr>
            <w:noProof/>
          </w:rPr>
          <w:t>10</w:t>
        </w:r>
      </w:fldSimple>
      <w:bookmarkEnd w:id="24"/>
      <w:r w:rsidR="002515C3">
        <w:t>:</w:t>
      </w:r>
      <w:r w:rsidRPr="00DF093A">
        <w:t xml:space="preserve"> Price of Q1 201</w:t>
      </w:r>
      <w:r w:rsidR="00F87EBA">
        <w:t>6</w:t>
      </w:r>
      <w:r w:rsidRPr="00DF093A">
        <w:t xml:space="preserve"> base contracts over the past 10 weeks (and the past 2 years)</w:t>
      </w:r>
    </w:p>
    <w:p w:rsidR="00275002" w:rsidRPr="0031019A" w:rsidRDefault="00231D30" w:rsidP="004D4A76">
      <w:pPr>
        <w:pStyle w:val="Caption"/>
        <w:spacing w:before="0" w:after="0" w:line="240" w:lineRule="auto"/>
      </w:pPr>
      <w:r w:rsidRPr="00231D30">
        <w:rPr>
          <w:noProof/>
          <w:lang w:eastAsia="en-AU"/>
        </w:rPr>
        <w:drawing>
          <wp:inline distT="0" distB="0" distL="0" distR="0" wp14:anchorId="408EBC85" wp14:editId="3EE313A2">
            <wp:extent cx="5731510" cy="2901820"/>
            <wp:effectExtent l="0" t="0" r="2540" b="0"/>
            <wp:docPr id="23" name="Picture 23"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09653D">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lastRenderedPageBreak/>
        <w:fldChar w:fldCharType="begin"/>
      </w:r>
      <w:r>
        <w:instrText xml:space="preserve"> REF _Ref428276233 \h </w:instrText>
      </w:r>
      <w:r>
        <w:fldChar w:fldCharType="separate"/>
      </w:r>
      <w:r w:rsidR="00840B14">
        <w:t xml:space="preserve">Figure </w:t>
      </w:r>
      <w:r w:rsidR="00840B14">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5" w:name="_Ref428276233"/>
      <w:bookmarkStart w:id="26" w:name="_Ref410744936"/>
      <w:r>
        <w:t xml:space="preserve">Figure </w:t>
      </w:r>
      <w:fldSimple w:instr=" SEQ Figure \* ARABIC ">
        <w:r w:rsidR="00840B14">
          <w:rPr>
            <w:noProof/>
          </w:rPr>
          <w:t>11</w:t>
        </w:r>
      </w:fldSimple>
      <w:bookmarkEnd w:id="25"/>
      <w:r w:rsidR="002515C3">
        <w:t>:</w:t>
      </w:r>
      <w:r w:rsidRPr="0074419D">
        <w:t xml:space="preserve"> Price of Q1 201</w:t>
      </w:r>
      <w:r w:rsidR="00F87EBA">
        <w:t>6</w:t>
      </w:r>
      <w:r w:rsidRPr="0074419D">
        <w:t xml:space="preserve"> cap contracts over the past 10 weeks (and the past 2 years)</w:t>
      </w:r>
      <w:bookmarkEnd w:id="26"/>
    </w:p>
    <w:p w:rsidR="00275002" w:rsidRPr="0031019A" w:rsidRDefault="00231D30" w:rsidP="00CB0FA5">
      <w:pPr>
        <w:spacing w:before="0" w:line="240" w:lineRule="auto"/>
      </w:pPr>
      <w:r w:rsidRPr="00231D30">
        <w:rPr>
          <w:noProof/>
          <w:lang w:eastAsia="en-AU"/>
        </w:rPr>
        <w:drawing>
          <wp:inline distT="0" distB="0" distL="0" distR="0" wp14:anchorId="2874F51C" wp14:editId="29EC030C">
            <wp:extent cx="5731510" cy="2873998"/>
            <wp:effectExtent l="0" t="0" r="2540" b="3175"/>
            <wp:docPr id="27" name="Picture 27"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0D4350" w:rsidRDefault="000D4350" w:rsidP="00275002">
      <w:pPr>
        <w:pStyle w:val="Heading4notnumbered"/>
      </w:pPr>
    </w:p>
    <w:p w:rsidR="00275002" w:rsidRPr="0031019A" w:rsidRDefault="00275002" w:rsidP="00275002">
      <w:pPr>
        <w:pStyle w:val="Heading4notnumbered"/>
      </w:pPr>
      <w:r w:rsidRPr="0031019A">
        <w:t>Australian Energy Regulator</w:t>
      </w:r>
      <w:r w:rsidR="005B0EF5">
        <w:br/>
      </w:r>
      <w:r w:rsidR="00440F0B">
        <w:t>January</w:t>
      </w:r>
      <w:r w:rsidR="00440F0B" w:rsidRPr="0031019A">
        <w:t xml:space="preserve"> </w:t>
      </w:r>
      <w:r w:rsidRPr="0031019A">
        <w:t>201</w:t>
      </w:r>
      <w:r w:rsidR="00440F0B">
        <w:t>6</w:t>
      </w:r>
    </w:p>
    <w:sectPr w:rsidR="00275002" w:rsidRPr="0031019A" w:rsidSect="00F167CF">
      <w:footerReference w:type="even" r:id="rId27"/>
      <w:footerReference w:type="default" r:id="rId28"/>
      <w:footerReference w:type="first" r:id="rId29"/>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06" w:rsidRDefault="00F72C06" w:rsidP="004B4412">
      <w:pPr>
        <w:spacing w:before="0"/>
      </w:pPr>
      <w:r>
        <w:separator/>
      </w:r>
    </w:p>
  </w:endnote>
  <w:endnote w:type="continuationSeparator" w:id="0">
    <w:p w:rsidR="00F72C06" w:rsidRDefault="00F72C0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6" w:rsidRPr="00A91A9E" w:rsidRDefault="00F72C0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72C06" w:rsidRDefault="00F72C06"/>
  <w:p w:rsidR="00F72C06" w:rsidRDefault="00F72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6" w:rsidRPr="00A94D89" w:rsidRDefault="00F72C0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40B14">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6" w:rsidRPr="00A94D89" w:rsidRDefault="00F72C0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40B14">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w:t>
    </w:r>
    <w:r w:rsidR="00440F0B">
      <w:rPr>
        <w:rFonts w:cs="Arial"/>
        <w:i/>
        <w:szCs w:val="18"/>
      </w:rPr>
      <w:t>190149</w:t>
    </w:r>
  </w:p>
  <w:p w:rsidR="00F72C06" w:rsidRDefault="00F72C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06" w:rsidRDefault="00F72C06" w:rsidP="004B4412">
      <w:pPr>
        <w:spacing w:before="0"/>
      </w:pPr>
      <w:r>
        <w:separator/>
      </w:r>
    </w:p>
  </w:footnote>
  <w:footnote w:type="continuationSeparator" w:id="0">
    <w:p w:rsidR="00F72C06" w:rsidRDefault="00F72C0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20151206 - 20151212 electricity weekly report.DOCX"/>
  </w:docVars>
  <w:rsids>
    <w:rsidRoot w:val="00275002"/>
    <w:rsid w:val="00000BFE"/>
    <w:rsid w:val="00003169"/>
    <w:rsid w:val="0000728F"/>
    <w:rsid w:val="00007624"/>
    <w:rsid w:val="000128E1"/>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22AB"/>
    <w:rsid w:val="00043FA7"/>
    <w:rsid w:val="000442BA"/>
    <w:rsid w:val="00044D80"/>
    <w:rsid w:val="000452BA"/>
    <w:rsid w:val="000461E2"/>
    <w:rsid w:val="0005123C"/>
    <w:rsid w:val="00051568"/>
    <w:rsid w:val="00051880"/>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9653D"/>
    <w:rsid w:val="000A29ED"/>
    <w:rsid w:val="000A62D6"/>
    <w:rsid w:val="000A6F14"/>
    <w:rsid w:val="000B0311"/>
    <w:rsid w:val="000B2488"/>
    <w:rsid w:val="000B3C8A"/>
    <w:rsid w:val="000D122C"/>
    <w:rsid w:val="000D355E"/>
    <w:rsid w:val="000D3C77"/>
    <w:rsid w:val="000D4350"/>
    <w:rsid w:val="000D68C5"/>
    <w:rsid w:val="000E1819"/>
    <w:rsid w:val="000E1A1B"/>
    <w:rsid w:val="000E2946"/>
    <w:rsid w:val="000E4F81"/>
    <w:rsid w:val="000E54D6"/>
    <w:rsid w:val="000E55C7"/>
    <w:rsid w:val="000E5B55"/>
    <w:rsid w:val="000E6C72"/>
    <w:rsid w:val="000E77BB"/>
    <w:rsid w:val="000E7E24"/>
    <w:rsid w:val="000F1D61"/>
    <w:rsid w:val="000F56F6"/>
    <w:rsid w:val="000F5855"/>
    <w:rsid w:val="000F6FA7"/>
    <w:rsid w:val="00100142"/>
    <w:rsid w:val="0010743A"/>
    <w:rsid w:val="00113AE0"/>
    <w:rsid w:val="001158FE"/>
    <w:rsid w:val="00115CCB"/>
    <w:rsid w:val="00116EB2"/>
    <w:rsid w:val="00117195"/>
    <w:rsid w:val="0012092C"/>
    <w:rsid w:val="00122831"/>
    <w:rsid w:val="00124609"/>
    <w:rsid w:val="00124D78"/>
    <w:rsid w:val="00125F4F"/>
    <w:rsid w:val="00127CAB"/>
    <w:rsid w:val="001337EF"/>
    <w:rsid w:val="00133FC8"/>
    <w:rsid w:val="00136716"/>
    <w:rsid w:val="00136A08"/>
    <w:rsid w:val="001373F1"/>
    <w:rsid w:val="00141D3A"/>
    <w:rsid w:val="001435CC"/>
    <w:rsid w:val="0014511E"/>
    <w:rsid w:val="00145982"/>
    <w:rsid w:val="00151F61"/>
    <w:rsid w:val="001539E0"/>
    <w:rsid w:val="0015451B"/>
    <w:rsid w:val="00155113"/>
    <w:rsid w:val="001566F6"/>
    <w:rsid w:val="001573E4"/>
    <w:rsid w:val="00160756"/>
    <w:rsid w:val="0016270F"/>
    <w:rsid w:val="00164FB1"/>
    <w:rsid w:val="00165247"/>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973F9"/>
    <w:rsid w:val="001A7E89"/>
    <w:rsid w:val="001B0C3B"/>
    <w:rsid w:val="001B45A0"/>
    <w:rsid w:val="001B4A7D"/>
    <w:rsid w:val="001B6C15"/>
    <w:rsid w:val="001C027D"/>
    <w:rsid w:val="001C17B3"/>
    <w:rsid w:val="001C1BC0"/>
    <w:rsid w:val="001C2EE8"/>
    <w:rsid w:val="001C6748"/>
    <w:rsid w:val="001D055E"/>
    <w:rsid w:val="001D0CE3"/>
    <w:rsid w:val="001D5BEB"/>
    <w:rsid w:val="001D60FF"/>
    <w:rsid w:val="001D7698"/>
    <w:rsid w:val="001E01B4"/>
    <w:rsid w:val="001E14C2"/>
    <w:rsid w:val="001E4665"/>
    <w:rsid w:val="001E48B3"/>
    <w:rsid w:val="001E5AEE"/>
    <w:rsid w:val="001E6FDD"/>
    <w:rsid w:val="001F03EF"/>
    <w:rsid w:val="001F0EC9"/>
    <w:rsid w:val="001F1B78"/>
    <w:rsid w:val="001F22EE"/>
    <w:rsid w:val="001F2577"/>
    <w:rsid w:val="001F492E"/>
    <w:rsid w:val="001F6DA3"/>
    <w:rsid w:val="001F7575"/>
    <w:rsid w:val="00201136"/>
    <w:rsid w:val="0020132A"/>
    <w:rsid w:val="00203300"/>
    <w:rsid w:val="0020376D"/>
    <w:rsid w:val="0020489F"/>
    <w:rsid w:val="002050F5"/>
    <w:rsid w:val="002072A2"/>
    <w:rsid w:val="0021147E"/>
    <w:rsid w:val="00212D2F"/>
    <w:rsid w:val="00213CF6"/>
    <w:rsid w:val="00214FBA"/>
    <w:rsid w:val="00215E19"/>
    <w:rsid w:val="002164FB"/>
    <w:rsid w:val="00216865"/>
    <w:rsid w:val="002216F5"/>
    <w:rsid w:val="00224DB9"/>
    <w:rsid w:val="002276F0"/>
    <w:rsid w:val="00227C97"/>
    <w:rsid w:val="00230D26"/>
    <w:rsid w:val="00231D30"/>
    <w:rsid w:val="00232A71"/>
    <w:rsid w:val="00237048"/>
    <w:rsid w:val="00242C25"/>
    <w:rsid w:val="002438D9"/>
    <w:rsid w:val="00247473"/>
    <w:rsid w:val="002515C3"/>
    <w:rsid w:val="00251745"/>
    <w:rsid w:val="00251C37"/>
    <w:rsid w:val="00251D74"/>
    <w:rsid w:val="00262F65"/>
    <w:rsid w:val="00263AC0"/>
    <w:rsid w:val="002649D2"/>
    <w:rsid w:val="002649D8"/>
    <w:rsid w:val="00265486"/>
    <w:rsid w:val="0026772D"/>
    <w:rsid w:val="00270A51"/>
    <w:rsid w:val="00275002"/>
    <w:rsid w:val="00275927"/>
    <w:rsid w:val="002817AB"/>
    <w:rsid w:val="002828A0"/>
    <w:rsid w:val="0028440E"/>
    <w:rsid w:val="00286874"/>
    <w:rsid w:val="0029246F"/>
    <w:rsid w:val="00294653"/>
    <w:rsid w:val="00296B65"/>
    <w:rsid w:val="002A1B5C"/>
    <w:rsid w:val="002A3CF2"/>
    <w:rsid w:val="002A4EF8"/>
    <w:rsid w:val="002A7439"/>
    <w:rsid w:val="002A7729"/>
    <w:rsid w:val="002A7C78"/>
    <w:rsid w:val="002A7DEF"/>
    <w:rsid w:val="002B0DAE"/>
    <w:rsid w:val="002B720D"/>
    <w:rsid w:val="002C2278"/>
    <w:rsid w:val="002C581B"/>
    <w:rsid w:val="002C624D"/>
    <w:rsid w:val="002C6DD3"/>
    <w:rsid w:val="002D1734"/>
    <w:rsid w:val="002D37FB"/>
    <w:rsid w:val="002D484E"/>
    <w:rsid w:val="002D4A1F"/>
    <w:rsid w:val="002E6254"/>
    <w:rsid w:val="002F02A4"/>
    <w:rsid w:val="002F3D02"/>
    <w:rsid w:val="002F4F34"/>
    <w:rsid w:val="002F7986"/>
    <w:rsid w:val="00300C0B"/>
    <w:rsid w:val="003061FA"/>
    <w:rsid w:val="00307F6D"/>
    <w:rsid w:val="003153EB"/>
    <w:rsid w:val="003177A2"/>
    <w:rsid w:val="00317A81"/>
    <w:rsid w:val="00317D33"/>
    <w:rsid w:val="00321853"/>
    <w:rsid w:val="00322300"/>
    <w:rsid w:val="003243B4"/>
    <w:rsid w:val="003271B5"/>
    <w:rsid w:val="00331264"/>
    <w:rsid w:val="00332F5D"/>
    <w:rsid w:val="00334C8D"/>
    <w:rsid w:val="00336D50"/>
    <w:rsid w:val="003401B9"/>
    <w:rsid w:val="00341169"/>
    <w:rsid w:val="00342870"/>
    <w:rsid w:val="003518B3"/>
    <w:rsid w:val="00352DA8"/>
    <w:rsid w:val="00354887"/>
    <w:rsid w:val="00355CDD"/>
    <w:rsid w:val="00355D2F"/>
    <w:rsid w:val="00356E72"/>
    <w:rsid w:val="00366515"/>
    <w:rsid w:val="00366B2C"/>
    <w:rsid w:val="00371F3A"/>
    <w:rsid w:val="003749F7"/>
    <w:rsid w:val="00381A48"/>
    <w:rsid w:val="00383C6B"/>
    <w:rsid w:val="003846F1"/>
    <w:rsid w:val="00384A55"/>
    <w:rsid w:val="00384B54"/>
    <w:rsid w:val="00386C86"/>
    <w:rsid w:val="00395B4C"/>
    <w:rsid w:val="003A0810"/>
    <w:rsid w:val="003A3E2D"/>
    <w:rsid w:val="003A41E0"/>
    <w:rsid w:val="003A4B6B"/>
    <w:rsid w:val="003A7DC0"/>
    <w:rsid w:val="003B282E"/>
    <w:rsid w:val="003B40ED"/>
    <w:rsid w:val="003B4804"/>
    <w:rsid w:val="003B6F90"/>
    <w:rsid w:val="003B7346"/>
    <w:rsid w:val="003C0710"/>
    <w:rsid w:val="003C24A9"/>
    <w:rsid w:val="003C2B22"/>
    <w:rsid w:val="003C3C98"/>
    <w:rsid w:val="003C62E9"/>
    <w:rsid w:val="003C7EFA"/>
    <w:rsid w:val="003D5258"/>
    <w:rsid w:val="003E1341"/>
    <w:rsid w:val="003E47DC"/>
    <w:rsid w:val="003E521D"/>
    <w:rsid w:val="003E78A9"/>
    <w:rsid w:val="003F0289"/>
    <w:rsid w:val="003F54CB"/>
    <w:rsid w:val="003F57F1"/>
    <w:rsid w:val="003F5F74"/>
    <w:rsid w:val="003F75C8"/>
    <w:rsid w:val="00402142"/>
    <w:rsid w:val="00403473"/>
    <w:rsid w:val="004034C5"/>
    <w:rsid w:val="00404504"/>
    <w:rsid w:val="00405B42"/>
    <w:rsid w:val="00411897"/>
    <w:rsid w:val="00412176"/>
    <w:rsid w:val="00414488"/>
    <w:rsid w:val="00415788"/>
    <w:rsid w:val="004157C0"/>
    <w:rsid w:val="00416641"/>
    <w:rsid w:val="00424809"/>
    <w:rsid w:val="00440A5B"/>
    <w:rsid w:val="00440D85"/>
    <w:rsid w:val="00440F0B"/>
    <w:rsid w:val="00444A48"/>
    <w:rsid w:val="00452463"/>
    <w:rsid w:val="00456C20"/>
    <w:rsid w:val="00456CF4"/>
    <w:rsid w:val="00462CFF"/>
    <w:rsid w:val="00471992"/>
    <w:rsid w:val="00471D94"/>
    <w:rsid w:val="00471E68"/>
    <w:rsid w:val="0048018F"/>
    <w:rsid w:val="00480B4B"/>
    <w:rsid w:val="004831F8"/>
    <w:rsid w:val="00483FA8"/>
    <w:rsid w:val="00485752"/>
    <w:rsid w:val="00485DC4"/>
    <w:rsid w:val="00487C10"/>
    <w:rsid w:val="00492A06"/>
    <w:rsid w:val="00493B02"/>
    <w:rsid w:val="00495574"/>
    <w:rsid w:val="004A1184"/>
    <w:rsid w:val="004B1040"/>
    <w:rsid w:val="004B104F"/>
    <w:rsid w:val="004B1708"/>
    <w:rsid w:val="004B1D5B"/>
    <w:rsid w:val="004B231C"/>
    <w:rsid w:val="004B4412"/>
    <w:rsid w:val="004C348C"/>
    <w:rsid w:val="004C63B9"/>
    <w:rsid w:val="004C6C5B"/>
    <w:rsid w:val="004D4A76"/>
    <w:rsid w:val="004D5447"/>
    <w:rsid w:val="004D55BA"/>
    <w:rsid w:val="004E1B1C"/>
    <w:rsid w:val="004E1E95"/>
    <w:rsid w:val="004E34E7"/>
    <w:rsid w:val="004E4142"/>
    <w:rsid w:val="004E7D10"/>
    <w:rsid w:val="004F18F3"/>
    <w:rsid w:val="004F6ED0"/>
    <w:rsid w:val="00501B85"/>
    <w:rsid w:val="00502843"/>
    <w:rsid w:val="00505B5E"/>
    <w:rsid w:val="005177C0"/>
    <w:rsid w:val="00522486"/>
    <w:rsid w:val="00522668"/>
    <w:rsid w:val="005279B6"/>
    <w:rsid w:val="00530128"/>
    <w:rsid w:val="00530657"/>
    <w:rsid w:val="00532467"/>
    <w:rsid w:val="0053491C"/>
    <w:rsid w:val="0053611E"/>
    <w:rsid w:val="0054173F"/>
    <w:rsid w:val="00543945"/>
    <w:rsid w:val="00543BEC"/>
    <w:rsid w:val="00544C6F"/>
    <w:rsid w:val="00547DC4"/>
    <w:rsid w:val="005502E7"/>
    <w:rsid w:val="00555667"/>
    <w:rsid w:val="00556B64"/>
    <w:rsid w:val="005575B9"/>
    <w:rsid w:val="00562CEE"/>
    <w:rsid w:val="00564A4D"/>
    <w:rsid w:val="00564D15"/>
    <w:rsid w:val="00565239"/>
    <w:rsid w:val="005656E2"/>
    <w:rsid w:val="0056783F"/>
    <w:rsid w:val="005703C9"/>
    <w:rsid w:val="005707D4"/>
    <w:rsid w:val="00571680"/>
    <w:rsid w:val="00571B35"/>
    <w:rsid w:val="005722FF"/>
    <w:rsid w:val="00572D20"/>
    <w:rsid w:val="00574241"/>
    <w:rsid w:val="00575C43"/>
    <w:rsid w:val="00577A09"/>
    <w:rsid w:val="00577F68"/>
    <w:rsid w:val="005819F3"/>
    <w:rsid w:val="00582446"/>
    <w:rsid w:val="005839B3"/>
    <w:rsid w:val="00584D8F"/>
    <w:rsid w:val="00595ED0"/>
    <w:rsid w:val="005A1339"/>
    <w:rsid w:val="005A3226"/>
    <w:rsid w:val="005A3B2C"/>
    <w:rsid w:val="005A404D"/>
    <w:rsid w:val="005A6CB0"/>
    <w:rsid w:val="005A6F22"/>
    <w:rsid w:val="005B0461"/>
    <w:rsid w:val="005B0EF5"/>
    <w:rsid w:val="005B1E3C"/>
    <w:rsid w:val="005B7F8F"/>
    <w:rsid w:val="005C26CC"/>
    <w:rsid w:val="005C3411"/>
    <w:rsid w:val="005C3D54"/>
    <w:rsid w:val="005C3DEC"/>
    <w:rsid w:val="005C53C0"/>
    <w:rsid w:val="005C546A"/>
    <w:rsid w:val="005C592F"/>
    <w:rsid w:val="005C5D2E"/>
    <w:rsid w:val="005C5E72"/>
    <w:rsid w:val="005D2FBD"/>
    <w:rsid w:val="005D69AF"/>
    <w:rsid w:val="005E0B7E"/>
    <w:rsid w:val="005E6FFA"/>
    <w:rsid w:val="005F69C4"/>
    <w:rsid w:val="005F6ADE"/>
    <w:rsid w:val="005F7247"/>
    <w:rsid w:val="00600B2D"/>
    <w:rsid w:val="00602A58"/>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573B5"/>
    <w:rsid w:val="00661F88"/>
    <w:rsid w:val="00663DAD"/>
    <w:rsid w:val="00665ACC"/>
    <w:rsid w:val="0067180B"/>
    <w:rsid w:val="00673D15"/>
    <w:rsid w:val="00675F7A"/>
    <w:rsid w:val="00676679"/>
    <w:rsid w:val="006777D7"/>
    <w:rsid w:val="00686411"/>
    <w:rsid w:val="00687AA8"/>
    <w:rsid w:val="00694FD6"/>
    <w:rsid w:val="006956EC"/>
    <w:rsid w:val="006A35B0"/>
    <w:rsid w:val="006A6EDD"/>
    <w:rsid w:val="006B0C7B"/>
    <w:rsid w:val="006B4CF9"/>
    <w:rsid w:val="006B6CC3"/>
    <w:rsid w:val="006B7AC8"/>
    <w:rsid w:val="006C196C"/>
    <w:rsid w:val="006C1E8B"/>
    <w:rsid w:val="006C41C4"/>
    <w:rsid w:val="006C447D"/>
    <w:rsid w:val="006C62B7"/>
    <w:rsid w:val="006D3561"/>
    <w:rsid w:val="006D550F"/>
    <w:rsid w:val="006D5B9F"/>
    <w:rsid w:val="006D7923"/>
    <w:rsid w:val="006E1E7D"/>
    <w:rsid w:val="006E218F"/>
    <w:rsid w:val="006E5F3E"/>
    <w:rsid w:val="006F08CF"/>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AF0"/>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0944"/>
    <w:rsid w:val="007D2028"/>
    <w:rsid w:val="007D53A8"/>
    <w:rsid w:val="007D6FC9"/>
    <w:rsid w:val="007E1516"/>
    <w:rsid w:val="007E4344"/>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0985"/>
    <w:rsid w:val="00831483"/>
    <w:rsid w:val="008344B4"/>
    <w:rsid w:val="008344F6"/>
    <w:rsid w:val="0083510F"/>
    <w:rsid w:val="008366CD"/>
    <w:rsid w:val="00836890"/>
    <w:rsid w:val="00840B14"/>
    <w:rsid w:val="00840C6C"/>
    <w:rsid w:val="00847ED9"/>
    <w:rsid w:val="00851209"/>
    <w:rsid w:val="0085188E"/>
    <w:rsid w:val="00852B3D"/>
    <w:rsid w:val="008556A5"/>
    <w:rsid w:val="00855A23"/>
    <w:rsid w:val="00857917"/>
    <w:rsid w:val="00861AED"/>
    <w:rsid w:val="00863BE5"/>
    <w:rsid w:val="00867506"/>
    <w:rsid w:val="00870903"/>
    <w:rsid w:val="0087280A"/>
    <w:rsid w:val="0087308C"/>
    <w:rsid w:val="00873B1F"/>
    <w:rsid w:val="0087479D"/>
    <w:rsid w:val="008837AC"/>
    <w:rsid w:val="00884D30"/>
    <w:rsid w:val="00886BAB"/>
    <w:rsid w:val="00886CEC"/>
    <w:rsid w:val="00887EBF"/>
    <w:rsid w:val="008909FD"/>
    <w:rsid w:val="008A4DB6"/>
    <w:rsid w:val="008A587D"/>
    <w:rsid w:val="008A6198"/>
    <w:rsid w:val="008A7580"/>
    <w:rsid w:val="008A7E37"/>
    <w:rsid w:val="008B0D4C"/>
    <w:rsid w:val="008B416B"/>
    <w:rsid w:val="008B6DA5"/>
    <w:rsid w:val="008C094A"/>
    <w:rsid w:val="008C1D7C"/>
    <w:rsid w:val="008C1FE0"/>
    <w:rsid w:val="008C4E0D"/>
    <w:rsid w:val="008C5486"/>
    <w:rsid w:val="008C6B16"/>
    <w:rsid w:val="008E1E8E"/>
    <w:rsid w:val="008E535A"/>
    <w:rsid w:val="008E6CAE"/>
    <w:rsid w:val="008E7031"/>
    <w:rsid w:val="008F14C9"/>
    <w:rsid w:val="008F2DE1"/>
    <w:rsid w:val="008F6FC7"/>
    <w:rsid w:val="009004F5"/>
    <w:rsid w:val="0090239D"/>
    <w:rsid w:val="009057E0"/>
    <w:rsid w:val="00914975"/>
    <w:rsid w:val="00914A87"/>
    <w:rsid w:val="00915BFF"/>
    <w:rsid w:val="00922ACF"/>
    <w:rsid w:val="009233EE"/>
    <w:rsid w:val="0092422F"/>
    <w:rsid w:val="009335AE"/>
    <w:rsid w:val="00933B55"/>
    <w:rsid w:val="00936740"/>
    <w:rsid w:val="009377D8"/>
    <w:rsid w:val="00940393"/>
    <w:rsid w:val="009409A5"/>
    <w:rsid w:val="00943969"/>
    <w:rsid w:val="00944863"/>
    <w:rsid w:val="00950B15"/>
    <w:rsid w:val="0095158D"/>
    <w:rsid w:val="00952CF7"/>
    <w:rsid w:val="009540FA"/>
    <w:rsid w:val="00956C19"/>
    <w:rsid w:val="00957591"/>
    <w:rsid w:val="0095772E"/>
    <w:rsid w:val="00960AC5"/>
    <w:rsid w:val="00960C83"/>
    <w:rsid w:val="00966015"/>
    <w:rsid w:val="009661DE"/>
    <w:rsid w:val="00967F08"/>
    <w:rsid w:val="00970C3B"/>
    <w:rsid w:val="00972A40"/>
    <w:rsid w:val="00974CDB"/>
    <w:rsid w:val="00981578"/>
    <w:rsid w:val="00982FEB"/>
    <w:rsid w:val="009837D1"/>
    <w:rsid w:val="00983EEC"/>
    <w:rsid w:val="009856B7"/>
    <w:rsid w:val="00985A66"/>
    <w:rsid w:val="0098646A"/>
    <w:rsid w:val="009920D2"/>
    <w:rsid w:val="009928BC"/>
    <w:rsid w:val="00994EE0"/>
    <w:rsid w:val="0099572C"/>
    <w:rsid w:val="009A3D22"/>
    <w:rsid w:val="009A6D69"/>
    <w:rsid w:val="009B0884"/>
    <w:rsid w:val="009B21F2"/>
    <w:rsid w:val="009B4E65"/>
    <w:rsid w:val="009B533B"/>
    <w:rsid w:val="009B5478"/>
    <w:rsid w:val="009B5D28"/>
    <w:rsid w:val="009B69AA"/>
    <w:rsid w:val="009B74B0"/>
    <w:rsid w:val="009C2056"/>
    <w:rsid w:val="009C4FB9"/>
    <w:rsid w:val="009C6A83"/>
    <w:rsid w:val="009D3016"/>
    <w:rsid w:val="009D6B46"/>
    <w:rsid w:val="009E5B65"/>
    <w:rsid w:val="009E6668"/>
    <w:rsid w:val="009E7749"/>
    <w:rsid w:val="009E7AC6"/>
    <w:rsid w:val="009E7D2D"/>
    <w:rsid w:val="009F0A79"/>
    <w:rsid w:val="009F1D03"/>
    <w:rsid w:val="009F1E42"/>
    <w:rsid w:val="009F4806"/>
    <w:rsid w:val="009F4940"/>
    <w:rsid w:val="00A041F4"/>
    <w:rsid w:val="00A04F9F"/>
    <w:rsid w:val="00A057D1"/>
    <w:rsid w:val="00A159BF"/>
    <w:rsid w:val="00A15E40"/>
    <w:rsid w:val="00A17C7C"/>
    <w:rsid w:val="00A2302C"/>
    <w:rsid w:val="00A26C2F"/>
    <w:rsid w:val="00A3632A"/>
    <w:rsid w:val="00A42006"/>
    <w:rsid w:val="00A4478A"/>
    <w:rsid w:val="00A44852"/>
    <w:rsid w:val="00A47A03"/>
    <w:rsid w:val="00A52A18"/>
    <w:rsid w:val="00A57D04"/>
    <w:rsid w:val="00A57D69"/>
    <w:rsid w:val="00A60A26"/>
    <w:rsid w:val="00A61598"/>
    <w:rsid w:val="00A64EBB"/>
    <w:rsid w:val="00A6730F"/>
    <w:rsid w:val="00A679F2"/>
    <w:rsid w:val="00A71AA6"/>
    <w:rsid w:val="00A75AAA"/>
    <w:rsid w:val="00A81EF8"/>
    <w:rsid w:val="00A8434D"/>
    <w:rsid w:val="00A84E2D"/>
    <w:rsid w:val="00A84F46"/>
    <w:rsid w:val="00A86493"/>
    <w:rsid w:val="00A871F4"/>
    <w:rsid w:val="00A91A4B"/>
    <w:rsid w:val="00A923DD"/>
    <w:rsid w:val="00A9455D"/>
    <w:rsid w:val="00A94D89"/>
    <w:rsid w:val="00AA0CEB"/>
    <w:rsid w:val="00AA476F"/>
    <w:rsid w:val="00AA649A"/>
    <w:rsid w:val="00AA7190"/>
    <w:rsid w:val="00AB6478"/>
    <w:rsid w:val="00AC0FE9"/>
    <w:rsid w:val="00AC1B2C"/>
    <w:rsid w:val="00AC1CF3"/>
    <w:rsid w:val="00AC242C"/>
    <w:rsid w:val="00AC3264"/>
    <w:rsid w:val="00AD3D69"/>
    <w:rsid w:val="00AD592F"/>
    <w:rsid w:val="00AE0399"/>
    <w:rsid w:val="00AE1BF1"/>
    <w:rsid w:val="00AE2792"/>
    <w:rsid w:val="00AF0DD2"/>
    <w:rsid w:val="00AF3A41"/>
    <w:rsid w:val="00AF46F3"/>
    <w:rsid w:val="00AF66A7"/>
    <w:rsid w:val="00AF7058"/>
    <w:rsid w:val="00B017BD"/>
    <w:rsid w:val="00B03817"/>
    <w:rsid w:val="00B057C8"/>
    <w:rsid w:val="00B109DD"/>
    <w:rsid w:val="00B11C09"/>
    <w:rsid w:val="00B1285B"/>
    <w:rsid w:val="00B13048"/>
    <w:rsid w:val="00B14CE4"/>
    <w:rsid w:val="00B1716D"/>
    <w:rsid w:val="00B17A1D"/>
    <w:rsid w:val="00B207A0"/>
    <w:rsid w:val="00B211EE"/>
    <w:rsid w:val="00B23484"/>
    <w:rsid w:val="00B26AAA"/>
    <w:rsid w:val="00B30D82"/>
    <w:rsid w:val="00B31071"/>
    <w:rsid w:val="00B35810"/>
    <w:rsid w:val="00B35937"/>
    <w:rsid w:val="00B4128D"/>
    <w:rsid w:val="00B41686"/>
    <w:rsid w:val="00B44E99"/>
    <w:rsid w:val="00B56E03"/>
    <w:rsid w:val="00B62BB5"/>
    <w:rsid w:val="00B63E2C"/>
    <w:rsid w:val="00B64DF7"/>
    <w:rsid w:val="00B65CAC"/>
    <w:rsid w:val="00B70A7F"/>
    <w:rsid w:val="00B70CA5"/>
    <w:rsid w:val="00B752C5"/>
    <w:rsid w:val="00B8080B"/>
    <w:rsid w:val="00B85D8A"/>
    <w:rsid w:val="00B87C39"/>
    <w:rsid w:val="00B87DD6"/>
    <w:rsid w:val="00B904FF"/>
    <w:rsid w:val="00B91BE8"/>
    <w:rsid w:val="00B92CD5"/>
    <w:rsid w:val="00B956D7"/>
    <w:rsid w:val="00BA1F27"/>
    <w:rsid w:val="00BA390A"/>
    <w:rsid w:val="00BA3992"/>
    <w:rsid w:val="00BA4665"/>
    <w:rsid w:val="00BB20BA"/>
    <w:rsid w:val="00BB2FB2"/>
    <w:rsid w:val="00BB3304"/>
    <w:rsid w:val="00BB4732"/>
    <w:rsid w:val="00BB7780"/>
    <w:rsid w:val="00BC6398"/>
    <w:rsid w:val="00BC675F"/>
    <w:rsid w:val="00BD0BD0"/>
    <w:rsid w:val="00BD10B4"/>
    <w:rsid w:val="00BD3446"/>
    <w:rsid w:val="00BD5467"/>
    <w:rsid w:val="00BD7176"/>
    <w:rsid w:val="00BD71BD"/>
    <w:rsid w:val="00BE1F1B"/>
    <w:rsid w:val="00BE47B5"/>
    <w:rsid w:val="00BE7DBC"/>
    <w:rsid w:val="00BF2D75"/>
    <w:rsid w:val="00BF4639"/>
    <w:rsid w:val="00BF65C1"/>
    <w:rsid w:val="00BF771C"/>
    <w:rsid w:val="00C008E0"/>
    <w:rsid w:val="00C008FE"/>
    <w:rsid w:val="00C01734"/>
    <w:rsid w:val="00C04914"/>
    <w:rsid w:val="00C05C48"/>
    <w:rsid w:val="00C064A7"/>
    <w:rsid w:val="00C075A3"/>
    <w:rsid w:val="00C07A89"/>
    <w:rsid w:val="00C12A83"/>
    <w:rsid w:val="00C154C0"/>
    <w:rsid w:val="00C16B2C"/>
    <w:rsid w:val="00C17CB8"/>
    <w:rsid w:val="00C30BBE"/>
    <w:rsid w:val="00C34065"/>
    <w:rsid w:val="00C4709E"/>
    <w:rsid w:val="00C50EC2"/>
    <w:rsid w:val="00C51484"/>
    <w:rsid w:val="00C538A9"/>
    <w:rsid w:val="00C53B5A"/>
    <w:rsid w:val="00C54F5A"/>
    <w:rsid w:val="00C56506"/>
    <w:rsid w:val="00C565C5"/>
    <w:rsid w:val="00C6191E"/>
    <w:rsid w:val="00C62797"/>
    <w:rsid w:val="00C6290C"/>
    <w:rsid w:val="00C669A3"/>
    <w:rsid w:val="00C672E0"/>
    <w:rsid w:val="00C729B4"/>
    <w:rsid w:val="00C73A47"/>
    <w:rsid w:val="00C73C83"/>
    <w:rsid w:val="00C74075"/>
    <w:rsid w:val="00C74A11"/>
    <w:rsid w:val="00C8473D"/>
    <w:rsid w:val="00C86679"/>
    <w:rsid w:val="00C86919"/>
    <w:rsid w:val="00C872DB"/>
    <w:rsid w:val="00C87867"/>
    <w:rsid w:val="00C950AF"/>
    <w:rsid w:val="00C95B7C"/>
    <w:rsid w:val="00C9660A"/>
    <w:rsid w:val="00C96A92"/>
    <w:rsid w:val="00CA04F2"/>
    <w:rsid w:val="00CA0ECB"/>
    <w:rsid w:val="00CA394C"/>
    <w:rsid w:val="00CA51FE"/>
    <w:rsid w:val="00CB0FA5"/>
    <w:rsid w:val="00CB666B"/>
    <w:rsid w:val="00CB695E"/>
    <w:rsid w:val="00CC1D64"/>
    <w:rsid w:val="00CC2C03"/>
    <w:rsid w:val="00CC2CA1"/>
    <w:rsid w:val="00CD40AD"/>
    <w:rsid w:val="00CD4E7F"/>
    <w:rsid w:val="00CE15A5"/>
    <w:rsid w:val="00CE1831"/>
    <w:rsid w:val="00CF0E01"/>
    <w:rsid w:val="00CF455C"/>
    <w:rsid w:val="00CF5382"/>
    <w:rsid w:val="00CF6F3C"/>
    <w:rsid w:val="00D01CF0"/>
    <w:rsid w:val="00D0442A"/>
    <w:rsid w:val="00D07128"/>
    <w:rsid w:val="00D11721"/>
    <w:rsid w:val="00D11CB3"/>
    <w:rsid w:val="00D1516F"/>
    <w:rsid w:val="00D16710"/>
    <w:rsid w:val="00D22BD4"/>
    <w:rsid w:val="00D22E23"/>
    <w:rsid w:val="00D2306D"/>
    <w:rsid w:val="00D270E1"/>
    <w:rsid w:val="00D323D0"/>
    <w:rsid w:val="00D32767"/>
    <w:rsid w:val="00D44037"/>
    <w:rsid w:val="00D44C71"/>
    <w:rsid w:val="00D4681D"/>
    <w:rsid w:val="00D5111E"/>
    <w:rsid w:val="00D5124C"/>
    <w:rsid w:val="00D541AC"/>
    <w:rsid w:val="00D61388"/>
    <w:rsid w:val="00D615F9"/>
    <w:rsid w:val="00D61A54"/>
    <w:rsid w:val="00D64DEA"/>
    <w:rsid w:val="00D67D07"/>
    <w:rsid w:val="00D70F71"/>
    <w:rsid w:val="00D71771"/>
    <w:rsid w:val="00D73D17"/>
    <w:rsid w:val="00D74261"/>
    <w:rsid w:val="00D74971"/>
    <w:rsid w:val="00D80893"/>
    <w:rsid w:val="00D839A7"/>
    <w:rsid w:val="00D86899"/>
    <w:rsid w:val="00D87097"/>
    <w:rsid w:val="00D92938"/>
    <w:rsid w:val="00D92A31"/>
    <w:rsid w:val="00D92CF1"/>
    <w:rsid w:val="00D92D38"/>
    <w:rsid w:val="00D936B6"/>
    <w:rsid w:val="00D950F5"/>
    <w:rsid w:val="00DA1CA3"/>
    <w:rsid w:val="00DB0F93"/>
    <w:rsid w:val="00DB16A7"/>
    <w:rsid w:val="00DB196A"/>
    <w:rsid w:val="00DB20BF"/>
    <w:rsid w:val="00DB4CC4"/>
    <w:rsid w:val="00DB584A"/>
    <w:rsid w:val="00DB7FD1"/>
    <w:rsid w:val="00DC153A"/>
    <w:rsid w:val="00DC24BF"/>
    <w:rsid w:val="00DC2907"/>
    <w:rsid w:val="00DC5E54"/>
    <w:rsid w:val="00DC7981"/>
    <w:rsid w:val="00DD1263"/>
    <w:rsid w:val="00DD15C2"/>
    <w:rsid w:val="00DD27EA"/>
    <w:rsid w:val="00DD33DE"/>
    <w:rsid w:val="00DE4EFA"/>
    <w:rsid w:val="00DE5520"/>
    <w:rsid w:val="00DE7345"/>
    <w:rsid w:val="00DF0714"/>
    <w:rsid w:val="00DF7793"/>
    <w:rsid w:val="00E00EC9"/>
    <w:rsid w:val="00E03069"/>
    <w:rsid w:val="00E04818"/>
    <w:rsid w:val="00E06442"/>
    <w:rsid w:val="00E115DE"/>
    <w:rsid w:val="00E135DB"/>
    <w:rsid w:val="00E13C85"/>
    <w:rsid w:val="00E227A4"/>
    <w:rsid w:val="00E23993"/>
    <w:rsid w:val="00E25B8C"/>
    <w:rsid w:val="00E32A8C"/>
    <w:rsid w:val="00E35AE8"/>
    <w:rsid w:val="00E3678B"/>
    <w:rsid w:val="00E3724C"/>
    <w:rsid w:val="00E37F0B"/>
    <w:rsid w:val="00E40B9C"/>
    <w:rsid w:val="00E42976"/>
    <w:rsid w:val="00E4482C"/>
    <w:rsid w:val="00E4680F"/>
    <w:rsid w:val="00E47EAD"/>
    <w:rsid w:val="00E52A27"/>
    <w:rsid w:val="00E55C3C"/>
    <w:rsid w:val="00E65C85"/>
    <w:rsid w:val="00E65CF4"/>
    <w:rsid w:val="00E66199"/>
    <w:rsid w:val="00E715D5"/>
    <w:rsid w:val="00E737E3"/>
    <w:rsid w:val="00E7472E"/>
    <w:rsid w:val="00E755EC"/>
    <w:rsid w:val="00E7624D"/>
    <w:rsid w:val="00E823D9"/>
    <w:rsid w:val="00E8569F"/>
    <w:rsid w:val="00E86851"/>
    <w:rsid w:val="00E91BED"/>
    <w:rsid w:val="00E95CA7"/>
    <w:rsid w:val="00E96C7D"/>
    <w:rsid w:val="00E96EFF"/>
    <w:rsid w:val="00EA05DF"/>
    <w:rsid w:val="00EA1DEE"/>
    <w:rsid w:val="00EA3D42"/>
    <w:rsid w:val="00EA6B1B"/>
    <w:rsid w:val="00EB049F"/>
    <w:rsid w:val="00EB456D"/>
    <w:rsid w:val="00EB540F"/>
    <w:rsid w:val="00EB7D7F"/>
    <w:rsid w:val="00EC0674"/>
    <w:rsid w:val="00EC317E"/>
    <w:rsid w:val="00EC67D4"/>
    <w:rsid w:val="00EC7EB1"/>
    <w:rsid w:val="00ED3C5B"/>
    <w:rsid w:val="00ED4A25"/>
    <w:rsid w:val="00ED6E24"/>
    <w:rsid w:val="00EE164B"/>
    <w:rsid w:val="00EE28F3"/>
    <w:rsid w:val="00EE347F"/>
    <w:rsid w:val="00EE46CE"/>
    <w:rsid w:val="00EE575A"/>
    <w:rsid w:val="00EF013A"/>
    <w:rsid w:val="00EF0E42"/>
    <w:rsid w:val="00EF1961"/>
    <w:rsid w:val="00EF3FB8"/>
    <w:rsid w:val="00EF5110"/>
    <w:rsid w:val="00EF62CA"/>
    <w:rsid w:val="00F019C5"/>
    <w:rsid w:val="00F02D9B"/>
    <w:rsid w:val="00F031FE"/>
    <w:rsid w:val="00F06531"/>
    <w:rsid w:val="00F06B5B"/>
    <w:rsid w:val="00F072C7"/>
    <w:rsid w:val="00F113FD"/>
    <w:rsid w:val="00F13EAA"/>
    <w:rsid w:val="00F15882"/>
    <w:rsid w:val="00F15AB9"/>
    <w:rsid w:val="00F167CF"/>
    <w:rsid w:val="00F1785E"/>
    <w:rsid w:val="00F20BD3"/>
    <w:rsid w:val="00F27967"/>
    <w:rsid w:val="00F32D35"/>
    <w:rsid w:val="00F3590E"/>
    <w:rsid w:val="00F373A5"/>
    <w:rsid w:val="00F45B2F"/>
    <w:rsid w:val="00F46453"/>
    <w:rsid w:val="00F47559"/>
    <w:rsid w:val="00F55548"/>
    <w:rsid w:val="00F6043C"/>
    <w:rsid w:val="00F60561"/>
    <w:rsid w:val="00F61055"/>
    <w:rsid w:val="00F61AA8"/>
    <w:rsid w:val="00F61EEA"/>
    <w:rsid w:val="00F64C7B"/>
    <w:rsid w:val="00F64F82"/>
    <w:rsid w:val="00F662F1"/>
    <w:rsid w:val="00F66967"/>
    <w:rsid w:val="00F676DD"/>
    <w:rsid w:val="00F70811"/>
    <w:rsid w:val="00F71486"/>
    <w:rsid w:val="00F72C06"/>
    <w:rsid w:val="00F72F41"/>
    <w:rsid w:val="00F74FC8"/>
    <w:rsid w:val="00F75A26"/>
    <w:rsid w:val="00F77D49"/>
    <w:rsid w:val="00F83FAD"/>
    <w:rsid w:val="00F87EBA"/>
    <w:rsid w:val="00F93225"/>
    <w:rsid w:val="00F952A0"/>
    <w:rsid w:val="00F965FC"/>
    <w:rsid w:val="00FA18E7"/>
    <w:rsid w:val="00FA3830"/>
    <w:rsid w:val="00FA3C7F"/>
    <w:rsid w:val="00FB153F"/>
    <w:rsid w:val="00FB265D"/>
    <w:rsid w:val="00FB411D"/>
    <w:rsid w:val="00FB41E6"/>
    <w:rsid w:val="00FB6C59"/>
    <w:rsid w:val="00FB74E2"/>
    <w:rsid w:val="00FC447B"/>
    <w:rsid w:val="00FC52AC"/>
    <w:rsid w:val="00FC656F"/>
    <w:rsid w:val="00FD0763"/>
    <w:rsid w:val="00FD166D"/>
    <w:rsid w:val="00FD2F97"/>
    <w:rsid w:val="00FD5316"/>
    <w:rsid w:val="00FD5614"/>
    <w:rsid w:val="00FD72DC"/>
    <w:rsid w:val="00FE0BE1"/>
    <w:rsid w:val="00FE1DE9"/>
    <w:rsid w:val="00FE39C2"/>
    <w:rsid w:val="00FE3E67"/>
    <w:rsid w:val="00FE64AE"/>
    <w:rsid w:val="00FF0161"/>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1CD4AC-2D7B-4CCD-A36F-50A1CE70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37D89DAD</Template>
  <TotalTime>0</TotalTime>
  <Pages>9</Pages>
  <Words>1433</Words>
  <Characters>8172</Characters>
  <Application>Microsoft Office Word</Application>
  <DocSecurity>0</DocSecurity>
  <Lines>68</Lines>
  <Paragraphs>19</Paragraphs>
  <ScaleCrop>false</ScaleCrop>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2016-01-04T01:29:00Z</dcterms:created>
  <dcterms:modified xsi:type="dcterms:W3CDTF">2016-01-04T01:31:00Z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8599763</vt:lpwstr>
  </property>
</Properties>
</file>