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0FF69A0" wp14:editId="5183F18C">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001EA7" w:rsidP="002A4EF8">
      <w:pPr>
        <w:rPr>
          <w:b/>
          <w:sz w:val="36"/>
          <w:szCs w:val="36"/>
        </w:rPr>
      </w:pPr>
      <w:r>
        <w:rPr>
          <w:b/>
          <w:sz w:val="36"/>
          <w:szCs w:val="36"/>
        </w:rPr>
        <w:t>2</w:t>
      </w:r>
      <w:r w:rsidR="00174165">
        <w:rPr>
          <w:b/>
          <w:sz w:val="36"/>
          <w:szCs w:val="36"/>
        </w:rPr>
        <w:t>8</w:t>
      </w:r>
      <w:r w:rsidR="002A4EC8">
        <w:rPr>
          <w:b/>
          <w:sz w:val="36"/>
          <w:szCs w:val="36"/>
        </w:rPr>
        <w:t xml:space="preserve"> </w:t>
      </w:r>
      <w:r w:rsidR="00174165">
        <w:rPr>
          <w:b/>
          <w:sz w:val="36"/>
          <w:szCs w:val="36"/>
        </w:rPr>
        <w:t xml:space="preserve">May </w:t>
      </w:r>
      <w:r w:rsidR="002A4EC8">
        <w:rPr>
          <w:b/>
          <w:sz w:val="36"/>
          <w:szCs w:val="36"/>
        </w:rPr>
        <w:t xml:space="preserve">- </w:t>
      </w:r>
      <w:r w:rsidR="00D94449">
        <w:rPr>
          <w:b/>
          <w:sz w:val="36"/>
          <w:szCs w:val="36"/>
        </w:rPr>
        <w:t>3</w:t>
      </w:r>
      <w:r w:rsidR="00432A51">
        <w:rPr>
          <w:b/>
          <w:sz w:val="36"/>
          <w:szCs w:val="36"/>
        </w:rPr>
        <w:t> </w:t>
      </w:r>
      <w:r w:rsidR="00D94449">
        <w:rPr>
          <w:b/>
          <w:sz w:val="36"/>
          <w:szCs w:val="36"/>
        </w:rPr>
        <w:t>June</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1B1A27" w:rsidRPr="0000255F">
        <w:t xml:space="preserve">Figure </w:t>
      </w:r>
      <w:r w:rsidR="001B1A27">
        <w:t>1</w:t>
      </w:r>
      <w:r w:rsidRPr="00F21187">
        <w:fldChar w:fldCharType="end"/>
      </w:r>
      <w:r w:rsidRPr="00F21187">
        <w:t xml:space="preserve"> </w:t>
      </w:r>
      <w:r w:rsidR="00AF7058" w:rsidRPr="00F21187">
        <w:t xml:space="preserve">shows the spot prices that occurred in each region during the week </w:t>
      </w:r>
      <w:r w:rsidR="002A4EC8">
        <w:t>2</w:t>
      </w:r>
      <w:r w:rsidR="00D94449">
        <w:t>8 May</w:t>
      </w:r>
      <w:r w:rsidR="005D385A">
        <w:t xml:space="preserve"> </w:t>
      </w:r>
      <w:r w:rsidR="006D40F1">
        <w:t xml:space="preserve">– </w:t>
      </w:r>
      <w:r w:rsidR="00D94449">
        <w:t>3 June</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1B1A27">
          <w:rPr>
            <w:noProof/>
          </w:rPr>
          <w:t>1</w:t>
        </w:r>
      </w:fldSimple>
      <w:bookmarkEnd w:id="6"/>
      <w:r w:rsidRPr="0000255F">
        <w:t>: Spot price by region ($/MWh)</w:t>
      </w:r>
    </w:p>
    <w:p w:rsidR="00EC05BF" w:rsidRDefault="001C7E3D" w:rsidP="00C4712A">
      <w:pPr>
        <w:pStyle w:val="Caption"/>
        <w:rPr>
          <w:bCs w:val="0"/>
          <w:lang w:eastAsia="en-AU"/>
        </w:rPr>
      </w:pPr>
      <w:r w:rsidRPr="001C7E3D">
        <w:rPr>
          <w:noProof/>
          <w:lang w:eastAsia="en-AU"/>
        </w:rPr>
        <w:drawing>
          <wp:inline distT="0" distB="0" distL="0" distR="0" wp14:anchorId="4DD65A34" wp14:editId="334F6EA2">
            <wp:extent cx="5731510" cy="2859781"/>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1B1A27" w:rsidRPr="0000255F">
        <w:t xml:space="preserve">Figure </w:t>
      </w:r>
      <w:r w:rsidR="001B1A27">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1B1A27" w:rsidRPr="00686EDE">
        <w:t xml:space="preserve">Table </w:t>
      </w:r>
      <w:r w:rsidR="001B1A27">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1B1A27">
          <w:rPr>
            <w:noProof/>
          </w:rPr>
          <w:t>2</w:t>
        </w:r>
      </w:fldSimple>
      <w:bookmarkEnd w:id="9"/>
      <w:r w:rsidRPr="0000255F">
        <w:t>: Volume weighted average spot price by region ($/MWh)</w:t>
      </w:r>
    </w:p>
    <w:p w:rsidR="001F22EE" w:rsidRDefault="001C7E3D" w:rsidP="00F167CF">
      <w:pPr>
        <w:spacing w:before="0" w:after="120" w:line="240" w:lineRule="auto"/>
      </w:pPr>
      <w:r w:rsidRPr="001C7E3D">
        <w:rPr>
          <w:noProof/>
          <w:lang w:eastAsia="en-AU"/>
        </w:rPr>
        <w:drawing>
          <wp:inline distT="0" distB="0" distL="0" distR="0" wp14:anchorId="09540C5B" wp14:editId="786AA7D1">
            <wp:extent cx="5731510" cy="2859781"/>
            <wp:effectExtent l="0" t="0" r="2540" b="0"/>
            <wp:docPr id="3" name="Picture 3"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1B1A27">
          <w:rPr>
            <w:noProof/>
          </w:rPr>
          <w:t>1</w:t>
        </w:r>
      </w:fldSimple>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7C6C59"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7C6C59" w:rsidRPr="004B59AD" w:rsidRDefault="007C6C59" w:rsidP="001A73EF">
            <w:pPr>
              <w:spacing w:before="60" w:afterLines="120" w:after="288"/>
              <w:rPr>
                <w:rFonts w:cs="Arial"/>
                <w:bCs/>
                <w:szCs w:val="18"/>
              </w:rPr>
            </w:pPr>
            <w:r w:rsidRPr="004B59AD">
              <w:rPr>
                <w:rFonts w:cs="Arial"/>
                <w:bCs/>
                <w:szCs w:val="18"/>
              </w:rPr>
              <w:t>Current week</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84</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92</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101</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112</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98</w:t>
            </w:r>
          </w:p>
        </w:tc>
      </w:tr>
      <w:tr w:rsidR="007C6C59" w:rsidRPr="00C4712A" w:rsidTr="003E25E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7C6C59" w:rsidRPr="004B59AD" w:rsidRDefault="007C6C59" w:rsidP="001A73EF">
            <w:pPr>
              <w:spacing w:before="60" w:afterLines="120" w:after="288"/>
              <w:rPr>
                <w:rFonts w:cs="Arial"/>
                <w:bCs/>
                <w:szCs w:val="18"/>
              </w:rPr>
            </w:pPr>
            <w:r w:rsidRPr="004B59AD">
              <w:rPr>
                <w:rFonts w:cs="Arial"/>
                <w:bCs/>
                <w:szCs w:val="18"/>
              </w:rPr>
              <w:t>15-16 financial YTD</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62</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51</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47</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63</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99</w:t>
            </w:r>
          </w:p>
        </w:tc>
      </w:tr>
      <w:tr w:rsidR="007C6C59"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7C6C59" w:rsidRPr="004B59AD" w:rsidRDefault="007C6C59" w:rsidP="001A73EF">
            <w:pPr>
              <w:spacing w:before="60" w:afterLines="120" w:after="288"/>
              <w:rPr>
                <w:rFonts w:cs="Arial"/>
                <w:bCs/>
                <w:szCs w:val="18"/>
              </w:rPr>
            </w:pPr>
            <w:r w:rsidRPr="004B59AD">
              <w:rPr>
                <w:rFonts w:cs="Arial"/>
                <w:bCs/>
                <w:szCs w:val="18"/>
              </w:rPr>
              <w:t>16-17 financial YTD</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105</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89</w:t>
            </w:r>
          </w:p>
        </w:tc>
        <w:tc>
          <w:tcPr>
            <w:tcW w:w="728" w:type="pct"/>
            <w:noWrap/>
            <w:vAlign w:val="center"/>
          </w:tcPr>
          <w:p w:rsidR="007C6C59" w:rsidRDefault="007C6C59" w:rsidP="007C6C59">
            <w:pPr>
              <w:spacing w:after="100" w:afterAutospacing="1"/>
              <w:jc w:val="center"/>
              <w:rPr>
                <w:rFonts w:cs="Arial"/>
                <w:sz w:val="20"/>
                <w:szCs w:val="20"/>
              </w:rPr>
            </w:pPr>
            <w:r>
              <w:rPr>
                <w:rFonts w:cs="Arial"/>
                <w:sz w:val="20"/>
                <w:szCs w:val="20"/>
              </w:rPr>
              <w:t>67</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124</w:t>
            </w:r>
          </w:p>
        </w:tc>
        <w:tc>
          <w:tcPr>
            <w:tcW w:w="729" w:type="pct"/>
            <w:noWrap/>
            <w:vAlign w:val="center"/>
          </w:tcPr>
          <w:p w:rsidR="007C6C59" w:rsidRDefault="007C6C59" w:rsidP="007C6C59">
            <w:pPr>
              <w:spacing w:after="100" w:afterAutospacing="1"/>
              <w:jc w:val="center"/>
              <w:rPr>
                <w:rFonts w:cs="Arial"/>
                <w:sz w:val="20"/>
                <w:szCs w:val="20"/>
              </w:rPr>
            </w:pPr>
            <w:r>
              <w:rPr>
                <w:rFonts w:cs="Arial"/>
                <w:sz w:val="20"/>
                <w:szCs w:val="20"/>
              </w:rPr>
              <w:t>73</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7C6C59">
        <w:t>135</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1B1A27" w:rsidRPr="00686EDE">
        <w:t xml:space="preserve">Table </w:t>
      </w:r>
      <w:r w:rsidR="001B1A27">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686EDE">
        <w:lastRenderedPageBreak/>
        <w:t xml:space="preserve">Table </w:t>
      </w:r>
      <w:fldSimple w:instr=" SEQ Table \* ARABIC ">
        <w:r w:rsidR="001B1A27">
          <w:rPr>
            <w:noProof/>
          </w:rPr>
          <w:t>2</w:t>
        </w:r>
      </w:fldSimple>
      <w:bookmarkEnd w:id="11"/>
      <w:r w:rsidRPr="00686EDE">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7C6C59" w:rsidRPr="00C4712A"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7C6C59" w:rsidRPr="00C4712A" w:rsidRDefault="007C6C59" w:rsidP="000D05BD">
            <w:pPr>
              <w:spacing w:before="60"/>
              <w:rPr>
                <w:sz w:val="20"/>
                <w:szCs w:val="20"/>
              </w:rPr>
            </w:pPr>
            <w:r w:rsidRPr="00C4712A">
              <w:rPr>
                <w:sz w:val="20"/>
                <w:szCs w:val="20"/>
              </w:rPr>
              <w:t>% of total above forecast</w:t>
            </w:r>
          </w:p>
        </w:tc>
        <w:tc>
          <w:tcPr>
            <w:tcW w:w="1571" w:type="dxa"/>
            <w:noWrap/>
            <w:vAlign w:val="center"/>
          </w:tcPr>
          <w:p w:rsidR="007C6C59" w:rsidRDefault="007C6C59" w:rsidP="007C6C59">
            <w:pPr>
              <w:spacing w:after="0"/>
              <w:jc w:val="center"/>
              <w:rPr>
                <w:rFonts w:cs="Arial"/>
                <w:sz w:val="20"/>
                <w:szCs w:val="20"/>
              </w:rPr>
            </w:pPr>
            <w:r>
              <w:rPr>
                <w:rFonts w:cs="Arial"/>
                <w:sz w:val="20"/>
                <w:szCs w:val="20"/>
              </w:rPr>
              <w:t>1</w:t>
            </w:r>
          </w:p>
        </w:tc>
        <w:tc>
          <w:tcPr>
            <w:tcW w:w="1572" w:type="dxa"/>
            <w:noWrap/>
            <w:vAlign w:val="center"/>
          </w:tcPr>
          <w:p w:rsidR="007C6C59" w:rsidRDefault="007C6C59" w:rsidP="007C6C59">
            <w:pPr>
              <w:spacing w:after="0"/>
              <w:jc w:val="center"/>
              <w:rPr>
                <w:rFonts w:cs="Arial"/>
                <w:sz w:val="20"/>
                <w:szCs w:val="20"/>
              </w:rPr>
            </w:pPr>
            <w:r>
              <w:rPr>
                <w:rFonts w:cs="Arial"/>
                <w:sz w:val="20"/>
                <w:szCs w:val="20"/>
              </w:rPr>
              <w:t>39</w:t>
            </w:r>
          </w:p>
        </w:tc>
        <w:tc>
          <w:tcPr>
            <w:tcW w:w="1572" w:type="dxa"/>
            <w:noWrap/>
            <w:vAlign w:val="center"/>
          </w:tcPr>
          <w:p w:rsidR="007C6C59" w:rsidRDefault="007C6C59" w:rsidP="007C6C59">
            <w:pPr>
              <w:spacing w:after="0"/>
              <w:jc w:val="center"/>
              <w:rPr>
                <w:rFonts w:cs="Arial"/>
                <w:sz w:val="20"/>
                <w:szCs w:val="20"/>
              </w:rPr>
            </w:pPr>
            <w:r>
              <w:rPr>
                <w:rFonts w:cs="Arial"/>
                <w:sz w:val="20"/>
                <w:szCs w:val="20"/>
              </w:rPr>
              <w:t>0</w:t>
            </w:r>
          </w:p>
        </w:tc>
        <w:tc>
          <w:tcPr>
            <w:tcW w:w="1572" w:type="dxa"/>
            <w:vAlign w:val="center"/>
          </w:tcPr>
          <w:p w:rsidR="007C6C59" w:rsidRDefault="007C6C59" w:rsidP="007C6C59">
            <w:pPr>
              <w:spacing w:after="0"/>
              <w:jc w:val="center"/>
              <w:rPr>
                <w:rFonts w:cs="Arial"/>
                <w:sz w:val="20"/>
                <w:szCs w:val="20"/>
              </w:rPr>
            </w:pPr>
            <w:r>
              <w:rPr>
                <w:rFonts w:cs="Arial"/>
                <w:sz w:val="20"/>
                <w:szCs w:val="20"/>
              </w:rPr>
              <w:t>1</w:t>
            </w:r>
          </w:p>
        </w:tc>
      </w:tr>
      <w:tr w:rsidR="007C6C59"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7C6C59" w:rsidRPr="00C4712A" w:rsidRDefault="007C6C59" w:rsidP="000D05BD">
            <w:pPr>
              <w:spacing w:before="60"/>
              <w:rPr>
                <w:sz w:val="20"/>
                <w:szCs w:val="20"/>
              </w:rPr>
            </w:pPr>
            <w:r w:rsidRPr="00C4712A">
              <w:rPr>
                <w:sz w:val="20"/>
                <w:szCs w:val="20"/>
              </w:rPr>
              <w:t>% of total below forecast</w:t>
            </w:r>
          </w:p>
        </w:tc>
        <w:tc>
          <w:tcPr>
            <w:tcW w:w="1571" w:type="dxa"/>
            <w:noWrap/>
            <w:vAlign w:val="center"/>
          </w:tcPr>
          <w:p w:rsidR="007C6C59" w:rsidRDefault="007C6C59" w:rsidP="007C6C59">
            <w:pPr>
              <w:spacing w:after="0"/>
              <w:jc w:val="center"/>
              <w:rPr>
                <w:rFonts w:cs="Arial"/>
                <w:sz w:val="20"/>
                <w:szCs w:val="20"/>
              </w:rPr>
            </w:pPr>
            <w:r>
              <w:rPr>
                <w:rFonts w:cs="Arial"/>
                <w:sz w:val="20"/>
                <w:szCs w:val="20"/>
              </w:rPr>
              <w:t>56</w:t>
            </w:r>
          </w:p>
        </w:tc>
        <w:tc>
          <w:tcPr>
            <w:tcW w:w="1572" w:type="dxa"/>
            <w:noWrap/>
            <w:vAlign w:val="center"/>
          </w:tcPr>
          <w:p w:rsidR="007C6C59" w:rsidRDefault="007C6C59" w:rsidP="007C6C59">
            <w:pPr>
              <w:spacing w:after="0"/>
              <w:jc w:val="center"/>
              <w:rPr>
                <w:rFonts w:cs="Arial"/>
                <w:sz w:val="20"/>
                <w:szCs w:val="20"/>
              </w:rPr>
            </w:pPr>
            <w:r>
              <w:rPr>
                <w:rFonts w:cs="Arial"/>
                <w:sz w:val="20"/>
                <w:szCs w:val="20"/>
              </w:rPr>
              <w:t>2</w:t>
            </w:r>
          </w:p>
        </w:tc>
        <w:tc>
          <w:tcPr>
            <w:tcW w:w="1572" w:type="dxa"/>
            <w:noWrap/>
            <w:vAlign w:val="center"/>
          </w:tcPr>
          <w:p w:rsidR="007C6C59" w:rsidRDefault="007C6C59" w:rsidP="007C6C59">
            <w:pPr>
              <w:spacing w:after="0"/>
              <w:jc w:val="center"/>
              <w:rPr>
                <w:rFonts w:cs="Arial"/>
                <w:sz w:val="20"/>
                <w:szCs w:val="20"/>
              </w:rPr>
            </w:pPr>
            <w:r>
              <w:rPr>
                <w:rFonts w:cs="Arial"/>
                <w:sz w:val="20"/>
                <w:szCs w:val="20"/>
              </w:rPr>
              <w:t>0</w:t>
            </w:r>
          </w:p>
        </w:tc>
        <w:tc>
          <w:tcPr>
            <w:tcW w:w="1572" w:type="dxa"/>
            <w:vAlign w:val="center"/>
          </w:tcPr>
          <w:p w:rsidR="007C6C59" w:rsidRDefault="007C6C59" w:rsidP="007C6C59">
            <w:pPr>
              <w:spacing w:after="0"/>
              <w:jc w:val="center"/>
              <w:rPr>
                <w:rFonts w:cs="Arial"/>
                <w:sz w:val="20"/>
                <w:szCs w:val="20"/>
              </w:rPr>
            </w:pPr>
            <w:r>
              <w:rPr>
                <w:rFonts w:cs="Arial"/>
                <w:sz w:val="20"/>
                <w:szCs w:val="20"/>
              </w:rPr>
              <w:t>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1B1A27" w:rsidRPr="00686EDE">
        <w:t xml:space="preserve">Figure </w:t>
      </w:r>
      <w:r w:rsidR="001B1A27">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1B1A27" w:rsidRPr="00686EDE">
        <w:t xml:space="preserve">Figure </w:t>
      </w:r>
      <w:r w:rsidR="001B1A27" w:rsidRPr="001B1A27">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1B1A27">
          <w:rPr>
            <w:noProof/>
          </w:rPr>
          <w:t>3</w:t>
        </w:r>
      </w:fldSimple>
      <w:bookmarkEnd w:id="13"/>
      <w:r w:rsidRPr="00686EDE">
        <w:t>: Queensland generation and bidding patterns</w:t>
      </w:r>
    </w:p>
    <w:p w:rsidR="007B78AB" w:rsidRPr="008707C1" w:rsidRDefault="007C6C59" w:rsidP="00886FA8">
      <w:pPr>
        <w:pStyle w:val="AERbodytext"/>
        <w:rPr>
          <w:bCs w:val="0"/>
        </w:rPr>
      </w:pPr>
      <w:r w:rsidRPr="007C6C59">
        <w:rPr>
          <w:noProof/>
        </w:rPr>
        <w:drawing>
          <wp:inline distT="0" distB="0" distL="0" distR="0" wp14:anchorId="2EB4F5F0" wp14:editId="6F4BB926">
            <wp:extent cx="5731510" cy="4118538"/>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1B1A27">
          <w:rPr>
            <w:noProof/>
          </w:rPr>
          <w:t>4</w:t>
        </w:r>
      </w:fldSimple>
      <w:bookmarkEnd w:id="14"/>
      <w:r w:rsidRPr="00686EDE">
        <w:t>: New South Wales generation and bidding patterns</w:t>
      </w:r>
    </w:p>
    <w:p w:rsidR="00181C46" w:rsidRPr="00C4712A" w:rsidRDefault="007C6C59" w:rsidP="00181C46">
      <w:r w:rsidRPr="007C6C59">
        <w:rPr>
          <w:noProof/>
          <w:lang w:eastAsia="en-AU"/>
        </w:rPr>
        <w:drawing>
          <wp:inline distT="0" distB="0" distL="0" distR="0" wp14:anchorId="470AD327" wp14:editId="05534BAC">
            <wp:extent cx="5731510" cy="4124019"/>
            <wp:effectExtent l="0" t="0" r="2540" b="0"/>
            <wp:docPr id="10" name="Picture 10"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1B1A27">
          <w:rPr>
            <w:noProof/>
          </w:rPr>
          <w:t>5</w:t>
        </w:r>
      </w:fldSimple>
      <w:r w:rsidRPr="00686EDE">
        <w:t>: Victoria generation and bidding patterns</w:t>
      </w:r>
    </w:p>
    <w:p w:rsidR="00FB265D" w:rsidRDefault="007C6C59" w:rsidP="00FB265D">
      <w:r w:rsidRPr="007C6C59">
        <w:rPr>
          <w:noProof/>
          <w:lang w:eastAsia="en-AU"/>
        </w:rPr>
        <w:drawing>
          <wp:inline distT="0" distB="0" distL="0" distR="0" wp14:anchorId="678ACA6B" wp14:editId="528448E8">
            <wp:extent cx="5731510" cy="4118538"/>
            <wp:effectExtent l="0" t="0" r="2540" b="0"/>
            <wp:docPr id="11" name="Picture 11"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686EDE">
        <w:lastRenderedPageBreak/>
        <w:t xml:space="preserve">Figure </w:t>
      </w:r>
      <w:fldSimple w:instr=" SEQ Figure \* ARABIC ">
        <w:r w:rsidR="001B1A27">
          <w:rPr>
            <w:noProof/>
          </w:rPr>
          <w:t>6</w:t>
        </w:r>
      </w:fldSimple>
      <w:bookmarkEnd w:id="15"/>
      <w:r w:rsidRPr="00686EDE">
        <w:t>: South Australia generation and bidding patterns</w:t>
      </w:r>
    </w:p>
    <w:p w:rsidR="002F2481" w:rsidRPr="00686EDE" w:rsidRDefault="00B73FF6" w:rsidP="00A25353">
      <w:r w:rsidRPr="00B73FF6">
        <w:rPr>
          <w:noProof/>
          <w:lang w:eastAsia="en-AU"/>
        </w:rPr>
        <w:drawing>
          <wp:inline distT="0" distB="0" distL="0" distR="0" wp14:anchorId="37EDC48C" wp14:editId="379A07A6">
            <wp:extent cx="5731510" cy="4128297"/>
            <wp:effectExtent l="0" t="0" r="2540" b="5715"/>
            <wp:docPr id="16" name="Picture 16"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8297"/>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1B1A27">
          <w:rPr>
            <w:noProof/>
          </w:rPr>
          <w:t>7</w:t>
        </w:r>
      </w:fldSimple>
      <w:bookmarkEnd w:id="16"/>
      <w:r w:rsidRPr="00686EDE">
        <w:t>: Tasmania generation and bidding patterns</w:t>
      </w:r>
    </w:p>
    <w:bookmarkEnd w:id="17"/>
    <w:p w:rsidR="00DB7B59" w:rsidRDefault="007C6C59" w:rsidP="00AF7C0E">
      <w:pPr>
        <w:pStyle w:val="AERbodytext"/>
      </w:pPr>
      <w:r w:rsidRPr="007C6C59">
        <w:rPr>
          <w:noProof/>
        </w:rPr>
        <w:drawing>
          <wp:inline distT="0" distB="0" distL="0" distR="0" wp14:anchorId="2B244E83" wp14:editId="2AE4BDF3">
            <wp:extent cx="5731510" cy="4118538"/>
            <wp:effectExtent l="0" t="0" r="2540" b="0"/>
            <wp:docPr id="14" name="Picture 14"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2 340 5</w:t>
      </w:r>
      <w:r w:rsidR="006C3CFD">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1B1A27" w:rsidRPr="00612013" w:rsidRDefault="005358F4" w:rsidP="001B1A27">
      <w:pPr>
        <w:spacing w:line="240" w:lineRule="auto"/>
      </w:pPr>
      <w:r w:rsidRPr="00612013">
        <w:rPr>
          <w:rFonts w:eastAsia="Times New Roman" w:cs="Arial"/>
          <w:bCs/>
          <w:lang w:eastAsia="en-AU"/>
        </w:rPr>
        <w:t>The total cost of FCAS in Tasmania for the week was $</w:t>
      </w:r>
      <w:r w:rsidR="00EA447B">
        <w:rPr>
          <w:rFonts w:eastAsia="Times New Roman" w:cs="Arial"/>
          <w:bCs/>
          <w:lang w:eastAsia="en-AU"/>
        </w:rPr>
        <w:t>725</w:t>
      </w:r>
      <w:r w:rsidR="00D21616">
        <w:rPr>
          <w:rFonts w:eastAsia="Times New Roman" w:cs="Arial"/>
          <w:bCs/>
          <w:lang w:eastAsia="en-AU"/>
        </w:rPr>
        <w:t> 5</w:t>
      </w:r>
      <w:r w:rsidRPr="00612013">
        <w:rPr>
          <w:rFonts w:eastAsia="Times New Roman" w:cs="Arial"/>
          <w:bCs/>
          <w:lang w:eastAsia="en-AU"/>
        </w:rPr>
        <w:t xml:space="preserve">00 or </w:t>
      </w:r>
      <w:r w:rsidR="00D84E13">
        <w:rPr>
          <w:rFonts w:eastAsia="Times New Roman" w:cs="Arial"/>
          <w:bCs/>
          <w:lang w:eastAsia="en-AU"/>
        </w:rPr>
        <w:t xml:space="preserve">around </w:t>
      </w:r>
      <w:r w:rsidR="00EA447B">
        <w:rPr>
          <w:rFonts w:eastAsia="Times New Roman" w:cs="Arial"/>
          <w:bCs/>
          <w:lang w:eastAsia="en-AU"/>
        </w:rPr>
        <w:t>four</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1B1A27" w:rsidP="00551739">
      <w:pPr>
        <w:pStyle w:val="AERbodytext"/>
      </w:pPr>
      <w:r w:rsidRPr="00686EDE">
        <w:t xml:space="preserve">Figure </w:t>
      </w:r>
      <w:r>
        <w:t>8</w:t>
      </w:r>
      <w:r w:rsidR="00F3590E" w:rsidRPr="00612013">
        <w:fldChar w:fldCharType="end"/>
      </w:r>
      <w:r w:rsidR="00F3590E" w:rsidRPr="00612013">
        <w:t xml:space="preserve"> shows the daily breakdo</w:t>
      </w:r>
      <w:bookmarkStart w:id="19" w:name="_GoBack"/>
      <w:bookmarkEnd w:id="19"/>
      <w:r w:rsidR="00F3590E" w:rsidRPr="00612013">
        <w:t xml:space="preserve">wn of cost for each FCAS for the NEM, as well as the average cost since the beginning </w:t>
      </w:r>
      <w:bookmarkStart w:id="20"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1B1A27">
        <w:rPr>
          <w:noProof/>
        </w:rPr>
        <w:t>8</w:t>
      </w:r>
      <w:r w:rsidR="00DF6E09" w:rsidRPr="00686EDE">
        <w:rPr>
          <w:noProof/>
        </w:rPr>
        <w:fldChar w:fldCharType="end"/>
      </w:r>
      <w:bookmarkEnd w:id="18"/>
      <w:bookmarkEnd w:id="20"/>
      <w:r w:rsidRPr="00686EDE">
        <w:rPr>
          <w:noProof/>
        </w:rPr>
        <w:t>: Daily frequency control ancillary service cost</w:t>
      </w:r>
    </w:p>
    <w:p w:rsidR="006D1A40" w:rsidRDefault="00B73FF6" w:rsidP="006D1A40">
      <w:pPr>
        <w:spacing w:line="240" w:lineRule="auto"/>
        <w:rPr>
          <w:rStyle w:val="AERbodytextChar"/>
          <w:rFonts w:eastAsiaTheme="minorHAnsi"/>
        </w:rPr>
      </w:pPr>
      <w:r w:rsidRPr="00B73FF6">
        <w:rPr>
          <w:noProof/>
          <w:lang w:eastAsia="en-AU"/>
        </w:rPr>
        <w:drawing>
          <wp:inline distT="0" distB="0" distL="0" distR="0" wp14:anchorId="2457DC42" wp14:editId="59A9A6AB">
            <wp:extent cx="5731510" cy="2894535"/>
            <wp:effectExtent l="0" t="0" r="2540" b="1270"/>
            <wp:docPr id="17" name="Picture 17"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CA7CA1" w:rsidRDefault="00CA7CA1" w:rsidP="00EB561F">
      <w:pPr>
        <w:jc w:val="both"/>
      </w:pPr>
    </w:p>
    <w:p w:rsidR="00826574" w:rsidRDefault="00826574" w:rsidP="00826574">
      <w:pPr>
        <w:pStyle w:val="AERbodytext"/>
      </w:pPr>
      <w:r>
        <w:t xml:space="preserve">Since 5 May, AEMO limited the contribution of regulation services from Tasmania to the mainland to 50 MW. This has seen prices rise in the mainland and has led to the daily cost being higher than the previous financial year’s average. </w:t>
      </w:r>
    </w:p>
    <w:p w:rsidR="003E094C" w:rsidRPr="00C4712A" w:rsidRDefault="003E094C" w:rsidP="003E094C">
      <w:pPr>
        <w:pStyle w:val="AERHeading1"/>
      </w:pPr>
      <w:r w:rsidRPr="00686EDE">
        <w:lastRenderedPageBreak/>
        <w:t>Detailed market analysis of significant price events</w:t>
      </w:r>
    </w:p>
    <w:p w:rsidR="003E094C" w:rsidRPr="00E52925" w:rsidRDefault="005344B0" w:rsidP="003E094C">
      <w:pPr>
        <w:pStyle w:val="Heading2"/>
        <w:rPr>
          <w:rFonts w:eastAsia="Times New Roman"/>
          <w:b w:val="0"/>
          <w:bCs w:val="0"/>
          <w:lang w:eastAsia="en-AU"/>
        </w:rPr>
      </w:pPr>
      <w:r>
        <w:rPr>
          <w:rFonts w:eastAsia="Times New Roman"/>
          <w:b w:val="0"/>
          <w:bCs w:val="0"/>
          <w:lang w:eastAsia="en-AU"/>
        </w:rPr>
        <w:t>Tasmania</w:t>
      </w:r>
    </w:p>
    <w:p w:rsidR="005344B0" w:rsidRPr="005344B0" w:rsidRDefault="005344B0" w:rsidP="003E094C">
      <w:pPr>
        <w:pStyle w:val="Heading3"/>
        <w:rPr>
          <w:rFonts w:eastAsia="Times New Roman" w:cs="Arial"/>
          <w:b w:val="0"/>
          <w:color w:val="auto"/>
          <w:sz w:val="22"/>
          <w:lang w:eastAsia="en-AU"/>
        </w:rPr>
      </w:pPr>
      <w:r w:rsidRPr="005344B0">
        <w:rPr>
          <w:rFonts w:eastAsia="Times New Roman" w:cs="Arial"/>
          <w:b w:val="0"/>
          <w:color w:val="auto"/>
          <w:sz w:val="22"/>
          <w:lang w:eastAsia="en-AU"/>
        </w:rPr>
        <w:t>There were two occasions where the spot price in Tasmania was greater than three times the Tasmania weekly average price of $98/MWh and above $250/MWh and there was one occasion where the spot price was below -$100/MWh.</w:t>
      </w:r>
    </w:p>
    <w:p w:rsidR="003E094C" w:rsidRPr="00E52925" w:rsidRDefault="003E094C" w:rsidP="003E094C">
      <w:pPr>
        <w:pStyle w:val="Heading3"/>
        <w:rPr>
          <w:rFonts w:eastAsia="Times New Roman"/>
        </w:rPr>
      </w:pPr>
      <w:r>
        <w:rPr>
          <w:rFonts w:eastAsia="Times New Roman"/>
        </w:rPr>
        <w:t>Tuesday</w:t>
      </w:r>
      <w:r w:rsidRPr="003C4327">
        <w:rPr>
          <w:rFonts w:eastAsia="Times New Roman"/>
        </w:rPr>
        <w:t xml:space="preserve">, </w:t>
      </w:r>
      <w:r w:rsidR="005344B0">
        <w:rPr>
          <w:rFonts w:eastAsia="Times New Roman"/>
        </w:rPr>
        <w:t>30</w:t>
      </w:r>
      <w:r>
        <w:rPr>
          <w:rFonts w:eastAsia="Times New Roman"/>
        </w:rPr>
        <w:t> </w:t>
      </w:r>
      <w:r w:rsidR="005344B0">
        <w:rPr>
          <w:rFonts w:eastAsia="Times New Roman"/>
        </w:rPr>
        <w:t>May</w:t>
      </w:r>
    </w:p>
    <w:p w:rsidR="003E094C" w:rsidRDefault="003E094C" w:rsidP="003E094C">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1B1A27">
        <w:rPr>
          <w:rFonts w:asciiTheme="minorHAnsi" w:hAnsiTheme="minorHAnsi" w:cstheme="minorHAnsi"/>
          <w:noProof/>
        </w:rPr>
        <w:t>3</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E52925" w:rsidTr="00A0018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Availability (MW)</w:t>
            </w:r>
          </w:p>
        </w:tc>
      </w:tr>
      <w:tr w:rsidR="003E094C" w:rsidRPr="00686EDE" w:rsidTr="00A0018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5344B0" w:rsidRPr="00686EDE" w:rsidTr="00A0018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344B0" w:rsidRPr="005344B0" w:rsidRDefault="008858E2" w:rsidP="005344B0">
            <w:pPr>
              <w:spacing w:line="240" w:lineRule="auto"/>
              <w:ind w:right="-77"/>
              <w:jc w:val="center"/>
              <w:rPr>
                <w:rFonts w:cs="Arial"/>
                <w:sz w:val="20"/>
                <w:szCs w:val="20"/>
              </w:rPr>
            </w:pPr>
            <w:r>
              <w:rPr>
                <w:rFonts w:cs="Arial"/>
                <w:sz w:val="20"/>
                <w:szCs w:val="20"/>
              </w:rPr>
              <w:t>3.</w:t>
            </w:r>
            <w:r w:rsidR="005344B0" w:rsidRPr="005344B0">
              <w:rPr>
                <w:rFonts w:cs="Arial"/>
                <w:sz w:val="20"/>
                <w:szCs w:val="20"/>
              </w:rPr>
              <w:t xml:space="preserve">00 </w:t>
            </w:r>
            <w:r w:rsidR="005344B0">
              <w:rPr>
                <w:rFonts w:cs="Arial"/>
                <w:sz w:val="20"/>
                <w:szCs w:val="20"/>
              </w:rPr>
              <w:t>pm</w:t>
            </w:r>
          </w:p>
        </w:tc>
        <w:tc>
          <w:tcPr>
            <w:tcW w:w="51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-119.93</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92.70</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94.91</w:t>
            </w:r>
          </w:p>
        </w:tc>
        <w:tc>
          <w:tcPr>
            <w:tcW w:w="455"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1207</w:t>
            </w:r>
          </w:p>
        </w:tc>
        <w:tc>
          <w:tcPr>
            <w:tcW w:w="45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1236</w:t>
            </w:r>
          </w:p>
        </w:tc>
        <w:tc>
          <w:tcPr>
            <w:tcW w:w="534"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1240</w:t>
            </w:r>
          </w:p>
        </w:tc>
        <w:tc>
          <w:tcPr>
            <w:tcW w:w="532"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2211</w:t>
            </w:r>
          </w:p>
        </w:tc>
        <w:tc>
          <w:tcPr>
            <w:tcW w:w="457"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2187</w:t>
            </w:r>
          </w:p>
        </w:tc>
        <w:tc>
          <w:tcPr>
            <w:tcW w:w="45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2148</w:t>
            </w:r>
          </w:p>
        </w:tc>
      </w:tr>
    </w:tbl>
    <w:p w:rsidR="005344B0" w:rsidRDefault="005344B0" w:rsidP="005344B0">
      <w:pPr>
        <w:pStyle w:val="AERbodytext"/>
      </w:pPr>
      <w:r>
        <w:t>Conditions at the time saw demand and availability close to what was forecast four hours ahead.</w:t>
      </w:r>
    </w:p>
    <w:p w:rsidR="00F07297" w:rsidRDefault="00F07297" w:rsidP="005344B0">
      <w:pPr>
        <w:pStyle w:val="AERbodytext"/>
      </w:pPr>
      <w:r>
        <w:t xml:space="preserve">At 2.45 pm </w:t>
      </w:r>
      <w:r w:rsidR="00E5713C">
        <w:t xml:space="preserve">the price decreased to -$1000/MWh due to the co-optimisation of energy and FCAS and </w:t>
      </w:r>
      <w:r w:rsidR="00D74470">
        <w:t>was the main factor</w:t>
      </w:r>
      <w:r w:rsidR="00E5713C">
        <w:t xml:space="preserve"> in the lower than forecast price.</w:t>
      </w:r>
    </w:p>
    <w:p w:rsidR="003E094C" w:rsidRPr="00E52925" w:rsidRDefault="005344B0" w:rsidP="003E094C">
      <w:pPr>
        <w:pStyle w:val="Heading3"/>
        <w:rPr>
          <w:rFonts w:eastAsia="Times New Roman"/>
        </w:rPr>
      </w:pPr>
      <w:r>
        <w:rPr>
          <w:rFonts w:eastAsia="Times New Roman"/>
        </w:rPr>
        <w:t>Wednesd</w:t>
      </w:r>
      <w:r w:rsidR="003E094C">
        <w:rPr>
          <w:rFonts w:eastAsia="Times New Roman"/>
        </w:rPr>
        <w:t>ay</w:t>
      </w:r>
      <w:r w:rsidR="003E094C" w:rsidRPr="00E52925">
        <w:rPr>
          <w:rFonts w:eastAsia="Times New Roman"/>
        </w:rPr>
        <w:t xml:space="preserve">, </w:t>
      </w:r>
      <w:r>
        <w:rPr>
          <w:rFonts w:eastAsia="Times New Roman"/>
        </w:rPr>
        <w:t>31</w:t>
      </w:r>
      <w:r w:rsidR="003E094C">
        <w:rPr>
          <w:rFonts w:eastAsia="Times New Roman"/>
        </w:rPr>
        <w:t> </w:t>
      </w:r>
      <w:r>
        <w:rPr>
          <w:rFonts w:eastAsia="Times New Roman"/>
        </w:rPr>
        <w:t>Ma</w:t>
      </w:r>
      <w:r w:rsidR="003E094C">
        <w:rPr>
          <w:rFonts w:eastAsia="Times New Roman"/>
        </w:rPr>
        <w:t>y</w:t>
      </w:r>
    </w:p>
    <w:p w:rsidR="003E094C" w:rsidRPr="00E52925" w:rsidRDefault="003E094C" w:rsidP="003E094C">
      <w:pPr>
        <w:pStyle w:val="Caption"/>
        <w:spacing w:before="120" w:after="60"/>
        <w:rPr>
          <w:rFonts w:asciiTheme="minorHAnsi" w:hAnsiTheme="minorHAnsi" w:cstheme="minorHAnsi"/>
        </w:rPr>
      </w:pPr>
      <w:r w:rsidRPr="00E52925">
        <w:rPr>
          <w:rFonts w:asciiTheme="minorHAnsi" w:hAnsiTheme="minorHAnsi" w:cstheme="minorHAnsi"/>
        </w:rPr>
        <w:t xml:space="preserve">Table </w:t>
      </w:r>
      <w:r w:rsidRPr="00E52925">
        <w:rPr>
          <w:rFonts w:asciiTheme="minorHAnsi" w:hAnsiTheme="minorHAnsi" w:cstheme="minorHAnsi"/>
        </w:rPr>
        <w:fldChar w:fldCharType="begin"/>
      </w:r>
      <w:r w:rsidRPr="00E52925">
        <w:rPr>
          <w:rFonts w:asciiTheme="minorHAnsi" w:hAnsiTheme="minorHAnsi" w:cstheme="minorHAnsi"/>
        </w:rPr>
        <w:instrText xml:space="preserve"> SEQ Table \* ARABIC </w:instrText>
      </w:r>
      <w:r w:rsidRPr="00E52925">
        <w:rPr>
          <w:rFonts w:asciiTheme="minorHAnsi" w:hAnsiTheme="minorHAnsi" w:cstheme="minorHAnsi"/>
        </w:rPr>
        <w:fldChar w:fldCharType="separate"/>
      </w:r>
      <w:r w:rsidR="001B1A27">
        <w:rPr>
          <w:rFonts w:asciiTheme="minorHAnsi" w:hAnsiTheme="minorHAnsi" w:cstheme="minorHAnsi"/>
          <w:noProof/>
        </w:rPr>
        <w:t>4</w:t>
      </w:r>
      <w:r w:rsidRPr="00E52925">
        <w:rPr>
          <w:rFonts w:asciiTheme="minorHAnsi" w:hAnsiTheme="minorHAnsi" w:cstheme="minorHAnsi"/>
          <w:noProof/>
        </w:rPr>
        <w:fldChar w:fldCharType="end"/>
      </w:r>
      <w:r w:rsidRPr="00E52925">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E52925" w:rsidTr="00A0018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 xml:space="preserve">Time </w:t>
            </w:r>
          </w:p>
        </w:tc>
        <w:tc>
          <w:tcPr>
            <w:tcW w:w="1582"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Price ($/MWh)</w:t>
            </w:r>
          </w:p>
        </w:tc>
        <w:tc>
          <w:tcPr>
            <w:tcW w:w="1445"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Demand (MW)</w:t>
            </w:r>
          </w:p>
        </w:tc>
        <w:tc>
          <w:tcPr>
            <w:tcW w:w="1442" w:type="pct"/>
            <w:gridSpan w:val="3"/>
            <w:hideMark/>
          </w:tcPr>
          <w:p w:rsidR="003E094C" w:rsidRPr="00E52925" w:rsidRDefault="003E094C" w:rsidP="00A00180">
            <w:pPr>
              <w:pStyle w:val="TableHeading"/>
              <w:jc w:val="center"/>
              <w:rPr>
                <w:rFonts w:cs="Arial"/>
                <w:b w:val="0"/>
                <w:sz w:val="20"/>
                <w:szCs w:val="20"/>
              </w:rPr>
            </w:pPr>
            <w:r w:rsidRPr="00E52925">
              <w:rPr>
                <w:rFonts w:cs="Arial"/>
                <w:b w:val="0"/>
                <w:sz w:val="20"/>
                <w:szCs w:val="20"/>
              </w:rPr>
              <w:t>Availability (MW)</w:t>
            </w:r>
          </w:p>
        </w:tc>
      </w:tr>
      <w:tr w:rsidR="003E094C" w:rsidRPr="00686EDE" w:rsidTr="00A0018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w:t>
            </w:r>
          </w:p>
        </w:tc>
        <w:tc>
          <w:tcPr>
            <w:tcW w:w="516"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53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455"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456"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534"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c>
          <w:tcPr>
            <w:tcW w:w="532"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Actual</w:t>
            </w:r>
          </w:p>
        </w:tc>
        <w:tc>
          <w:tcPr>
            <w:tcW w:w="457"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4 </w:t>
            </w:r>
            <w:proofErr w:type="spellStart"/>
            <w:r w:rsidRPr="00E52925">
              <w:rPr>
                <w:rFonts w:cs="Arial"/>
                <w:sz w:val="20"/>
                <w:szCs w:val="20"/>
              </w:rPr>
              <w:t>hr</w:t>
            </w:r>
            <w:proofErr w:type="spellEnd"/>
            <w:r w:rsidRPr="00E52925">
              <w:rPr>
                <w:rFonts w:cs="Arial"/>
                <w:sz w:val="20"/>
                <w:szCs w:val="20"/>
              </w:rPr>
              <w:t xml:space="preserve"> forecast</w:t>
            </w:r>
          </w:p>
        </w:tc>
        <w:tc>
          <w:tcPr>
            <w:tcW w:w="453" w:type="pct"/>
            <w:tcMar>
              <w:left w:w="57" w:type="dxa"/>
              <w:right w:w="57" w:type="dxa"/>
            </w:tcMar>
            <w:hideMark/>
          </w:tcPr>
          <w:p w:rsidR="003E094C" w:rsidRPr="00E52925" w:rsidRDefault="003E094C" w:rsidP="00A00180">
            <w:pPr>
              <w:pStyle w:val="tableheadingline2"/>
              <w:rPr>
                <w:rFonts w:cs="Arial"/>
                <w:sz w:val="20"/>
                <w:szCs w:val="20"/>
              </w:rPr>
            </w:pPr>
            <w:r w:rsidRPr="00E52925">
              <w:rPr>
                <w:rFonts w:cs="Arial"/>
                <w:sz w:val="20"/>
                <w:szCs w:val="20"/>
              </w:rPr>
              <w:t xml:space="preserve">12 </w:t>
            </w:r>
            <w:proofErr w:type="spellStart"/>
            <w:r w:rsidRPr="00E52925">
              <w:rPr>
                <w:rFonts w:cs="Arial"/>
                <w:sz w:val="20"/>
                <w:szCs w:val="20"/>
              </w:rPr>
              <w:t>hr</w:t>
            </w:r>
            <w:proofErr w:type="spellEnd"/>
            <w:r w:rsidRPr="00E52925">
              <w:rPr>
                <w:rFonts w:cs="Arial"/>
                <w:sz w:val="20"/>
                <w:szCs w:val="20"/>
              </w:rPr>
              <w:t xml:space="preserve"> forecast</w:t>
            </w:r>
          </w:p>
        </w:tc>
      </w:tr>
      <w:tr w:rsidR="005344B0" w:rsidRPr="00686EDE" w:rsidTr="00A0018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344B0" w:rsidRPr="005344B0" w:rsidRDefault="008858E2" w:rsidP="005344B0">
            <w:pPr>
              <w:spacing w:line="240" w:lineRule="auto"/>
              <w:ind w:right="-77"/>
              <w:jc w:val="center"/>
              <w:rPr>
                <w:rFonts w:cs="Arial"/>
                <w:sz w:val="20"/>
                <w:szCs w:val="20"/>
              </w:rPr>
            </w:pPr>
            <w:r>
              <w:rPr>
                <w:rFonts w:cs="Arial"/>
                <w:sz w:val="20"/>
                <w:szCs w:val="20"/>
              </w:rPr>
              <w:t>1.</w:t>
            </w:r>
            <w:r w:rsidR="005344B0" w:rsidRPr="005344B0">
              <w:rPr>
                <w:rFonts w:cs="Arial"/>
                <w:sz w:val="20"/>
                <w:szCs w:val="20"/>
              </w:rPr>
              <w:t xml:space="preserve">30 </w:t>
            </w:r>
            <w:r w:rsidR="005344B0">
              <w:rPr>
                <w:rFonts w:cs="Arial"/>
                <w:sz w:val="20"/>
                <w:szCs w:val="20"/>
              </w:rPr>
              <w:t>am</w:t>
            </w:r>
          </w:p>
        </w:tc>
        <w:tc>
          <w:tcPr>
            <w:tcW w:w="51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295.27</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90.06</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84.03</w:t>
            </w:r>
          </w:p>
        </w:tc>
        <w:tc>
          <w:tcPr>
            <w:tcW w:w="455"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1155</w:t>
            </w:r>
          </w:p>
        </w:tc>
        <w:tc>
          <w:tcPr>
            <w:tcW w:w="45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1107</w:t>
            </w:r>
          </w:p>
        </w:tc>
        <w:tc>
          <w:tcPr>
            <w:tcW w:w="534"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1068</w:t>
            </w:r>
          </w:p>
        </w:tc>
        <w:tc>
          <w:tcPr>
            <w:tcW w:w="532"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2027</w:t>
            </w:r>
          </w:p>
        </w:tc>
        <w:tc>
          <w:tcPr>
            <w:tcW w:w="457"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2221</w:t>
            </w:r>
          </w:p>
        </w:tc>
        <w:tc>
          <w:tcPr>
            <w:tcW w:w="45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2248</w:t>
            </w:r>
          </w:p>
        </w:tc>
      </w:tr>
      <w:tr w:rsidR="005344B0" w:rsidRPr="00686EDE" w:rsidTr="00A00180">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344B0" w:rsidRPr="005344B0" w:rsidRDefault="008858E2" w:rsidP="005344B0">
            <w:pPr>
              <w:spacing w:line="240" w:lineRule="auto"/>
              <w:ind w:right="-77"/>
              <w:jc w:val="center"/>
              <w:rPr>
                <w:rFonts w:cs="Arial"/>
                <w:sz w:val="20"/>
                <w:szCs w:val="20"/>
              </w:rPr>
            </w:pPr>
            <w:r>
              <w:rPr>
                <w:rFonts w:cs="Arial"/>
                <w:sz w:val="20"/>
                <w:szCs w:val="20"/>
              </w:rPr>
              <w:t>8.</w:t>
            </w:r>
            <w:r w:rsidR="005344B0" w:rsidRPr="005344B0">
              <w:rPr>
                <w:rFonts w:cs="Arial"/>
                <w:sz w:val="20"/>
                <w:szCs w:val="20"/>
              </w:rPr>
              <w:t xml:space="preserve">00 </w:t>
            </w:r>
            <w:r w:rsidR="005344B0">
              <w:rPr>
                <w:rFonts w:cs="Arial"/>
                <w:sz w:val="20"/>
                <w:szCs w:val="20"/>
              </w:rPr>
              <w:t>am</w:t>
            </w:r>
          </w:p>
        </w:tc>
        <w:tc>
          <w:tcPr>
            <w:tcW w:w="51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298.80</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103.50</w:t>
            </w:r>
          </w:p>
        </w:tc>
        <w:tc>
          <w:tcPr>
            <w:tcW w:w="53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102.40</w:t>
            </w:r>
          </w:p>
        </w:tc>
        <w:tc>
          <w:tcPr>
            <w:tcW w:w="455"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1575</w:t>
            </w:r>
          </w:p>
        </w:tc>
        <w:tc>
          <w:tcPr>
            <w:tcW w:w="456"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1502</w:t>
            </w:r>
          </w:p>
        </w:tc>
        <w:tc>
          <w:tcPr>
            <w:tcW w:w="534"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1481</w:t>
            </w:r>
          </w:p>
        </w:tc>
        <w:tc>
          <w:tcPr>
            <w:tcW w:w="532"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1912</w:t>
            </w:r>
          </w:p>
        </w:tc>
        <w:tc>
          <w:tcPr>
            <w:tcW w:w="457"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2172</w:t>
            </w:r>
          </w:p>
        </w:tc>
        <w:tc>
          <w:tcPr>
            <w:tcW w:w="453" w:type="pct"/>
            <w:vAlign w:val="center"/>
          </w:tcPr>
          <w:p w:rsidR="005344B0" w:rsidRPr="005344B0" w:rsidRDefault="005344B0" w:rsidP="005344B0">
            <w:pPr>
              <w:spacing w:line="240" w:lineRule="auto"/>
              <w:ind w:right="-77"/>
              <w:jc w:val="center"/>
              <w:rPr>
                <w:rFonts w:cs="Arial"/>
                <w:sz w:val="20"/>
                <w:szCs w:val="20"/>
              </w:rPr>
            </w:pPr>
            <w:r w:rsidRPr="005344B0">
              <w:rPr>
                <w:rFonts w:cs="Arial"/>
                <w:sz w:val="20"/>
                <w:szCs w:val="20"/>
              </w:rPr>
              <w:t>2171</w:t>
            </w:r>
          </w:p>
        </w:tc>
      </w:tr>
    </w:tbl>
    <w:p w:rsidR="00A61A29" w:rsidRDefault="00D74470" w:rsidP="0032785B">
      <w:pPr>
        <w:pStyle w:val="AERbodytext"/>
      </w:pPr>
      <w:r>
        <w:t xml:space="preserve">For the 1.30 am </w:t>
      </w:r>
      <w:r w:rsidR="0032785B">
        <w:t xml:space="preserve">and 8 am </w:t>
      </w:r>
      <w:r>
        <w:t>trading interval</w:t>
      </w:r>
      <w:r w:rsidR="0032785B">
        <w:t>s</w:t>
      </w:r>
      <w:r>
        <w:t xml:space="preserve"> demand was close to forecast</w:t>
      </w:r>
      <w:r w:rsidR="0032785B">
        <w:t xml:space="preserve"> while</w:t>
      </w:r>
      <w:r>
        <w:t xml:space="preserve"> </w:t>
      </w:r>
      <w:r w:rsidR="0032785B">
        <w:t xml:space="preserve">availability was </w:t>
      </w:r>
      <w:r w:rsidR="008858E2">
        <w:t xml:space="preserve">up to </w:t>
      </w:r>
      <w:r w:rsidR="0084030A">
        <w:t>260</w:t>
      </w:r>
      <w:r>
        <w:t> MW lower</w:t>
      </w:r>
      <w:r w:rsidR="00BE53B0">
        <w:t xml:space="preserve"> than forecast</w:t>
      </w:r>
      <w:r w:rsidR="008858E2">
        <w:t>,</w:t>
      </w:r>
      <w:r w:rsidR="00BE53B0">
        <w:t xml:space="preserve"> four hours ahead</w:t>
      </w:r>
      <w:r w:rsidR="0032785B">
        <w:t>.</w:t>
      </w:r>
      <w:r w:rsidR="00BE53B0">
        <w:t xml:space="preserve"> </w:t>
      </w:r>
      <w:r w:rsidR="00A61A29">
        <w:t xml:space="preserve">At 12.30 am, </w:t>
      </w:r>
      <w:r w:rsidR="00BE53B0">
        <w:t>Tamar Valley power station</w:t>
      </w:r>
      <w:r w:rsidR="0032785B">
        <w:t xml:space="preserve"> </w:t>
      </w:r>
      <w:r w:rsidR="00A61A29">
        <w:t xml:space="preserve">tripped and 208 MW of capacity priced less than $50/MWh was lost. A constraint managing an outage around Hadspen had low priced capacity ramp rate limited and the dispatch price went to $670/MWh at 12.55 pm. The price remained above $300/MWh until 1.25 am. </w:t>
      </w:r>
    </w:p>
    <w:p w:rsidR="003E094C" w:rsidRDefault="00A61A29" w:rsidP="0032785B">
      <w:pPr>
        <w:pStyle w:val="AERbodytext"/>
      </w:pPr>
      <w:r>
        <w:t xml:space="preserve">Tamar Valley began generating again at 3.15 am. At around 6.10 pm the station tripped </w:t>
      </w:r>
      <w:r w:rsidR="00820760">
        <w:t>once more</w:t>
      </w:r>
      <w:r>
        <w:t xml:space="preserve"> and </w:t>
      </w:r>
      <w:r w:rsidR="00820760">
        <w:t>withdrew 208 MW of</w:t>
      </w:r>
      <w:r>
        <w:t xml:space="preserve"> capacity priced below $50/MWh. As the morning demand increased capacity priced around $300/MWh was dispatched, leading to the higher than forecast 8 am spot price</w:t>
      </w:r>
      <w:r w:rsidR="00090C2D">
        <w:t>.</w:t>
      </w:r>
      <w:r w:rsidR="0032785B">
        <w:t xml:space="preserve"> </w:t>
      </w:r>
    </w:p>
    <w:bookmarkEnd w:id="0"/>
    <w:bookmarkEnd w:id="1"/>
    <w:bookmarkEnd w:id="2"/>
    <w:bookmarkEnd w:id="3"/>
    <w:bookmarkEnd w:id="4"/>
    <w:bookmarkEnd w:id="5"/>
    <w:p w:rsidR="00275002" w:rsidRDefault="00275002" w:rsidP="002E01BF">
      <w:pPr>
        <w:pStyle w:val="Heading2"/>
        <w:spacing w:after="120"/>
      </w:pPr>
      <w:r w:rsidRPr="00686EDE">
        <w:t>Financial markets</w:t>
      </w:r>
    </w:p>
    <w:p w:rsidR="0029162D" w:rsidRDefault="00275002" w:rsidP="002E01BF">
      <w:pPr>
        <w:autoSpaceDE w:val="0"/>
        <w:autoSpaceDN w:val="0"/>
        <w:spacing w:before="0" w:after="120"/>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1B1A27">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lastRenderedPageBreak/>
        <w:t xml:space="preserve">Figure </w:t>
      </w:r>
      <w:fldSimple w:instr=" SEQ Figure \* ARABIC ">
        <w:r w:rsidR="001B1A27">
          <w:rPr>
            <w:noProof/>
          </w:rPr>
          <w:t>9</w:t>
        </w:r>
      </w:fldSimple>
      <w:bookmarkEnd w:id="21"/>
      <w:r w:rsidR="002515C3">
        <w:t>:</w:t>
      </w:r>
      <w:r>
        <w:t xml:space="preserve"> </w:t>
      </w:r>
      <w:r w:rsidRPr="007A6ACB">
        <w:t>Quarterly base future prices Q</w:t>
      </w:r>
      <w:r w:rsidR="0032785B">
        <w:t>2</w:t>
      </w:r>
      <w:r w:rsidR="00C4712A">
        <w:t xml:space="preserve"> 201</w:t>
      </w:r>
      <w:r w:rsidR="00345595">
        <w:t>7</w:t>
      </w:r>
      <w:r w:rsidRPr="007A6ACB">
        <w:t xml:space="preserve"> – Q</w:t>
      </w:r>
      <w:r w:rsidR="0032785B">
        <w:t>1</w:t>
      </w:r>
      <w:r w:rsidR="0069547C">
        <w:t xml:space="preserve"> 202</w:t>
      </w:r>
      <w:r w:rsidR="0032785B">
        <w:t>1</w:t>
      </w:r>
      <w:r w:rsidR="003A585C" w:rsidRPr="003A585C">
        <w:rPr>
          <w:b w:val="0"/>
          <w:bCs w:val="0"/>
        </w:rPr>
        <w:t xml:space="preserve"> </w:t>
      </w:r>
    </w:p>
    <w:p w:rsidR="00CA0ECB" w:rsidRPr="00037EB9" w:rsidRDefault="00253E45" w:rsidP="00783D4E">
      <w:pPr>
        <w:spacing w:before="0" w:after="120" w:line="240" w:lineRule="auto"/>
        <w:rPr>
          <w:sz w:val="16"/>
          <w:szCs w:val="16"/>
        </w:rPr>
      </w:pPr>
      <w:r w:rsidRPr="00253E45">
        <w:rPr>
          <w:noProof/>
          <w:lang w:eastAsia="en-AU"/>
        </w:rPr>
        <w:drawing>
          <wp:inline distT="0" distB="0" distL="0" distR="0" wp14:anchorId="64D271AB" wp14:editId="785F8E9A">
            <wp:extent cx="5731510" cy="2885766"/>
            <wp:effectExtent l="0" t="0" r="2540" b="0"/>
            <wp:docPr id="6" name="Picture 6"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1B1A27" w:rsidRPr="00491631">
        <w:t xml:space="preserve">Figure </w:t>
      </w:r>
      <w:r w:rsidR="001B1A27">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C764D8">
        <w:t>8</w:t>
      </w:r>
      <w:r w:rsidRPr="000048ED">
        <w:t xml:space="preserve"> base contract has changed over the last 10 weeks (as well as the total number of trades each week). The closing quarter 1 201</w:t>
      </w:r>
      <w:r w:rsidR="0084030A">
        <w:t>6</w:t>
      </w:r>
      <w:r w:rsidRPr="000048ED">
        <w:t xml:space="preserve"> and quarter 1 201</w:t>
      </w:r>
      <w:r w:rsidR="0084030A">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r w:rsidR="0084030A">
        <w:t>The high volumes for the week staring 14 May were a result of the conversion of 2017/18 financial year base load options to base future contracts.</w:t>
      </w:r>
    </w:p>
    <w:p w:rsidR="00275002" w:rsidRDefault="00275002" w:rsidP="00783D4E">
      <w:pPr>
        <w:pStyle w:val="Caption"/>
        <w:spacing w:before="0" w:line="240" w:lineRule="auto"/>
      </w:pPr>
      <w:bookmarkStart w:id="22" w:name="_Ref410380382"/>
      <w:r w:rsidRPr="00491631">
        <w:t xml:space="preserve">Figure </w:t>
      </w:r>
      <w:fldSimple w:instr=" SEQ Figure \* ARABIC ">
        <w:r w:rsidR="001B1A27">
          <w:rPr>
            <w:noProof/>
          </w:rPr>
          <w:t>10</w:t>
        </w:r>
      </w:fldSimple>
      <w:bookmarkEnd w:id="22"/>
      <w:r w:rsidR="002515C3" w:rsidRPr="00491631">
        <w:t>:</w:t>
      </w:r>
      <w:r w:rsidRPr="00491631">
        <w:t xml:space="preserve"> Price of Q1 201</w:t>
      </w:r>
      <w:r w:rsidR="0032785B">
        <w:t>8</w:t>
      </w:r>
      <w:r w:rsidRPr="00491631">
        <w:t xml:space="preserve"> base contracts over the past 10 weeks (and the past 2 years)</w:t>
      </w:r>
    </w:p>
    <w:p w:rsidR="007C26D6" w:rsidRDefault="0032785B" w:rsidP="00C466B4">
      <w:pPr>
        <w:pStyle w:val="Source"/>
        <w:spacing w:before="0" w:after="120" w:line="240" w:lineRule="auto"/>
        <w:jc w:val="both"/>
      </w:pPr>
      <w:r w:rsidRPr="0032785B">
        <w:rPr>
          <w:noProof/>
          <w:lang w:eastAsia="en-AU"/>
        </w:rPr>
        <w:drawing>
          <wp:inline distT="0" distB="0" distL="0" distR="0" wp14:anchorId="45C9466F" wp14:editId="559FEA03">
            <wp:extent cx="5731510" cy="2900199"/>
            <wp:effectExtent l="0" t="0" r="2540" b="0"/>
            <wp:docPr id="7" name="Picture 7"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1B1A27">
        <w:t xml:space="preserve">Figure </w:t>
      </w:r>
      <w:r w:rsidR="001B1A27">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3" w:name="_Ref428276233"/>
      <w:bookmarkStart w:id="24" w:name="_Ref410744936"/>
      <w:r>
        <w:lastRenderedPageBreak/>
        <w:t xml:space="preserve">Figure </w:t>
      </w:r>
      <w:fldSimple w:instr=" SEQ Figure \* ARABIC ">
        <w:r w:rsidR="001B1A27">
          <w:rPr>
            <w:noProof/>
          </w:rPr>
          <w:t>11</w:t>
        </w:r>
      </w:fldSimple>
      <w:bookmarkEnd w:id="23"/>
      <w:r w:rsidR="002515C3">
        <w:t>:</w:t>
      </w:r>
      <w:r w:rsidRPr="0074419D">
        <w:t xml:space="preserve"> Price of Q1 201</w:t>
      </w:r>
      <w:r w:rsidR="0032785B">
        <w:t>8</w:t>
      </w:r>
      <w:r w:rsidRPr="0074419D">
        <w:t xml:space="preserve"> cap contracts over the past 10 weeks (and the past 2 years)</w:t>
      </w:r>
      <w:bookmarkEnd w:id="24"/>
    </w:p>
    <w:p w:rsidR="008E0420" w:rsidRPr="008E0420" w:rsidRDefault="0032785B" w:rsidP="008E0420">
      <w:r w:rsidRPr="0032785B">
        <w:rPr>
          <w:noProof/>
          <w:lang w:eastAsia="en-AU"/>
        </w:rPr>
        <w:drawing>
          <wp:inline distT="0" distB="0" distL="0" distR="0" wp14:anchorId="00CB5E58" wp14:editId="14EEF943">
            <wp:extent cx="5731510" cy="2874232"/>
            <wp:effectExtent l="0" t="0" r="2540" b="2540"/>
            <wp:docPr id="8" name="Picture 8"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84030A">
        <w:t xml:space="preserve">June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67719">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67719">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D94449">
      <w:rPr>
        <w:rFonts w:cs="Arial"/>
        <w:i/>
        <w:szCs w:val="18"/>
      </w:rPr>
      <w:t>7600</w:t>
    </w:r>
    <w:r w:rsidR="000D1AFA">
      <w:rPr>
        <w:rFonts w:cs="Arial"/>
        <w:i/>
        <w:szCs w:val="18"/>
      </w:rPr>
      <w:t>2</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96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28 May - 3 June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67719"/>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164"/>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1A27"/>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E45"/>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0DE5"/>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10A43"/>
    <w:rsid w:val="00510F5E"/>
    <w:rsid w:val="0051195C"/>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B16"/>
    <w:rsid w:val="00694FD6"/>
    <w:rsid w:val="0069547C"/>
    <w:rsid w:val="006956EC"/>
    <w:rsid w:val="00696FCB"/>
    <w:rsid w:val="006A0411"/>
    <w:rsid w:val="006A20CE"/>
    <w:rsid w:val="006A21CD"/>
    <w:rsid w:val="006A2A80"/>
    <w:rsid w:val="006A35B0"/>
    <w:rsid w:val="006A5730"/>
    <w:rsid w:val="006A6258"/>
    <w:rsid w:val="006A698D"/>
    <w:rsid w:val="006A6EDD"/>
    <w:rsid w:val="006A7C64"/>
    <w:rsid w:val="006B0C7B"/>
    <w:rsid w:val="006B3202"/>
    <w:rsid w:val="006B3293"/>
    <w:rsid w:val="006B32F3"/>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D7E44"/>
    <w:rsid w:val="007E12F8"/>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0760"/>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58E2"/>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9F9"/>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9BF"/>
    <w:rsid w:val="00A15E40"/>
    <w:rsid w:val="00A16DAF"/>
    <w:rsid w:val="00A16F26"/>
    <w:rsid w:val="00A178E7"/>
    <w:rsid w:val="00A20EEB"/>
    <w:rsid w:val="00A21AC7"/>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A29"/>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CA1"/>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3B76"/>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6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29FD6278</Template>
  <TotalTime>0</TotalTime>
  <Pages>9</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2017-06-07T05:32:00Z</dcterms:created>
  <dcterms:modified xsi:type="dcterms:W3CDTF">2017-06-07T05:43:00Z</dcterms:modified>
</cp:coreProperties>
</file>