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5CFC566" wp14:editId="5ED49F9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AA3A2C" w:rsidP="002A4EF8">
      <w:pPr>
        <w:rPr>
          <w:b/>
          <w:sz w:val="36"/>
          <w:szCs w:val="36"/>
        </w:rPr>
      </w:pPr>
      <w:r>
        <w:rPr>
          <w:b/>
          <w:sz w:val="36"/>
          <w:szCs w:val="36"/>
        </w:rPr>
        <w:t>27 March – 2</w:t>
      </w:r>
      <w:r w:rsidR="00E334A4">
        <w:rPr>
          <w:b/>
          <w:sz w:val="36"/>
          <w:szCs w:val="36"/>
        </w:rPr>
        <w:t xml:space="preserve"> </w:t>
      </w:r>
      <w:r>
        <w:rPr>
          <w:b/>
          <w:sz w:val="36"/>
          <w:szCs w:val="36"/>
        </w:rPr>
        <w:t xml:space="preserve">April </w:t>
      </w:r>
      <w:r w:rsidR="00FA25D4" w:rsidRPr="00C4712A">
        <w:rPr>
          <w:b/>
          <w:sz w:val="36"/>
          <w:szCs w:val="36"/>
        </w:rPr>
        <w:t>2016</w:t>
      </w:r>
    </w:p>
    <w:p w:rsidR="00275002" w:rsidRPr="00C4712A" w:rsidRDefault="00275002" w:rsidP="004F6D0A">
      <w:pPr>
        <w:pStyle w:val="AERHeading1"/>
      </w:pPr>
      <w:r w:rsidRPr="00C4712A">
        <w:t>Introduction</w:t>
      </w:r>
    </w:p>
    <w:p w:rsidR="00275002" w:rsidRPr="00C4712A" w:rsidRDefault="00275002" w:rsidP="00AF7C0E">
      <w:pPr>
        <w:pStyle w:val="AERbodytext"/>
      </w:pPr>
      <w:r w:rsidRPr="00C4712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3E4ACE" w:rsidRPr="00BE2075">
        <w:t xml:space="preserve">Figure </w:t>
      </w:r>
      <w:r w:rsidR="003E4ACE">
        <w:t>1</w:t>
      </w:r>
      <w:r w:rsidRPr="00C4712A">
        <w:fldChar w:fldCharType="end"/>
      </w:r>
      <w:r w:rsidRPr="00C4712A">
        <w:t xml:space="preserve"> </w:t>
      </w:r>
      <w:r w:rsidR="00AF7058" w:rsidRPr="00C4712A">
        <w:t xml:space="preserve">shows the spot prices that occurred in each region during the week </w:t>
      </w:r>
      <w:r w:rsidR="00AA3A2C">
        <w:t>27 March</w:t>
      </w:r>
      <w:r w:rsidR="00E334A4">
        <w:t xml:space="preserve"> </w:t>
      </w:r>
      <w:r w:rsidR="00061E3B">
        <w:t xml:space="preserve">to </w:t>
      </w:r>
      <w:r w:rsidR="00AA3A2C">
        <w:t>2</w:t>
      </w:r>
      <w:r w:rsidR="009E464D">
        <w:t> </w:t>
      </w:r>
      <w:r w:rsidR="00AA3A2C">
        <w:t xml:space="preserve">April </w:t>
      </w:r>
      <w:r w:rsidR="00FA25D4" w:rsidRPr="00C4712A">
        <w:t>2016</w:t>
      </w:r>
      <w:r w:rsidR="00AF7058" w:rsidRPr="00C4712A">
        <w:t>.</w:t>
      </w:r>
      <w:r w:rsidR="00E03725">
        <w:t xml:space="preserve"> </w:t>
      </w:r>
      <w:r w:rsidR="00A5631E">
        <w:t xml:space="preserve">There was one occasion where the spot price in Queensland was greater than three times the Queensland weekly average price of $42/MWh and above $250/MWh. There was one occasion where the spot price in Victoria was below -$100/MWh. There was one occasion where the spot price in South Australia was </w:t>
      </w:r>
      <w:r w:rsidR="009E2520">
        <w:t xml:space="preserve">greater than three times the South Australian weekly average price of $42/MWh and above $250/MWh. </w:t>
      </w:r>
    </w:p>
    <w:p w:rsidR="00BF4639" w:rsidRPr="00C4712A" w:rsidRDefault="00275002" w:rsidP="00405B42">
      <w:pPr>
        <w:pStyle w:val="Caption"/>
      </w:pPr>
      <w:bookmarkStart w:id="6" w:name="_Ref410382491"/>
      <w:bookmarkStart w:id="7" w:name="OLE_LINK28"/>
      <w:bookmarkStart w:id="8" w:name="OLE_LINK29"/>
      <w:r w:rsidRPr="00BE2075">
        <w:lastRenderedPageBreak/>
        <w:t xml:space="preserve">Figure </w:t>
      </w:r>
      <w:r w:rsidR="003E4ACE">
        <w:fldChar w:fldCharType="begin"/>
      </w:r>
      <w:r w:rsidR="003E4ACE">
        <w:instrText xml:space="preserve"> SEQ Figure \* ARABIC </w:instrText>
      </w:r>
      <w:r w:rsidR="003E4ACE">
        <w:fldChar w:fldCharType="separate"/>
      </w:r>
      <w:r w:rsidR="003E4ACE">
        <w:rPr>
          <w:noProof/>
        </w:rPr>
        <w:t>1</w:t>
      </w:r>
      <w:r w:rsidR="003E4ACE">
        <w:rPr>
          <w:noProof/>
        </w:rPr>
        <w:fldChar w:fldCharType="end"/>
      </w:r>
      <w:bookmarkEnd w:id="6"/>
      <w:r w:rsidRPr="00BE2075">
        <w:t>: Spot price by region ($/MWh)</w:t>
      </w:r>
    </w:p>
    <w:p w:rsidR="00EC05BF" w:rsidRDefault="00AA3A2C" w:rsidP="00C4712A">
      <w:pPr>
        <w:pStyle w:val="Caption"/>
        <w:rPr>
          <w:bCs w:val="0"/>
          <w:lang w:eastAsia="en-AU"/>
        </w:rPr>
      </w:pPr>
      <w:r w:rsidRPr="00AA3A2C">
        <w:rPr>
          <w:noProof/>
          <w:lang w:eastAsia="en-AU"/>
        </w:rPr>
        <w:drawing>
          <wp:inline distT="0" distB="0" distL="0" distR="0" wp14:anchorId="1DFB2CEA" wp14:editId="47F6C44E">
            <wp:extent cx="5724399" cy="3657600"/>
            <wp:effectExtent l="0" t="0" r="0" b="0"/>
            <wp:docPr id="5" name="Picture 5"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662144"/>
                    </a:xfrm>
                    <a:prstGeom prst="rect">
                      <a:avLst/>
                    </a:prstGeom>
                    <a:noFill/>
                    <a:ln>
                      <a:noFill/>
                    </a:ln>
                  </pic:spPr>
                </pic:pic>
              </a:graphicData>
            </a:graphic>
          </wp:inline>
        </w:drawing>
      </w:r>
    </w:p>
    <w:p w:rsidR="009E2520" w:rsidRDefault="009E2520" w:rsidP="001778E3">
      <w:pPr>
        <w:pStyle w:val="AERbodytext"/>
      </w:pP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3E4ACE" w:rsidRPr="00C4712A">
        <w:t xml:space="preserve">Figure </w:t>
      </w:r>
      <w:r w:rsidR="003E4ACE">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3E4ACE" w:rsidRPr="00C4712A">
        <w:t xml:space="preserve">Table </w:t>
      </w:r>
      <w:r w:rsidR="003E4ACE">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t xml:space="preserve">Figure </w:t>
      </w:r>
      <w:r w:rsidR="003E4ACE">
        <w:fldChar w:fldCharType="begin"/>
      </w:r>
      <w:r w:rsidR="003E4ACE">
        <w:instrText xml:space="preserve"> SEQ Figure \* ARABIC </w:instrText>
      </w:r>
      <w:r w:rsidR="003E4ACE">
        <w:fldChar w:fldCharType="separate"/>
      </w:r>
      <w:r w:rsidR="003E4ACE">
        <w:rPr>
          <w:noProof/>
        </w:rPr>
        <w:t>2</w:t>
      </w:r>
      <w:r w:rsidR="003E4ACE">
        <w:rPr>
          <w:noProof/>
        </w:rPr>
        <w:fldChar w:fldCharType="end"/>
      </w:r>
      <w:bookmarkEnd w:id="9"/>
      <w:r w:rsidRPr="00C4712A">
        <w:t>: Volume weighted average spot price by region ($/MWh)</w:t>
      </w:r>
    </w:p>
    <w:p w:rsidR="001F22EE" w:rsidRDefault="00DE5104" w:rsidP="00F167CF">
      <w:pPr>
        <w:spacing w:before="0" w:after="120" w:line="240" w:lineRule="auto"/>
      </w:pPr>
      <w:r w:rsidRPr="00DE5104">
        <w:rPr>
          <w:noProof/>
          <w:lang w:eastAsia="en-AU"/>
        </w:rPr>
        <w:drawing>
          <wp:inline distT="0" distB="0" distL="0" distR="0" wp14:anchorId="60D5C01F" wp14:editId="033852A9">
            <wp:extent cx="5731510" cy="2862309"/>
            <wp:effectExtent l="0" t="0" r="2540" b="0"/>
            <wp:docPr id="6" name="Picture 6"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230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C4712A">
        <w:lastRenderedPageBreak/>
        <w:t xml:space="preserve">Table </w:t>
      </w:r>
      <w:r w:rsidR="003E4ACE">
        <w:fldChar w:fldCharType="begin"/>
      </w:r>
      <w:r w:rsidR="003E4ACE">
        <w:instrText xml:space="preserve"> SEQ Table \* ARABIC </w:instrText>
      </w:r>
      <w:r w:rsidR="003E4ACE">
        <w:fldChar w:fldCharType="separate"/>
      </w:r>
      <w:r w:rsidR="003E4ACE">
        <w:rPr>
          <w:noProof/>
        </w:rPr>
        <w:t>1</w:t>
      </w:r>
      <w:r w:rsidR="003E4ACE">
        <w:rPr>
          <w:noProof/>
        </w:rPr>
        <w:fldChar w:fldCharType="end"/>
      </w:r>
      <w:bookmarkEnd w:id="10"/>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DE5104" w:rsidRPr="00C4712A" w:rsidTr="00E334A4">
        <w:trPr>
          <w:trHeight w:hRule="exact" w:val="340"/>
        </w:trPr>
        <w:tc>
          <w:tcPr>
            <w:tcW w:w="1357" w:type="pct"/>
            <w:noWrap/>
            <w:vAlign w:val="center"/>
            <w:hideMark/>
          </w:tcPr>
          <w:p w:rsidR="00DE5104" w:rsidRPr="00C4712A" w:rsidRDefault="00DE5104"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42</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35</w:t>
            </w:r>
          </w:p>
        </w:tc>
        <w:tc>
          <w:tcPr>
            <w:tcW w:w="728"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23</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42</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250</w:t>
            </w:r>
          </w:p>
        </w:tc>
      </w:tr>
      <w:tr w:rsidR="00DE5104"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DE5104" w:rsidRPr="00C4712A" w:rsidRDefault="00DE5104"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DE5104" w:rsidRPr="00DE5104" w:rsidRDefault="00DE5104" w:rsidP="00DE5104">
            <w:pPr>
              <w:spacing w:before="100" w:beforeAutospacing="1" w:after="100" w:afterAutospacing="1" w:line="240" w:lineRule="auto"/>
              <w:jc w:val="center"/>
              <w:rPr>
                <w:rFonts w:cs="Arial"/>
                <w:bCs/>
                <w:szCs w:val="20"/>
              </w:rPr>
            </w:pPr>
            <w:r w:rsidRPr="00DE5104">
              <w:rPr>
                <w:rFonts w:cs="Arial"/>
                <w:bCs/>
                <w:szCs w:val="20"/>
              </w:rPr>
              <w:t>70</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Cs w:val="20"/>
              </w:rPr>
            </w:pPr>
            <w:r w:rsidRPr="00DE5104">
              <w:rPr>
                <w:rFonts w:cs="Arial"/>
                <w:bCs/>
                <w:szCs w:val="20"/>
              </w:rPr>
              <w:t>36</w:t>
            </w:r>
          </w:p>
        </w:tc>
        <w:tc>
          <w:tcPr>
            <w:tcW w:w="728" w:type="pct"/>
            <w:noWrap/>
            <w:vAlign w:val="center"/>
          </w:tcPr>
          <w:p w:rsidR="00DE5104" w:rsidRPr="00DE5104" w:rsidRDefault="00DE5104" w:rsidP="00DE5104">
            <w:pPr>
              <w:spacing w:before="100" w:beforeAutospacing="1" w:after="100" w:afterAutospacing="1" w:line="240" w:lineRule="auto"/>
              <w:jc w:val="center"/>
              <w:rPr>
                <w:rFonts w:cs="Arial"/>
                <w:bCs/>
                <w:szCs w:val="20"/>
              </w:rPr>
            </w:pPr>
            <w:r w:rsidRPr="00DE5104">
              <w:rPr>
                <w:rFonts w:cs="Arial"/>
                <w:bCs/>
                <w:szCs w:val="20"/>
              </w:rPr>
              <w:t>31</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Cs w:val="20"/>
              </w:rPr>
            </w:pPr>
            <w:r w:rsidRPr="00DE5104">
              <w:rPr>
                <w:rFonts w:cs="Arial"/>
                <w:bCs/>
                <w:szCs w:val="20"/>
              </w:rPr>
              <w:t>40</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Cs w:val="20"/>
              </w:rPr>
            </w:pPr>
            <w:r w:rsidRPr="00DE5104">
              <w:rPr>
                <w:rFonts w:cs="Arial"/>
                <w:bCs/>
                <w:szCs w:val="20"/>
              </w:rPr>
              <w:t>39</w:t>
            </w:r>
          </w:p>
        </w:tc>
      </w:tr>
      <w:tr w:rsidR="00DE5104" w:rsidRPr="00C4712A" w:rsidTr="00E334A4">
        <w:trPr>
          <w:trHeight w:hRule="exact" w:val="340"/>
        </w:trPr>
        <w:tc>
          <w:tcPr>
            <w:tcW w:w="1357" w:type="pct"/>
            <w:noWrap/>
            <w:vAlign w:val="center"/>
            <w:hideMark/>
          </w:tcPr>
          <w:p w:rsidR="00DE5104" w:rsidRPr="00C4712A" w:rsidRDefault="00DE5104"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60</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46</w:t>
            </w:r>
          </w:p>
        </w:tc>
        <w:tc>
          <w:tcPr>
            <w:tcW w:w="728"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44</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61</w:t>
            </w:r>
          </w:p>
        </w:tc>
        <w:tc>
          <w:tcPr>
            <w:tcW w:w="729" w:type="pct"/>
            <w:noWrap/>
            <w:vAlign w:val="center"/>
          </w:tcPr>
          <w:p w:rsidR="00DE5104" w:rsidRPr="00DE5104" w:rsidRDefault="00DE5104" w:rsidP="00DE5104">
            <w:pPr>
              <w:spacing w:before="100" w:beforeAutospacing="1" w:after="100" w:afterAutospacing="1" w:line="240" w:lineRule="auto"/>
              <w:jc w:val="center"/>
              <w:rPr>
                <w:rFonts w:cs="Arial"/>
                <w:bCs/>
                <w:sz w:val="20"/>
                <w:szCs w:val="20"/>
              </w:rPr>
            </w:pPr>
            <w:r w:rsidRPr="00DE5104">
              <w:rPr>
                <w:rFonts w:cs="Arial"/>
                <w:bCs/>
                <w:sz w:val="20"/>
                <w:szCs w:val="20"/>
              </w:rPr>
              <w:t>93</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BE2F8A" w:rsidP="00BE2F8A">
      <w:pPr>
        <w:pStyle w:val="AERbodytext"/>
      </w:pPr>
      <w:r>
        <w:t xml:space="preserve">There were </w:t>
      </w:r>
      <w:r w:rsidR="00DE5104">
        <w:t>75</w:t>
      </w:r>
      <w:r>
        <w:t xml:space="preserve"> trading intervals throughout the week where actual prices varied significantly from forecasts. This compares to the weekly average in 2015 of 133 counts and the average in 2014 of 71.</w:t>
      </w:r>
      <w:r>
        <w:tab/>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3E4ACE" w:rsidRPr="00C4712A">
        <w:t xml:space="preserve">Table </w:t>
      </w:r>
      <w:r w:rsidR="003E4ACE">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t xml:space="preserve">Table </w:t>
      </w:r>
      <w:r w:rsidR="003E4ACE">
        <w:fldChar w:fldCharType="begin"/>
      </w:r>
      <w:r w:rsidR="003E4ACE">
        <w:instrText xml:space="preserve"> SEQ Table \* ARABIC </w:instrText>
      </w:r>
      <w:r w:rsidR="003E4ACE">
        <w:fldChar w:fldCharType="separate"/>
      </w:r>
      <w:r w:rsidR="003E4ACE">
        <w:rPr>
          <w:noProof/>
        </w:rPr>
        <w:t>2</w:t>
      </w:r>
      <w:r w:rsidR="003E4ACE">
        <w:rPr>
          <w:noProof/>
        </w:rPr>
        <w:fldChar w:fldCharType="end"/>
      </w:r>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DE5104"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DE5104" w:rsidRPr="00C4712A" w:rsidRDefault="00DE5104" w:rsidP="006C62B7">
            <w:pPr>
              <w:spacing w:after="0" w:line="240" w:lineRule="auto"/>
              <w:rPr>
                <w:sz w:val="20"/>
                <w:szCs w:val="20"/>
              </w:rPr>
            </w:pPr>
            <w:r w:rsidRPr="00C4712A">
              <w:rPr>
                <w:sz w:val="20"/>
                <w:szCs w:val="20"/>
              </w:rPr>
              <w:t>% of total above forecast</w:t>
            </w:r>
          </w:p>
        </w:tc>
        <w:tc>
          <w:tcPr>
            <w:tcW w:w="1571" w:type="dxa"/>
            <w:noWrap/>
            <w:vAlign w:val="center"/>
          </w:tcPr>
          <w:p w:rsidR="00DE5104" w:rsidRPr="00DE5104" w:rsidRDefault="00DE5104" w:rsidP="00DE5104">
            <w:pPr>
              <w:spacing w:after="0" w:line="240" w:lineRule="auto"/>
              <w:jc w:val="center"/>
              <w:rPr>
                <w:sz w:val="20"/>
                <w:szCs w:val="20"/>
              </w:rPr>
            </w:pPr>
            <w:r w:rsidRPr="00DE5104">
              <w:rPr>
                <w:sz w:val="20"/>
                <w:szCs w:val="20"/>
              </w:rPr>
              <w:t>9</w:t>
            </w:r>
          </w:p>
        </w:tc>
        <w:tc>
          <w:tcPr>
            <w:tcW w:w="1572" w:type="dxa"/>
            <w:noWrap/>
            <w:vAlign w:val="center"/>
          </w:tcPr>
          <w:p w:rsidR="00DE5104" w:rsidRPr="00DE5104" w:rsidRDefault="00DE5104" w:rsidP="00DE5104">
            <w:pPr>
              <w:spacing w:after="0" w:line="240" w:lineRule="auto"/>
              <w:jc w:val="center"/>
              <w:rPr>
                <w:sz w:val="20"/>
                <w:szCs w:val="20"/>
              </w:rPr>
            </w:pPr>
            <w:r w:rsidRPr="00DE5104">
              <w:rPr>
                <w:sz w:val="20"/>
                <w:szCs w:val="20"/>
              </w:rPr>
              <w:t>30</w:t>
            </w:r>
          </w:p>
        </w:tc>
        <w:tc>
          <w:tcPr>
            <w:tcW w:w="1572" w:type="dxa"/>
            <w:noWrap/>
            <w:vAlign w:val="center"/>
          </w:tcPr>
          <w:p w:rsidR="00DE5104" w:rsidRPr="00DE5104" w:rsidRDefault="00DE5104" w:rsidP="00DE5104">
            <w:pPr>
              <w:spacing w:after="0" w:line="240" w:lineRule="auto"/>
              <w:jc w:val="center"/>
              <w:rPr>
                <w:sz w:val="20"/>
                <w:szCs w:val="20"/>
              </w:rPr>
            </w:pPr>
            <w:r w:rsidRPr="00DE5104">
              <w:rPr>
                <w:sz w:val="20"/>
                <w:szCs w:val="20"/>
              </w:rPr>
              <w:t>0</w:t>
            </w:r>
          </w:p>
        </w:tc>
        <w:tc>
          <w:tcPr>
            <w:tcW w:w="1572" w:type="dxa"/>
            <w:vAlign w:val="center"/>
          </w:tcPr>
          <w:p w:rsidR="00DE5104" w:rsidRPr="00DE5104" w:rsidRDefault="00DE5104" w:rsidP="00DE5104">
            <w:pPr>
              <w:spacing w:after="0" w:line="240" w:lineRule="auto"/>
              <w:jc w:val="center"/>
              <w:rPr>
                <w:sz w:val="20"/>
                <w:szCs w:val="20"/>
              </w:rPr>
            </w:pPr>
            <w:r w:rsidRPr="00DE5104">
              <w:rPr>
                <w:sz w:val="20"/>
                <w:szCs w:val="20"/>
              </w:rPr>
              <w:t>0</w:t>
            </w:r>
          </w:p>
        </w:tc>
      </w:tr>
      <w:tr w:rsidR="00DE5104"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DE5104" w:rsidRPr="00C4712A" w:rsidRDefault="00DE5104" w:rsidP="006C62B7">
            <w:pPr>
              <w:spacing w:after="0" w:line="240" w:lineRule="auto"/>
              <w:rPr>
                <w:sz w:val="20"/>
                <w:szCs w:val="20"/>
              </w:rPr>
            </w:pPr>
            <w:r w:rsidRPr="00C4712A">
              <w:rPr>
                <w:sz w:val="20"/>
                <w:szCs w:val="20"/>
              </w:rPr>
              <w:t>% of total below forecast</w:t>
            </w:r>
          </w:p>
        </w:tc>
        <w:tc>
          <w:tcPr>
            <w:tcW w:w="1571" w:type="dxa"/>
            <w:noWrap/>
            <w:vAlign w:val="center"/>
          </w:tcPr>
          <w:p w:rsidR="00DE5104" w:rsidRPr="00DE5104" w:rsidRDefault="00DE5104" w:rsidP="00DE5104">
            <w:pPr>
              <w:spacing w:after="0" w:line="240" w:lineRule="auto"/>
              <w:jc w:val="center"/>
              <w:rPr>
                <w:sz w:val="20"/>
                <w:szCs w:val="20"/>
              </w:rPr>
            </w:pPr>
            <w:r w:rsidRPr="00DE5104">
              <w:rPr>
                <w:sz w:val="20"/>
                <w:szCs w:val="20"/>
              </w:rPr>
              <w:t>15</w:t>
            </w:r>
          </w:p>
        </w:tc>
        <w:tc>
          <w:tcPr>
            <w:tcW w:w="1572" w:type="dxa"/>
            <w:noWrap/>
            <w:vAlign w:val="center"/>
          </w:tcPr>
          <w:p w:rsidR="00DE5104" w:rsidRPr="00DE5104" w:rsidRDefault="00DE5104" w:rsidP="00DE5104">
            <w:pPr>
              <w:spacing w:after="0" w:line="240" w:lineRule="auto"/>
              <w:jc w:val="center"/>
              <w:rPr>
                <w:sz w:val="20"/>
                <w:szCs w:val="20"/>
              </w:rPr>
            </w:pPr>
            <w:r w:rsidRPr="00DE5104">
              <w:rPr>
                <w:sz w:val="20"/>
                <w:szCs w:val="20"/>
              </w:rPr>
              <w:t>25</w:t>
            </w:r>
          </w:p>
        </w:tc>
        <w:tc>
          <w:tcPr>
            <w:tcW w:w="1572" w:type="dxa"/>
            <w:noWrap/>
            <w:vAlign w:val="center"/>
          </w:tcPr>
          <w:p w:rsidR="00DE5104" w:rsidRPr="00DE5104" w:rsidRDefault="00DE5104" w:rsidP="00DE5104">
            <w:pPr>
              <w:spacing w:after="0" w:line="240" w:lineRule="auto"/>
              <w:jc w:val="center"/>
              <w:rPr>
                <w:sz w:val="20"/>
                <w:szCs w:val="20"/>
              </w:rPr>
            </w:pPr>
            <w:r w:rsidRPr="00DE5104">
              <w:rPr>
                <w:sz w:val="20"/>
                <w:szCs w:val="20"/>
              </w:rPr>
              <w:t>0</w:t>
            </w:r>
          </w:p>
        </w:tc>
        <w:tc>
          <w:tcPr>
            <w:tcW w:w="1572" w:type="dxa"/>
            <w:vAlign w:val="center"/>
          </w:tcPr>
          <w:p w:rsidR="00DE5104" w:rsidRPr="00DE5104" w:rsidRDefault="00DE5104" w:rsidP="00DE5104">
            <w:pPr>
              <w:spacing w:after="0" w:line="240" w:lineRule="auto"/>
              <w:jc w:val="center"/>
              <w:rPr>
                <w:sz w:val="20"/>
                <w:szCs w:val="20"/>
              </w:rPr>
            </w:pPr>
            <w:r w:rsidRPr="00DE5104">
              <w:rPr>
                <w:sz w:val="20"/>
                <w:szCs w:val="20"/>
              </w:rPr>
              <w:t>21</w:t>
            </w:r>
          </w:p>
        </w:tc>
      </w:tr>
    </w:tbl>
    <w:p w:rsidR="00275002" w:rsidRPr="00C4712A" w:rsidRDefault="00275002" w:rsidP="00544C6F">
      <w:pPr>
        <w:spacing w:before="120" w:after="120"/>
        <w:rPr>
          <w:rFonts w:cs="Arial"/>
          <w:sz w:val="18"/>
          <w:szCs w:val="18"/>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3E4ACE" w:rsidRPr="00C4712A">
        <w:t xml:space="preserve">Figure </w:t>
      </w:r>
      <w:r w:rsidR="003E4ACE">
        <w:t>3</w:t>
      </w:r>
      <w:r w:rsidRPr="00C4712A">
        <w:fldChar w:fldCharType="end"/>
      </w:r>
      <w:r w:rsidRPr="00C4712A">
        <w:t xml:space="preserve"> to</w:t>
      </w:r>
      <w:r w:rsidR="00056949" w:rsidRPr="00C4712A">
        <w:t xml:space="preserve"> </w:t>
      </w:r>
      <w:r w:rsidR="00AB325D">
        <w:fldChar w:fldCharType="begin"/>
      </w:r>
      <w:r w:rsidR="00AB325D">
        <w:instrText xml:space="preserve"> REF _Ref449020722 \h </w:instrText>
      </w:r>
      <w:r w:rsidR="00AB325D">
        <w:fldChar w:fldCharType="separate"/>
      </w:r>
      <w:r w:rsidR="003E4ACE" w:rsidRPr="002C6B96">
        <w:t xml:space="preserve">Figure </w:t>
      </w:r>
      <w:r w:rsidR="003E4ACE">
        <w:rPr>
          <w:bCs w:val="0"/>
          <w:noProof/>
        </w:rPr>
        <w:t>7</w:t>
      </w:r>
      <w:r w:rsidR="00AB325D">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lastRenderedPageBreak/>
        <w:t xml:space="preserve">Figure </w:t>
      </w:r>
      <w:r w:rsidR="003E4ACE">
        <w:fldChar w:fldCharType="begin"/>
      </w:r>
      <w:r w:rsidR="003E4ACE">
        <w:instrText xml:space="preserve"> SEQ Figure \* ARABIC </w:instrText>
      </w:r>
      <w:r w:rsidR="003E4ACE">
        <w:fldChar w:fldCharType="separate"/>
      </w:r>
      <w:r w:rsidR="003E4ACE">
        <w:rPr>
          <w:noProof/>
        </w:rPr>
        <w:t>3</w:t>
      </w:r>
      <w:r w:rsidR="003E4ACE">
        <w:rPr>
          <w:noProof/>
        </w:rPr>
        <w:fldChar w:fldCharType="end"/>
      </w:r>
      <w:bookmarkEnd w:id="13"/>
      <w:r w:rsidRPr="00C4712A">
        <w:t>: Queensland generation and bidding patterns</w:t>
      </w:r>
    </w:p>
    <w:p w:rsidR="007B78AB" w:rsidRPr="008707C1" w:rsidRDefault="00CA4EE0" w:rsidP="00886FA8">
      <w:pPr>
        <w:pStyle w:val="AERbodytext"/>
        <w:rPr>
          <w:bCs w:val="0"/>
        </w:rPr>
      </w:pPr>
      <w:r>
        <w:rPr>
          <w:bCs w:val="0"/>
          <w:noProof/>
        </w:rPr>
        <mc:AlternateContent>
          <mc:Choice Requires="wps">
            <w:drawing>
              <wp:anchor distT="0" distB="0" distL="114300" distR="114300" simplePos="0" relativeHeight="251673600" behindDoc="0" locked="0" layoutInCell="1" allowOverlap="1" wp14:anchorId="31361C9F" wp14:editId="03F4C29A">
                <wp:simplePos x="0" y="0"/>
                <wp:positionH relativeFrom="column">
                  <wp:posOffset>1434172</wp:posOffset>
                </wp:positionH>
                <wp:positionV relativeFrom="paragraph">
                  <wp:posOffset>652780</wp:posOffset>
                </wp:positionV>
                <wp:extent cx="713105" cy="1536700"/>
                <wp:effectExtent l="0" t="0" r="10795" b="25400"/>
                <wp:wrapNone/>
                <wp:docPr id="3" name="Oval 3"/>
                <wp:cNvGraphicFramePr/>
                <a:graphic xmlns:a="http://schemas.openxmlformats.org/drawingml/2006/main">
                  <a:graphicData uri="http://schemas.microsoft.com/office/word/2010/wordprocessingShape">
                    <wps:wsp>
                      <wps:cNvSpPr/>
                      <wps:spPr>
                        <a:xfrm>
                          <a:off x="0" y="0"/>
                          <a:ext cx="713105" cy="1536700"/>
                        </a:xfrm>
                        <a:prstGeom prst="ellipse">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B2D" w:rsidRDefault="002B3B2D" w:rsidP="00CA4E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left:0;text-align:left;margin-left:112.95pt;margin-top:51.4pt;width:56.15pt;height: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" filled="f" strokecolor="#fc4e3e [1944]" strokeweight="2pt">
                <v:textbox>
                  <w:txbxContent>
                    <w:p w:rsidR="002B3B2D" w:rsidRDefault="002B3B2D" w:rsidP="00CA4EE0">
                      <w:pPr>
                        <w:jc w:val="center"/>
                      </w:pPr>
                    </w:p>
                  </w:txbxContent>
                </v:textbox>
              </v:oval>
            </w:pict>
          </mc:Fallback>
        </mc:AlternateContent>
      </w:r>
      <w:r w:rsidR="00FC5FE0" w:rsidRPr="00FC5FE0">
        <w:rPr>
          <w:bCs w:val="0"/>
          <w:highlight w:val="yellow"/>
        </w:rPr>
        <w:t xml:space="preserve"> </w:t>
      </w:r>
      <w:r w:rsidR="00DE5104" w:rsidRPr="008707C1">
        <w:rPr>
          <w:noProof/>
        </w:rPr>
        <w:drawing>
          <wp:inline distT="0" distB="0" distL="0" distR="0" wp14:anchorId="5FDA4252" wp14:editId="532F1C5A">
            <wp:extent cx="5731510" cy="4116254"/>
            <wp:effectExtent l="0" t="0" r="2540" b="0"/>
            <wp:docPr id="7" name="Picture 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6254"/>
                    </a:xfrm>
                    <a:prstGeom prst="rect">
                      <a:avLst/>
                    </a:prstGeom>
                    <a:noFill/>
                    <a:ln>
                      <a:noFill/>
                    </a:ln>
                  </pic:spPr>
                </pic:pic>
              </a:graphicData>
            </a:graphic>
          </wp:inline>
        </w:drawing>
      </w:r>
    </w:p>
    <w:p w:rsidR="009777E3" w:rsidRPr="00C4712A" w:rsidRDefault="008707C1" w:rsidP="009777E3">
      <w:pPr>
        <w:pStyle w:val="AERbodytext"/>
      </w:pPr>
      <w:r>
        <w:t>The red ellipse</w:t>
      </w:r>
      <w:r w:rsidR="009777E3" w:rsidRPr="008707C1">
        <w:t xml:space="preserve"> </w:t>
      </w:r>
      <w:r w:rsidR="002F2481" w:rsidRPr="008707C1">
        <w:t>in Figure 3 highlight</w:t>
      </w:r>
      <w:r>
        <w:t>s</w:t>
      </w:r>
      <w:r w:rsidR="002F2481" w:rsidRPr="008707C1">
        <w:t xml:space="preserve"> rebidding that resulted in high prices detailed in “Detailed market analysis of significant price events”</w:t>
      </w:r>
      <w:r w:rsidR="002F2481">
        <w:t xml:space="preserve"> </w:t>
      </w:r>
    </w:p>
    <w:p w:rsidR="00FB265D" w:rsidRPr="00C4712A" w:rsidRDefault="00FB265D" w:rsidP="00FB265D"/>
    <w:p w:rsidR="00275002" w:rsidRPr="00C4712A" w:rsidRDefault="00275002" w:rsidP="000E2946">
      <w:pPr>
        <w:pStyle w:val="Caption"/>
      </w:pPr>
      <w:bookmarkStart w:id="14" w:name="_Ref428273135"/>
      <w:r w:rsidRPr="00C4712A">
        <w:lastRenderedPageBreak/>
        <w:t xml:space="preserve">Figure </w:t>
      </w:r>
      <w:r w:rsidR="003E4ACE">
        <w:fldChar w:fldCharType="begin"/>
      </w:r>
      <w:r w:rsidR="003E4ACE">
        <w:instrText xml:space="preserve"> SEQ Figure \* ARABIC </w:instrText>
      </w:r>
      <w:r w:rsidR="003E4ACE">
        <w:fldChar w:fldCharType="separate"/>
      </w:r>
      <w:r w:rsidR="003E4ACE">
        <w:rPr>
          <w:noProof/>
        </w:rPr>
        <w:t>4</w:t>
      </w:r>
      <w:r w:rsidR="003E4ACE">
        <w:rPr>
          <w:noProof/>
        </w:rPr>
        <w:fldChar w:fldCharType="end"/>
      </w:r>
      <w:bookmarkEnd w:id="14"/>
      <w:r w:rsidRPr="00C4712A">
        <w:t>: New South Wales generation and bidding patterns</w:t>
      </w:r>
    </w:p>
    <w:p w:rsidR="00181C46" w:rsidRPr="00C4712A" w:rsidRDefault="00DE5104" w:rsidP="00181C46">
      <w:r w:rsidRPr="00DE5104">
        <w:rPr>
          <w:noProof/>
          <w:lang w:eastAsia="en-AU"/>
        </w:rPr>
        <w:drawing>
          <wp:inline distT="0" distB="0" distL="0" distR="0" wp14:anchorId="515F9D5C" wp14:editId="5C24A524">
            <wp:extent cx="5731510" cy="4122649"/>
            <wp:effectExtent l="0" t="0" r="2540" b="0"/>
            <wp:docPr id="9" name="Picture 9"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649"/>
                    </a:xfrm>
                    <a:prstGeom prst="rect">
                      <a:avLst/>
                    </a:prstGeom>
                    <a:noFill/>
                    <a:ln>
                      <a:noFill/>
                    </a:ln>
                  </pic:spPr>
                </pic:pic>
              </a:graphicData>
            </a:graphic>
          </wp:inline>
        </w:drawing>
      </w:r>
    </w:p>
    <w:p w:rsidR="00275002" w:rsidRPr="00C4712A" w:rsidRDefault="00275002" w:rsidP="000E2946">
      <w:pPr>
        <w:pStyle w:val="Caption"/>
      </w:pPr>
      <w:r w:rsidRPr="00C4712A">
        <w:t>F</w:t>
      </w:r>
      <w:bookmarkStart w:id="15" w:name="_GoBack"/>
      <w:bookmarkEnd w:id="15"/>
      <w:r w:rsidRPr="00C4712A">
        <w:t xml:space="preserve">igure </w:t>
      </w:r>
      <w:r w:rsidR="003E4ACE">
        <w:fldChar w:fldCharType="begin"/>
      </w:r>
      <w:r w:rsidR="003E4ACE">
        <w:instrText xml:space="preserve"> SEQ Figure \* ARABIC </w:instrText>
      </w:r>
      <w:r w:rsidR="003E4ACE">
        <w:fldChar w:fldCharType="separate"/>
      </w:r>
      <w:r w:rsidR="003E4ACE">
        <w:rPr>
          <w:noProof/>
        </w:rPr>
        <w:t>5</w:t>
      </w:r>
      <w:r w:rsidR="003E4ACE">
        <w:rPr>
          <w:noProof/>
        </w:rPr>
        <w:fldChar w:fldCharType="end"/>
      </w:r>
      <w:r w:rsidRPr="00C4712A">
        <w:t>: Victoria generation and bidding patterns</w:t>
      </w:r>
    </w:p>
    <w:p w:rsidR="00FB265D" w:rsidRDefault="002C6B96" w:rsidP="00FB265D">
      <w:r>
        <w:rPr>
          <w:bCs/>
          <w:noProof/>
          <w:lang w:eastAsia="en-AU"/>
        </w:rPr>
        <mc:AlternateContent>
          <mc:Choice Requires="wps">
            <w:drawing>
              <wp:anchor distT="0" distB="0" distL="114300" distR="114300" simplePos="0" relativeHeight="251677696" behindDoc="0" locked="0" layoutInCell="1" allowOverlap="1" wp14:anchorId="04E0444D" wp14:editId="2AA8F8DE">
                <wp:simplePos x="0" y="0"/>
                <wp:positionH relativeFrom="column">
                  <wp:posOffset>3425866</wp:posOffset>
                </wp:positionH>
                <wp:positionV relativeFrom="paragraph">
                  <wp:posOffset>492760</wp:posOffset>
                </wp:positionV>
                <wp:extent cx="421598" cy="1266455"/>
                <wp:effectExtent l="0" t="0" r="17145" b="10160"/>
                <wp:wrapNone/>
                <wp:docPr id="4" name="Oval 4"/>
                <wp:cNvGraphicFramePr/>
                <a:graphic xmlns:a="http://schemas.openxmlformats.org/drawingml/2006/main">
                  <a:graphicData uri="http://schemas.microsoft.com/office/word/2010/wordprocessingShape">
                    <wps:wsp>
                      <wps:cNvSpPr/>
                      <wps:spPr>
                        <a:xfrm flipV="1">
                          <a:off x="0" y="0"/>
                          <a:ext cx="421598" cy="1266455"/>
                        </a:xfrm>
                        <a:prstGeom prst="ellipse">
                          <a:avLst/>
                        </a:prstGeom>
                        <a:noFill/>
                        <a:ln w="25400" cap="flat" cmpd="sng" algn="ctr">
                          <a:solidFill>
                            <a:srgbClr val="B71202">
                              <a:lumMod val="60000"/>
                              <a:lumOff val="40000"/>
                            </a:srgbClr>
                          </a:solidFill>
                          <a:prstDash val="solid"/>
                        </a:ln>
                        <a:effectLst/>
                      </wps:spPr>
                      <wps:txbx>
                        <w:txbxContent>
                          <w:p w:rsidR="002C6B96" w:rsidRDefault="002C6B96" w:rsidP="002C6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margin-left:269.75pt;margin-top:38.8pt;width:33.2pt;height:99.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" filled="f" strokecolor="#fd4f3e" strokeweight="2pt">
                <v:textbox>
                  <w:txbxContent>
                    <w:p w:rsidR="002C6B96" w:rsidRDefault="002C6B96" w:rsidP="002C6B96">
                      <w:pPr>
                        <w:jc w:val="center"/>
                      </w:pPr>
                    </w:p>
                  </w:txbxContent>
                </v:textbox>
              </v:oval>
            </w:pict>
          </mc:Fallback>
        </mc:AlternateContent>
      </w:r>
      <w:r w:rsidR="00DE5104" w:rsidRPr="00DE5104">
        <w:rPr>
          <w:noProof/>
          <w:lang w:eastAsia="en-AU"/>
        </w:rPr>
        <w:drawing>
          <wp:inline distT="0" distB="0" distL="0" distR="0" wp14:anchorId="2F602DA6" wp14:editId="17C3FA58">
            <wp:extent cx="5731510" cy="4116254"/>
            <wp:effectExtent l="0" t="0" r="2540" b="0"/>
            <wp:docPr id="10" name="Picture 10"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6254"/>
                    </a:xfrm>
                    <a:prstGeom prst="rect">
                      <a:avLst/>
                    </a:prstGeom>
                    <a:noFill/>
                    <a:ln>
                      <a:noFill/>
                    </a:ln>
                  </pic:spPr>
                </pic:pic>
              </a:graphicData>
            </a:graphic>
          </wp:inline>
        </w:drawing>
      </w:r>
    </w:p>
    <w:p w:rsidR="002C6B96" w:rsidRPr="002C6B96" w:rsidRDefault="002C6B96" w:rsidP="000312E6">
      <w:pPr>
        <w:pStyle w:val="AERbodytext"/>
      </w:pPr>
      <w:bookmarkStart w:id="16" w:name="_Ref423965683"/>
      <w:r>
        <w:lastRenderedPageBreak/>
        <w:t>The red ellipse in Figure 5</w:t>
      </w:r>
      <w:r w:rsidRPr="002C6B96">
        <w:t xml:space="preserve"> highlights </w:t>
      </w:r>
      <w:r w:rsidR="00E675DF">
        <w:t xml:space="preserve">the period during the week where the price spot was below -$100/MWh. This event is covered in </w:t>
      </w:r>
      <w:r w:rsidRPr="002C6B96">
        <w:t>detail</w:t>
      </w:r>
      <w:r w:rsidR="000312E6">
        <w:t xml:space="preserve"> in</w:t>
      </w:r>
      <w:r w:rsidR="00E675DF">
        <w:t xml:space="preserve"> </w:t>
      </w:r>
      <w:r w:rsidRPr="002C6B96">
        <w:t>“Detailed market analysis of significant price events”</w:t>
      </w:r>
    </w:p>
    <w:p w:rsidR="00275002" w:rsidRDefault="00275002" w:rsidP="000E2946">
      <w:pPr>
        <w:pStyle w:val="Caption"/>
      </w:pPr>
      <w:r w:rsidRPr="00CF4D2E">
        <w:t xml:space="preserve">Figure </w:t>
      </w:r>
      <w:r w:rsidR="003E4ACE">
        <w:fldChar w:fldCharType="begin"/>
      </w:r>
      <w:r w:rsidR="003E4ACE">
        <w:instrText xml:space="preserve"> SEQ Figure \* ARABIC </w:instrText>
      </w:r>
      <w:r w:rsidR="003E4ACE">
        <w:fldChar w:fldCharType="separate"/>
      </w:r>
      <w:r w:rsidR="003E4ACE">
        <w:rPr>
          <w:noProof/>
        </w:rPr>
        <w:t>6</w:t>
      </w:r>
      <w:r w:rsidR="003E4ACE">
        <w:rPr>
          <w:noProof/>
        </w:rPr>
        <w:fldChar w:fldCharType="end"/>
      </w:r>
      <w:bookmarkEnd w:id="16"/>
      <w:r w:rsidRPr="00CF4D2E">
        <w:t>: South Australia generation and bidding patterns</w:t>
      </w:r>
    </w:p>
    <w:p w:rsidR="002F2481" w:rsidRPr="00173AE6" w:rsidRDefault="002C6B96" w:rsidP="00A25353">
      <w:r>
        <w:rPr>
          <w:bCs/>
          <w:noProof/>
          <w:lang w:eastAsia="en-AU"/>
        </w:rPr>
        <mc:AlternateContent>
          <mc:Choice Requires="wps">
            <w:drawing>
              <wp:anchor distT="0" distB="0" distL="114300" distR="114300" simplePos="0" relativeHeight="251675648" behindDoc="0" locked="0" layoutInCell="1" allowOverlap="1" wp14:anchorId="5467CEEB" wp14:editId="2D79FC1E">
                <wp:simplePos x="0" y="0"/>
                <wp:positionH relativeFrom="column">
                  <wp:posOffset>2481943</wp:posOffset>
                </wp:positionH>
                <wp:positionV relativeFrom="paragraph">
                  <wp:posOffset>362173</wp:posOffset>
                </wp:positionV>
                <wp:extent cx="441918" cy="1536700"/>
                <wp:effectExtent l="0" t="0" r="15875" b="25400"/>
                <wp:wrapNone/>
                <wp:docPr id="2" name="Oval 2"/>
                <wp:cNvGraphicFramePr/>
                <a:graphic xmlns:a="http://schemas.openxmlformats.org/drawingml/2006/main">
                  <a:graphicData uri="http://schemas.microsoft.com/office/word/2010/wordprocessingShape">
                    <wps:wsp>
                      <wps:cNvSpPr/>
                      <wps:spPr>
                        <a:xfrm>
                          <a:off x="0" y="0"/>
                          <a:ext cx="441918" cy="1536700"/>
                        </a:xfrm>
                        <a:prstGeom prst="ellipse">
                          <a:avLst/>
                        </a:prstGeom>
                        <a:noFill/>
                        <a:ln w="25400" cap="flat" cmpd="sng" algn="ctr">
                          <a:solidFill>
                            <a:srgbClr val="B71202">
                              <a:lumMod val="60000"/>
                              <a:lumOff val="40000"/>
                            </a:srgbClr>
                          </a:solidFill>
                          <a:prstDash val="solid"/>
                        </a:ln>
                        <a:effectLst/>
                      </wps:spPr>
                      <wps:txbx>
                        <w:txbxContent>
                          <w:p w:rsidR="002C6B96" w:rsidRDefault="002C6B96" w:rsidP="002C6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margin-left:195.45pt;margin-top:28.5pt;width:34.8pt;height:1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" filled="f" strokecolor="#fd4f3e" strokeweight="2pt">
                <v:textbox>
                  <w:txbxContent>
                    <w:p w:rsidR="002C6B96" w:rsidRDefault="002C6B96" w:rsidP="002C6B96">
                      <w:pPr>
                        <w:jc w:val="center"/>
                      </w:pPr>
                    </w:p>
                  </w:txbxContent>
                </v:textbox>
              </v:oval>
            </w:pict>
          </mc:Fallback>
        </mc:AlternateContent>
      </w:r>
      <w:r w:rsidR="007F3B2C" w:rsidRPr="007F3B2C">
        <w:rPr>
          <w:noProof/>
          <w:lang w:eastAsia="en-AU"/>
        </w:rPr>
        <w:drawing>
          <wp:inline distT="0" distB="0" distL="0" distR="0" wp14:anchorId="3BC9D035" wp14:editId="48455BC4">
            <wp:extent cx="5731510" cy="4127584"/>
            <wp:effectExtent l="0" t="0" r="2540" b="6350"/>
            <wp:docPr id="22" name="Picture 2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7584"/>
                    </a:xfrm>
                    <a:prstGeom prst="rect">
                      <a:avLst/>
                    </a:prstGeom>
                    <a:noFill/>
                    <a:ln>
                      <a:noFill/>
                    </a:ln>
                  </pic:spPr>
                </pic:pic>
              </a:graphicData>
            </a:graphic>
          </wp:inline>
        </w:drawing>
      </w:r>
    </w:p>
    <w:p w:rsidR="002C6B96" w:rsidRDefault="002C6B96" w:rsidP="000312E6">
      <w:pPr>
        <w:pStyle w:val="AERbodytext"/>
      </w:pPr>
      <w:bookmarkStart w:id="17" w:name="_Ref448330536"/>
      <w:bookmarkStart w:id="18" w:name="_Ref410383520"/>
      <w:r>
        <w:t>The red ellipse in Figure 6</w:t>
      </w:r>
      <w:r w:rsidRPr="002C6B96">
        <w:t xml:space="preserve"> highlights </w:t>
      </w:r>
      <w:r w:rsidR="000312E6">
        <w:t xml:space="preserve">the period during the week where the spot price was high. This event is covered in detail in </w:t>
      </w:r>
      <w:r w:rsidRPr="002C6B96">
        <w:t>“Detailed market analysis of significant price events”</w:t>
      </w:r>
    </w:p>
    <w:p w:rsidR="00704518" w:rsidRPr="002C6B96" w:rsidRDefault="00A16DAF" w:rsidP="00A25353">
      <w:pPr>
        <w:pStyle w:val="Caption"/>
      </w:pPr>
      <w:bookmarkStart w:id="19" w:name="_Ref449020722"/>
      <w:r w:rsidRPr="002C6B96">
        <w:t xml:space="preserve">Figure </w:t>
      </w:r>
      <w:r w:rsidR="00173AE6" w:rsidRPr="002C6B96">
        <w:rPr>
          <w:bCs w:val="0"/>
        </w:rPr>
        <w:fldChar w:fldCharType="begin"/>
      </w:r>
      <w:r w:rsidR="00173AE6" w:rsidRPr="002C6B96">
        <w:rPr>
          <w:bCs w:val="0"/>
        </w:rPr>
        <w:instrText xml:space="preserve"> SEQ Figure \* ARABIC </w:instrText>
      </w:r>
      <w:r w:rsidR="00173AE6" w:rsidRPr="002C6B96">
        <w:rPr>
          <w:bCs w:val="0"/>
        </w:rPr>
        <w:fldChar w:fldCharType="separate"/>
      </w:r>
      <w:r w:rsidR="003E4ACE">
        <w:rPr>
          <w:bCs w:val="0"/>
          <w:noProof/>
        </w:rPr>
        <w:t>7</w:t>
      </w:r>
      <w:r w:rsidR="00173AE6" w:rsidRPr="002C6B96">
        <w:rPr>
          <w:bCs w:val="0"/>
          <w:noProof/>
        </w:rPr>
        <w:fldChar w:fldCharType="end"/>
      </w:r>
      <w:bookmarkEnd w:id="17"/>
      <w:bookmarkEnd w:id="19"/>
      <w:r w:rsidRPr="002C6B96">
        <w:t>: Tasmania generation and bidding patterns</w:t>
      </w:r>
    </w:p>
    <w:bookmarkEnd w:id="18"/>
    <w:p w:rsidR="00E43848" w:rsidRPr="00C4712A" w:rsidRDefault="00C452B9" w:rsidP="00AF7C0E">
      <w:pPr>
        <w:pStyle w:val="AERbodytext"/>
      </w:pPr>
      <w:r w:rsidRPr="00C452B9">
        <w:rPr>
          <w:noProof/>
        </w:rPr>
        <w:drawing>
          <wp:inline distT="0" distB="0" distL="0" distR="0" wp14:anchorId="3BCEBC01" wp14:editId="050F4730">
            <wp:extent cx="5731510" cy="4116254"/>
            <wp:effectExtent l="0" t="0" r="2540" b="0"/>
            <wp:docPr id="12" name="Picture 12"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6254"/>
                    </a:xfrm>
                    <a:prstGeom prst="rect">
                      <a:avLst/>
                    </a:prstGeom>
                    <a:noFill/>
                    <a:ln>
                      <a:noFill/>
                    </a:ln>
                  </pic:spPr>
                </pic:pic>
              </a:graphicData>
            </a:graphic>
          </wp:inline>
        </w:drawing>
      </w: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BE2F8A" w:rsidP="00BE2F8A">
      <w:pPr>
        <w:pStyle w:val="AERbodytext"/>
      </w:pPr>
      <w:r w:rsidRPr="00BE2F8A">
        <w:t>The total cost of FCAS on the mainland for the week was $</w:t>
      </w:r>
      <w:r w:rsidR="00CF4D2E">
        <w:t>860</w:t>
      </w:r>
      <w:r w:rsidR="00217C29">
        <w:t> </w:t>
      </w:r>
      <w:r w:rsidR="00A16DAF">
        <w:t>5</w:t>
      </w:r>
      <w:r w:rsidRPr="00BE2F8A">
        <w:t>00 or less than 1 per cent of energy turnover on the mainland.</w:t>
      </w:r>
    </w:p>
    <w:p w:rsidR="003E4ACE" w:rsidRDefault="00BE2F8A" w:rsidP="00551739">
      <w:pPr>
        <w:pStyle w:val="AERbodytext"/>
      </w:pPr>
      <w:r w:rsidRPr="00BE2F8A">
        <w:t>The total cost of FCAS in Tasmania for the week was $</w:t>
      </w:r>
      <w:r w:rsidR="00A16DAF">
        <w:t>1</w:t>
      </w:r>
      <w:r w:rsidR="00CF4D2E">
        <w:t>60</w:t>
      </w:r>
      <w:r w:rsidR="00217C29">
        <w:t> </w:t>
      </w:r>
      <w:r w:rsidRPr="00BE2F8A">
        <w:t xml:space="preserve">000 or less than </w:t>
      </w:r>
      <w:r w:rsidR="00B33C7F">
        <w:t>0.5</w:t>
      </w:r>
      <w:r w:rsidRPr="00BE2F8A">
        <w:t xml:space="preserve"> per cent of energy turnover in Tasmania.</w:t>
      </w:r>
      <w:r w:rsidR="000576CD" w:rsidRPr="000576CD">
        <w:tab/>
      </w:r>
      <w:bookmarkStart w:id="20" w:name="_Ref410383413"/>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3E4ACE"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1" w:name="_Ref418082853"/>
    </w:p>
    <w:p w:rsidR="00275002" w:rsidRPr="00C4712A" w:rsidRDefault="00275002" w:rsidP="00551739">
      <w:pPr>
        <w:pStyle w:val="Caption"/>
        <w:rPr>
          <w:noProof/>
        </w:rPr>
      </w:pPr>
      <w:r w:rsidRPr="00551739">
        <w:rPr>
          <w:noProof/>
        </w:rPr>
        <w:t xml:space="preserve">Figure </w:t>
      </w:r>
      <w:r w:rsidR="00D92E07" w:rsidRPr="00551739">
        <w:rPr>
          <w:noProof/>
        </w:rPr>
        <w:fldChar w:fldCharType="begin"/>
      </w:r>
      <w:r w:rsidR="00D92E07" w:rsidRPr="00551739">
        <w:rPr>
          <w:noProof/>
        </w:rPr>
        <w:instrText xml:space="preserve"> SEQ Figure \* ARABIC </w:instrText>
      </w:r>
      <w:r w:rsidR="00D92E07" w:rsidRPr="00551739">
        <w:rPr>
          <w:noProof/>
        </w:rPr>
        <w:fldChar w:fldCharType="separate"/>
      </w:r>
      <w:r w:rsidR="003E4ACE">
        <w:rPr>
          <w:noProof/>
        </w:rPr>
        <w:t>8</w:t>
      </w:r>
      <w:r w:rsidR="00D92E07" w:rsidRPr="00551739">
        <w:rPr>
          <w:noProof/>
        </w:rPr>
        <w:fldChar w:fldCharType="end"/>
      </w:r>
      <w:bookmarkEnd w:id="20"/>
      <w:bookmarkEnd w:id="21"/>
      <w:r w:rsidRPr="00551739">
        <w:rPr>
          <w:noProof/>
        </w:rPr>
        <w:t>: Daily frequency control ancillary service cost</w:t>
      </w:r>
    </w:p>
    <w:p w:rsidR="005A6CB0" w:rsidRPr="00C4712A" w:rsidRDefault="00C452B9" w:rsidP="005A6CB0">
      <w:r w:rsidRPr="00C452B9">
        <w:rPr>
          <w:noProof/>
          <w:lang w:eastAsia="en-AU"/>
        </w:rPr>
        <w:drawing>
          <wp:inline distT="0" distB="0" distL="0" distR="0" wp14:anchorId="362AA13A" wp14:editId="1C780F08">
            <wp:extent cx="5731510" cy="2895456"/>
            <wp:effectExtent l="0" t="0" r="2540" b="635"/>
            <wp:docPr id="13" name="Picture 13"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5456"/>
                    </a:xfrm>
                    <a:prstGeom prst="rect">
                      <a:avLst/>
                    </a:prstGeom>
                    <a:noFill/>
                    <a:ln>
                      <a:noFill/>
                    </a:ln>
                  </pic:spPr>
                </pic:pic>
              </a:graphicData>
            </a:graphic>
          </wp:inline>
        </w:drawing>
      </w:r>
    </w:p>
    <w:p w:rsidR="00224EE7" w:rsidRDefault="00224EE7" w:rsidP="004F6D0A">
      <w:pPr>
        <w:pStyle w:val="AERHeading1"/>
        <w:sectPr w:rsidR="00224EE7" w:rsidSect="00C15CB2">
          <w:footerReference w:type="even" r:id="rId20"/>
          <w:footerReference w:type="default" r:id="rId21"/>
          <w:footerReference w:type="first" r:id="rId22"/>
          <w:pgSz w:w="11906" w:h="16838"/>
          <w:pgMar w:top="993" w:right="1440" w:bottom="851" w:left="1440" w:header="708" w:footer="89" w:gutter="0"/>
          <w:pgNumType w:start="1"/>
          <w:cols w:space="708"/>
          <w:titlePg/>
          <w:docGrid w:linePitch="360"/>
        </w:sectPr>
      </w:pPr>
    </w:p>
    <w:p w:rsidR="00950B15" w:rsidRPr="00C4712A" w:rsidRDefault="00950B15" w:rsidP="004F6D0A">
      <w:pPr>
        <w:pStyle w:val="AERHeading1"/>
      </w:pPr>
      <w:r w:rsidRPr="00C4712A">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E03725" w:rsidRPr="009A574C" w:rsidRDefault="005B1402" w:rsidP="00AF7C0E">
      <w:pPr>
        <w:pStyle w:val="AERHeading3"/>
        <w:keepNext/>
      </w:pPr>
      <w:r w:rsidRPr="009A574C">
        <w:t>Queensland</w:t>
      </w:r>
    </w:p>
    <w:p w:rsidR="00D725C2" w:rsidRDefault="00D725C2" w:rsidP="009A574C">
      <w:pPr>
        <w:pStyle w:val="Caption"/>
        <w:rPr>
          <w:rFonts w:eastAsia="Times New Roman" w:cs="Arial"/>
          <w:b w:val="0"/>
          <w:color w:val="auto"/>
          <w:sz w:val="22"/>
          <w:szCs w:val="22"/>
          <w:lang w:eastAsia="en-AU"/>
        </w:rPr>
      </w:pPr>
      <w:r w:rsidRPr="00D725C2">
        <w:rPr>
          <w:rFonts w:eastAsia="Times New Roman" w:cs="Arial"/>
          <w:b w:val="0"/>
          <w:color w:val="auto"/>
          <w:sz w:val="22"/>
          <w:szCs w:val="22"/>
          <w:lang w:eastAsia="en-AU"/>
        </w:rPr>
        <w:t xml:space="preserve">There </w:t>
      </w:r>
      <w:r w:rsidR="006741D4">
        <w:rPr>
          <w:rFonts w:eastAsia="Times New Roman" w:cs="Arial"/>
          <w:b w:val="0"/>
          <w:color w:val="auto"/>
          <w:sz w:val="22"/>
          <w:szCs w:val="22"/>
          <w:lang w:eastAsia="en-AU"/>
        </w:rPr>
        <w:t>was one occasion</w:t>
      </w:r>
      <w:r w:rsidRPr="00D725C2">
        <w:rPr>
          <w:rFonts w:eastAsia="Times New Roman" w:cs="Arial"/>
          <w:b w:val="0"/>
          <w:color w:val="auto"/>
          <w:sz w:val="22"/>
          <w:szCs w:val="22"/>
          <w:lang w:eastAsia="en-AU"/>
        </w:rPr>
        <w:t xml:space="preserve"> where the spot price in Queensland was greater than three times the Queens</w:t>
      </w:r>
      <w:r w:rsidR="006741D4">
        <w:rPr>
          <w:rFonts w:eastAsia="Times New Roman" w:cs="Arial"/>
          <w:b w:val="0"/>
          <w:color w:val="auto"/>
          <w:sz w:val="22"/>
          <w:szCs w:val="22"/>
          <w:lang w:eastAsia="en-AU"/>
        </w:rPr>
        <w:t>land weekly average price of $42</w:t>
      </w:r>
      <w:r w:rsidRPr="00D725C2">
        <w:rPr>
          <w:rFonts w:eastAsia="Times New Roman" w:cs="Arial"/>
          <w:b w:val="0"/>
          <w:color w:val="auto"/>
          <w:sz w:val="22"/>
          <w:szCs w:val="22"/>
          <w:lang w:eastAsia="en-AU"/>
        </w:rPr>
        <w:t>/MWh and above $250/MWh.</w:t>
      </w:r>
    </w:p>
    <w:p w:rsidR="009A574C" w:rsidRPr="009A574C" w:rsidRDefault="006741D4" w:rsidP="009A574C">
      <w:pPr>
        <w:pStyle w:val="Caption"/>
        <w:rPr>
          <w:rFonts w:eastAsia="Times New Roman" w:cs="Times New Roman"/>
          <w:color w:val="51626F"/>
          <w:szCs w:val="20"/>
        </w:rPr>
      </w:pPr>
      <w:r>
        <w:rPr>
          <w:rFonts w:eastAsia="Times New Roman" w:cs="Times New Roman"/>
          <w:color w:val="51626F"/>
          <w:szCs w:val="20"/>
        </w:rPr>
        <w:t>Monday, 28</w:t>
      </w:r>
      <w:r w:rsidR="00796C78">
        <w:rPr>
          <w:rFonts w:eastAsia="Times New Roman" w:cs="Times New Roman"/>
          <w:color w:val="51626F"/>
          <w:szCs w:val="20"/>
        </w:rPr>
        <w:t xml:space="preserve"> March</w:t>
      </w:r>
    </w:p>
    <w:p w:rsidR="009A574C" w:rsidRDefault="009A574C" w:rsidP="009A574C">
      <w:pPr>
        <w:pStyle w:val="Caption"/>
      </w:pPr>
      <w:r>
        <w:t xml:space="preserve">Table </w:t>
      </w:r>
      <w:r w:rsidR="003E4ACE">
        <w:fldChar w:fldCharType="begin"/>
      </w:r>
      <w:r w:rsidR="003E4ACE">
        <w:instrText xml:space="preserve"> SEQ Table \* ARABIC </w:instrText>
      </w:r>
      <w:r w:rsidR="003E4ACE">
        <w:fldChar w:fldCharType="separate"/>
      </w:r>
      <w:r w:rsidR="003E4ACE">
        <w:rPr>
          <w:noProof/>
        </w:rPr>
        <w:t>3</w:t>
      </w:r>
      <w:r w:rsidR="003E4ACE">
        <w:rPr>
          <w:noProof/>
        </w:rPr>
        <w:fldChar w:fldCharType="end"/>
      </w:r>
      <w:r>
        <w:t xml:space="preserve">: Price, Demand and Availability </w:t>
      </w:r>
      <w:r w:rsidR="00B66E74">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4F6D0A" w:rsidRPr="009A4B08" w:rsidTr="003375A4">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Availability (MW)</w:t>
            </w:r>
          </w:p>
        </w:tc>
      </w:tr>
      <w:tr w:rsidR="004F6D0A" w:rsidRPr="00BE2F8A" w:rsidTr="000F77D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r>
      <w:tr w:rsidR="00B66E74" w:rsidRPr="00217C29" w:rsidTr="000F77D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B66E74" w:rsidRPr="00D725C2" w:rsidRDefault="006741D4">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7</w:t>
            </w:r>
            <w:r w:rsidR="00B66E74" w:rsidRPr="00D725C2">
              <w:rPr>
                <w:rFonts w:ascii="Arial" w:eastAsiaTheme="minorHAnsi" w:hAnsi="Arial" w:cs="Arial"/>
                <w:b/>
                <w:sz w:val="18"/>
                <w:szCs w:val="22"/>
                <w:lang w:eastAsia="en-US"/>
              </w:rPr>
              <w:t>:00</w:t>
            </w:r>
            <w:r>
              <w:rPr>
                <w:rFonts w:ascii="Arial" w:eastAsiaTheme="minorHAnsi" w:hAnsi="Arial" w:cs="Arial"/>
                <w:b/>
                <w:sz w:val="18"/>
                <w:szCs w:val="22"/>
                <w:lang w:eastAsia="en-US"/>
              </w:rPr>
              <w:t> p</w:t>
            </w:r>
            <w:r w:rsidR="00B66E74">
              <w:rPr>
                <w:rFonts w:ascii="Arial" w:eastAsiaTheme="minorHAnsi" w:hAnsi="Arial" w:cs="Arial"/>
                <w:b/>
                <w:sz w:val="18"/>
                <w:szCs w:val="22"/>
                <w:lang w:eastAsia="en-US"/>
              </w:rPr>
              <w:t>m</w:t>
            </w:r>
          </w:p>
        </w:tc>
        <w:tc>
          <w:tcPr>
            <w:tcW w:w="47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2386.06</w:t>
            </w:r>
          </w:p>
        </w:tc>
        <w:tc>
          <w:tcPr>
            <w:tcW w:w="49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60.42</w:t>
            </w:r>
          </w:p>
        </w:tc>
        <w:tc>
          <w:tcPr>
            <w:tcW w:w="49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49.50</w:t>
            </w:r>
          </w:p>
        </w:tc>
        <w:tc>
          <w:tcPr>
            <w:tcW w:w="49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7179</w:t>
            </w:r>
          </w:p>
        </w:tc>
        <w:tc>
          <w:tcPr>
            <w:tcW w:w="49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7058</w:t>
            </w:r>
          </w:p>
        </w:tc>
        <w:tc>
          <w:tcPr>
            <w:tcW w:w="499"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7172</w:t>
            </w:r>
          </w:p>
        </w:tc>
        <w:tc>
          <w:tcPr>
            <w:tcW w:w="49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10 884</w:t>
            </w:r>
          </w:p>
        </w:tc>
        <w:tc>
          <w:tcPr>
            <w:tcW w:w="498"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10 777</w:t>
            </w:r>
          </w:p>
        </w:tc>
        <w:tc>
          <w:tcPr>
            <w:tcW w:w="499" w:type="pct"/>
            <w:vAlign w:val="center"/>
          </w:tcPr>
          <w:p w:rsidR="00B66E74" w:rsidRPr="00B66E74" w:rsidRDefault="00B66E74">
            <w:pPr>
              <w:pStyle w:val="NormalWeb"/>
              <w:jc w:val="center"/>
              <w:rPr>
                <w:rFonts w:ascii="Arial" w:eastAsiaTheme="minorHAnsi" w:hAnsi="Arial" w:cs="Arial"/>
                <w:sz w:val="18"/>
                <w:szCs w:val="22"/>
                <w:lang w:eastAsia="en-US"/>
              </w:rPr>
            </w:pPr>
            <w:r w:rsidRPr="00B66E74">
              <w:rPr>
                <w:rFonts w:ascii="Arial" w:eastAsiaTheme="minorHAnsi" w:hAnsi="Arial" w:cs="Arial"/>
                <w:sz w:val="18"/>
                <w:szCs w:val="22"/>
                <w:lang w:eastAsia="en-US"/>
              </w:rPr>
              <w:t>10 617</w:t>
            </w:r>
          </w:p>
        </w:tc>
      </w:tr>
    </w:tbl>
    <w:p w:rsidR="00F36430" w:rsidRDefault="005D24A9" w:rsidP="00AF7C0E">
      <w:pPr>
        <w:pStyle w:val="AERbodytext"/>
      </w:pPr>
      <w:r w:rsidRPr="009C05B5">
        <w:t>Conditions at the time saw demand</w:t>
      </w:r>
      <w:r w:rsidR="009C05B5">
        <w:t xml:space="preserve"> up to 121 MW great</w:t>
      </w:r>
      <w:r w:rsidR="00441A99">
        <w:t>er</w:t>
      </w:r>
      <w:r w:rsidR="009C05B5">
        <w:t xml:space="preserve"> than that forecast four hours ahead</w:t>
      </w:r>
      <w:r w:rsidRPr="009C05B5">
        <w:t xml:space="preserve"> </w:t>
      </w:r>
      <w:r w:rsidR="007A1135" w:rsidRPr="009C05B5">
        <w:t xml:space="preserve">and availability </w:t>
      </w:r>
      <w:r w:rsidR="002C6B96">
        <w:t>104 MW greater than</w:t>
      </w:r>
      <w:r w:rsidR="007A1135" w:rsidRPr="009C05B5">
        <w:t xml:space="preserve"> forecast</w:t>
      </w:r>
      <w:r w:rsidR="002C6B96">
        <w:t xml:space="preserve"> four hours ahead</w:t>
      </w:r>
      <w:r w:rsidR="007A1135" w:rsidRPr="009C05B5">
        <w:t>.</w:t>
      </w:r>
    </w:p>
    <w:p w:rsidR="00C35876" w:rsidRDefault="003874F8" w:rsidP="00AF7C0E">
      <w:pPr>
        <w:pStyle w:val="AERbodytext"/>
      </w:pPr>
      <w:r>
        <w:t>Network constraints affecting both QNI and the Terranora interconnector limited flows into Queensland by around 150 MW more than was initially forecast for the trading interval.</w:t>
      </w:r>
    </w:p>
    <w:p w:rsidR="00355D1A" w:rsidRDefault="00355D1A" w:rsidP="00355D1A">
      <w:pPr>
        <w:pStyle w:val="Caption"/>
      </w:pPr>
      <w:r>
        <w:t xml:space="preserve">Table </w:t>
      </w:r>
      <w:r w:rsidR="003E4ACE">
        <w:fldChar w:fldCharType="begin"/>
      </w:r>
      <w:r w:rsidR="003E4ACE">
        <w:instrText xml:space="preserve"> SEQ Table \* ARABIC </w:instrText>
      </w:r>
      <w:r w:rsidR="003E4ACE">
        <w:fldChar w:fldCharType="separate"/>
      </w:r>
      <w:r w:rsidR="003E4ACE">
        <w:rPr>
          <w:noProof/>
        </w:rPr>
        <w:t>4</w:t>
      </w:r>
      <w:r w:rsidR="003E4ACE">
        <w:rPr>
          <w:noProof/>
        </w:rPr>
        <w:fldChar w:fldCharType="end"/>
      </w:r>
      <w:r>
        <w:t>: Rebids for the 7</w:t>
      </w:r>
      <w:r w:rsidR="00CA4EE0">
        <w:t> pm</w:t>
      </w:r>
      <w:r w:rsidRPr="00061ABD">
        <w:t xml:space="preserve"> trading interval</w:t>
      </w:r>
    </w:p>
    <w:tbl>
      <w:tblPr>
        <w:tblStyle w:val="AERsummarytable"/>
        <w:tblW w:w="0" w:type="auto"/>
        <w:tblLook w:val="04A0" w:firstRow="1" w:lastRow="0" w:firstColumn="1" w:lastColumn="0" w:noHBand="0" w:noVBand="1"/>
      </w:tblPr>
      <w:tblGrid>
        <w:gridCol w:w="1097"/>
        <w:gridCol w:w="947"/>
        <w:gridCol w:w="1199"/>
        <w:gridCol w:w="1057"/>
        <w:gridCol w:w="986"/>
        <w:gridCol w:w="923"/>
        <w:gridCol w:w="916"/>
        <w:gridCol w:w="2117"/>
      </w:tblGrid>
      <w:tr w:rsidR="00355D1A" w:rsidRPr="007C06F5" w:rsidTr="00CC656F">
        <w:trPr>
          <w:cnfStyle w:val="100000000000" w:firstRow="1" w:lastRow="0" w:firstColumn="0" w:lastColumn="0" w:oddVBand="0" w:evenVBand="0" w:oddHBand="0" w:evenHBand="0" w:firstRowFirstColumn="0" w:firstRowLastColumn="0" w:lastRowFirstColumn="0" w:lastRowLastColumn="0"/>
          <w:trHeight w:val="208"/>
          <w:tblHeader/>
        </w:trPr>
        <w:tc>
          <w:tcPr>
            <w:tcW w:w="0" w:type="auto"/>
            <w:hideMark/>
          </w:tcPr>
          <w:p w:rsidR="00355D1A" w:rsidRPr="007C06F5" w:rsidRDefault="00355D1A" w:rsidP="00D62BAD">
            <w:pPr>
              <w:spacing w:before="0"/>
              <w:jc w:val="center"/>
              <w:textAlignment w:val="top"/>
              <w:rPr>
                <w:rFonts w:ascii="Times New Roman" w:eastAsia="Times New Roman" w:hAnsi="Times New Roman" w:cs="Times New Roman"/>
                <w:sz w:val="2"/>
                <w:szCs w:val="2"/>
                <w:lang w:eastAsia="en-AU"/>
              </w:rPr>
            </w:pPr>
            <w:r w:rsidRPr="007C06F5">
              <w:rPr>
                <w:rFonts w:eastAsia="Times New Roman" w:cs="Arial"/>
                <w:color w:val="FFFFFF"/>
                <w:szCs w:val="18"/>
                <w:lang w:eastAsia="en-AU"/>
              </w:rPr>
              <w:t>Submitted</w:t>
            </w:r>
            <w:r w:rsidRPr="007C06F5">
              <w:rPr>
                <w:rFonts w:eastAsia="Times New Roman" w:cs="Arial"/>
                <w:color w:val="FFFFFF"/>
                <w:szCs w:val="18"/>
                <w:lang w:eastAsia="en-AU"/>
              </w:rPr>
              <w:br/>
              <w:t>time</w:t>
            </w:r>
          </w:p>
        </w:tc>
        <w:tc>
          <w:tcPr>
            <w:tcW w:w="0" w:type="auto"/>
            <w:hideMark/>
          </w:tcPr>
          <w:p w:rsidR="00355D1A" w:rsidRPr="007C06F5" w:rsidRDefault="00355D1A" w:rsidP="00D62BAD">
            <w:pPr>
              <w:spacing w:before="0"/>
              <w:jc w:val="center"/>
              <w:textAlignment w:val="top"/>
              <w:rPr>
                <w:rFonts w:ascii="Times New Roman" w:eastAsia="Times New Roman" w:hAnsi="Times New Roman" w:cs="Times New Roman"/>
                <w:sz w:val="2"/>
                <w:szCs w:val="2"/>
                <w:lang w:eastAsia="en-AU"/>
              </w:rPr>
            </w:pPr>
            <w:r w:rsidRPr="007C06F5">
              <w:rPr>
                <w:rFonts w:eastAsia="Times New Roman" w:cs="Arial"/>
                <w:color w:val="FFFFFF"/>
                <w:szCs w:val="18"/>
                <w:lang w:eastAsia="en-AU"/>
              </w:rPr>
              <w:t>Time</w:t>
            </w:r>
            <w:r w:rsidRPr="007C06F5">
              <w:rPr>
                <w:rFonts w:eastAsia="Times New Roman" w:cs="Arial"/>
                <w:color w:val="FFFFFF"/>
                <w:szCs w:val="18"/>
                <w:lang w:eastAsia="en-AU"/>
              </w:rPr>
              <w:br/>
              <w:t>effective</w:t>
            </w:r>
          </w:p>
        </w:tc>
        <w:tc>
          <w:tcPr>
            <w:tcW w:w="0" w:type="auto"/>
            <w:hideMark/>
          </w:tcPr>
          <w:p w:rsidR="00355D1A" w:rsidRPr="007C06F5" w:rsidRDefault="00355D1A" w:rsidP="00D62BAD">
            <w:pPr>
              <w:spacing w:before="0"/>
              <w:jc w:val="center"/>
              <w:textAlignment w:val="top"/>
              <w:rPr>
                <w:rFonts w:eastAsia="Times New Roman" w:cs="Arial"/>
                <w:color w:val="FFFFFF"/>
                <w:szCs w:val="18"/>
                <w:lang w:eastAsia="en-AU"/>
              </w:rPr>
            </w:pPr>
            <w:r w:rsidRPr="007C06F5">
              <w:rPr>
                <w:rFonts w:eastAsia="Times New Roman" w:cs="Arial"/>
                <w:color w:val="FFFFFF"/>
                <w:szCs w:val="18"/>
                <w:lang w:eastAsia="en-AU"/>
              </w:rPr>
              <w:t>Participant</w:t>
            </w:r>
          </w:p>
        </w:tc>
        <w:tc>
          <w:tcPr>
            <w:tcW w:w="0" w:type="auto"/>
            <w:hideMark/>
          </w:tcPr>
          <w:p w:rsidR="00355D1A" w:rsidRPr="007C06F5" w:rsidRDefault="00355D1A" w:rsidP="00D62BAD">
            <w:pPr>
              <w:spacing w:before="0"/>
              <w:jc w:val="center"/>
              <w:textAlignment w:val="top"/>
              <w:rPr>
                <w:rFonts w:eastAsia="Times New Roman" w:cs="Arial"/>
                <w:color w:val="FFFFFF"/>
                <w:szCs w:val="18"/>
                <w:lang w:eastAsia="en-AU"/>
              </w:rPr>
            </w:pPr>
            <w:r w:rsidRPr="007C06F5">
              <w:rPr>
                <w:rFonts w:eastAsia="Times New Roman" w:cs="Arial"/>
                <w:color w:val="FFFFFF"/>
                <w:szCs w:val="18"/>
                <w:lang w:eastAsia="en-AU"/>
              </w:rPr>
              <w:t>Station</w:t>
            </w:r>
          </w:p>
        </w:tc>
        <w:tc>
          <w:tcPr>
            <w:tcW w:w="0" w:type="auto"/>
            <w:hideMark/>
          </w:tcPr>
          <w:p w:rsidR="00355D1A" w:rsidRPr="007C06F5" w:rsidRDefault="00355D1A" w:rsidP="00D62BAD">
            <w:pPr>
              <w:spacing w:before="0"/>
              <w:jc w:val="center"/>
              <w:textAlignment w:val="top"/>
              <w:rPr>
                <w:rFonts w:ascii="Times New Roman" w:eastAsia="Times New Roman" w:hAnsi="Times New Roman" w:cs="Times New Roman"/>
                <w:sz w:val="2"/>
                <w:szCs w:val="2"/>
                <w:lang w:eastAsia="en-AU"/>
              </w:rPr>
            </w:pPr>
            <w:r w:rsidRPr="007C06F5">
              <w:rPr>
                <w:rFonts w:eastAsia="Times New Roman" w:cs="Arial"/>
                <w:color w:val="FFFFFF"/>
                <w:szCs w:val="18"/>
                <w:lang w:eastAsia="en-AU"/>
              </w:rPr>
              <w:t>Capacity rebid</w:t>
            </w:r>
            <w:r w:rsidRPr="007C06F5">
              <w:rPr>
                <w:rFonts w:eastAsia="Times New Roman" w:cs="Arial"/>
                <w:color w:val="FFFFFF"/>
                <w:szCs w:val="18"/>
                <w:lang w:eastAsia="en-AU"/>
              </w:rPr>
              <w:br/>
              <w:t>(MW)</w:t>
            </w:r>
          </w:p>
        </w:tc>
        <w:tc>
          <w:tcPr>
            <w:tcW w:w="0" w:type="auto"/>
            <w:hideMark/>
          </w:tcPr>
          <w:p w:rsidR="00355D1A" w:rsidRPr="007C06F5" w:rsidRDefault="00355D1A" w:rsidP="00D62BAD">
            <w:pPr>
              <w:spacing w:before="0"/>
              <w:jc w:val="center"/>
              <w:textAlignment w:val="top"/>
              <w:rPr>
                <w:rFonts w:ascii="Times New Roman" w:eastAsia="Times New Roman" w:hAnsi="Times New Roman" w:cs="Times New Roman"/>
                <w:sz w:val="2"/>
                <w:szCs w:val="2"/>
                <w:lang w:eastAsia="en-AU"/>
              </w:rPr>
            </w:pPr>
            <w:r w:rsidRPr="007C06F5">
              <w:rPr>
                <w:rFonts w:eastAsia="Times New Roman" w:cs="Arial"/>
                <w:color w:val="FFFFFF"/>
                <w:szCs w:val="18"/>
                <w:lang w:eastAsia="en-AU"/>
              </w:rPr>
              <w:t>Price from</w:t>
            </w:r>
            <w:r w:rsidRPr="007C06F5">
              <w:rPr>
                <w:rFonts w:eastAsia="Times New Roman" w:cs="Arial"/>
                <w:color w:val="FFFFFF"/>
                <w:szCs w:val="18"/>
                <w:lang w:eastAsia="en-AU"/>
              </w:rPr>
              <w:br/>
              <w:t>($/MWh)</w:t>
            </w:r>
          </w:p>
        </w:tc>
        <w:tc>
          <w:tcPr>
            <w:tcW w:w="0" w:type="auto"/>
            <w:hideMark/>
          </w:tcPr>
          <w:p w:rsidR="00355D1A" w:rsidRPr="007C06F5" w:rsidRDefault="00355D1A" w:rsidP="00D62BAD">
            <w:pPr>
              <w:spacing w:before="0"/>
              <w:jc w:val="center"/>
              <w:textAlignment w:val="top"/>
              <w:rPr>
                <w:rFonts w:ascii="Times New Roman" w:eastAsia="Times New Roman" w:hAnsi="Times New Roman" w:cs="Times New Roman"/>
                <w:sz w:val="2"/>
                <w:szCs w:val="2"/>
                <w:lang w:eastAsia="en-AU"/>
              </w:rPr>
            </w:pPr>
            <w:r w:rsidRPr="007C06F5">
              <w:rPr>
                <w:rFonts w:eastAsia="Times New Roman" w:cs="Arial"/>
                <w:color w:val="FFFFFF"/>
                <w:szCs w:val="18"/>
                <w:lang w:eastAsia="en-AU"/>
              </w:rPr>
              <w:t>Price to</w:t>
            </w:r>
            <w:r w:rsidRPr="007C06F5">
              <w:rPr>
                <w:rFonts w:eastAsia="Times New Roman" w:cs="Arial"/>
                <w:color w:val="FFFFFF"/>
                <w:szCs w:val="18"/>
                <w:lang w:eastAsia="en-AU"/>
              </w:rPr>
              <w:br/>
              <w:t>($/MWh)</w:t>
            </w:r>
          </w:p>
        </w:tc>
        <w:tc>
          <w:tcPr>
            <w:tcW w:w="0" w:type="auto"/>
            <w:hideMark/>
          </w:tcPr>
          <w:p w:rsidR="00355D1A" w:rsidRPr="007C06F5" w:rsidRDefault="00355D1A" w:rsidP="00D62BAD">
            <w:pPr>
              <w:spacing w:before="0"/>
              <w:jc w:val="center"/>
              <w:textAlignment w:val="top"/>
              <w:rPr>
                <w:rFonts w:eastAsia="Times New Roman" w:cs="Arial"/>
                <w:color w:val="FFFFFF"/>
                <w:szCs w:val="18"/>
                <w:lang w:eastAsia="en-AU"/>
              </w:rPr>
            </w:pPr>
            <w:r w:rsidRPr="007C06F5">
              <w:rPr>
                <w:rFonts w:eastAsia="Times New Roman" w:cs="Arial"/>
                <w:color w:val="FFFFFF"/>
                <w:szCs w:val="18"/>
                <w:lang w:eastAsia="en-AU"/>
              </w:rPr>
              <w:t>Rebid reason</w:t>
            </w:r>
          </w:p>
        </w:tc>
      </w:tr>
      <w:tr w:rsidR="009C05B5" w:rsidRPr="007C06F5" w:rsidTr="00D62BAD">
        <w:trPr>
          <w:cnfStyle w:val="000000100000" w:firstRow="0" w:lastRow="0" w:firstColumn="0" w:lastColumn="0" w:oddVBand="0" w:evenVBand="0" w:oddHBand="1" w:evenHBand="0"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4.39 pm</w:t>
            </w:r>
          </w:p>
        </w:tc>
        <w:tc>
          <w:tcPr>
            <w:tcW w:w="0" w:type="auto"/>
            <w:vAlign w:val="center"/>
          </w:tcPr>
          <w:p w:rsidR="009C05B5" w:rsidRDefault="009C05B5">
            <w:pPr>
              <w:jc w:val="center"/>
              <w:rPr>
                <w:sz w:val="24"/>
                <w:szCs w:val="24"/>
              </w:rPr>
            </w:pPr>
            <w:r>
              <w:t> </w:t>
            </w:r>
          </w:p>
        </w:tc>
        <w:tc>
          <w:tcPr>
            <w:tcW w:w="0" w:type="auto"/>
            <w:vAlign w:val="center"/>
          </w:tcPr>
          <w:p w:rsidR="009C05B5" w:rsidRDefault="009C05B5">
            <w:pPr>
              <w:textAlignment w:val="center"/>
              <w:rPr>
                <w:rFonts w:cs="Arial"/>
                <w:color w:val="000000"/>
                <w:szCs w:val="18"/>
              </w:rPr>
            </w:pPr>
            <w:r>
              <w:rPr>
                <w:rFonts w:cs="Arial"/>
                <w:color w:val="000000"/>
                <w:szCs w:val="18"/>
              </w:rPr>
              <w:t>CS Energy</w:t>
            </w:r>
          </w:p>
        </w:tc>
        <w:tc>
          <w:tcPr>
            <w:tcW w:w="0" w:type="auto"/>
            <w:vAlign w:val="center"/>
          </w:tcPr>
          <w:p w:rsidR="009C05B5" w:rsidRDefault="009C05B5">
            <w:pPr>
              <w:textAlignment w:val="center"/>
              <w:rPr>
                <w:rFonts w:cs="Arial"/>
                <w:color w:val="000000"/>
                <w:szCs w:val="18"/>
              </w:rPr>
            </w:pPr>
            <w:r>
              <w:rPr>
                <w:rFonts w:cs="Arial"/>
                <w:color w:val="000000"/>
                <w:szCs w:val="18"/>
              </w:rPr>
              <w:t>Gladstone</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150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&lt;50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1638P PORTFOLIO REARRANGEMENT DUE TO-KOGAN MILL RTS-EXTENDED-SL</w:t>
            </w:r>
          </w:p>
        </w:tc>
      </w:tr>
      <w:tr w:rsidR="009C05B5" w:rsidRPr="007C06F5" w:rsidTr="00D62BAD">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6.19 pm</w:t>
            </w:r>
          </w:p>
        </w:tc>
        <w:tc>
          <w:tcPr>
            <w:tcW w:w="0" w:type="auto"/>
            <w:vAlign w:val="center"/>
          </w:tcPr>
          <w:p w:rsidR="009C05B5" w:rsidRDefault="009C05B5">
            <w:pPr>
              <w:jc w:val="center"/>
              <w:rPr>
                <w:sz w:val="24"/>
                <w:szCs w:val="24"/>
              </w:rPr>
            </w:pPr>
            <w:r>
              <w:t> </w:t>
            </w:r>
          </w:p>
        </w:tc>
        <w:tc>
          <w:tcPr>
            <w:tcW w:w="0" w:type="auto"/>
            <w:vAlign w:val="center"/>
          </w:tcPr>
          <w:p w:rsidR="009C05B5" w:rsidRDefault="009C05B5">
            <w:pPr>
              <w:textAlignment w:val="center"/>
              <w:rPr>
                <w:rFonts w:cs="Arial"/>
                <w:color w:val="000000"/>
                <w:szCs w:val="18"/>
              </w:rPr>
            </w:pPr>
            <w:r>
              <w:rPr>
                <w:rFonts w:cs="Arial"/>
                <w:color w:val="000000"/>
                <w:szCs w:val="18"/>
              </w:rPr>
              <w:t>Millmerran Energy Trader</w:t>
            </w:r>
          </w:p>
        </w:tc>
        <w:tc>
          <w:tcPr>
            <w:tcW w:w="0" w:type="auto"/>
            <w:vAlign w:val="center"/>
          </w:tcPr>
          <w:p w:rsidR="009C05B5" w:rsidRDefault="009C05B5">
            <w:pPr>
              <w:textAlignment w:val="center"/>
              <w:rPr>
                <w:rFonts w:cs="Arial"/>
                <w:color w:val="000000"/>
                <w:szCs w:val="18"/>
              </w:rPr>
            </w:pPr>
            <w:r>
              <w:rPr>
                <w:rFonts w:cs="Arial"/>
                <w:color w:val="000000"/>
                <w:szCs w:val="18"/>
              </w:rPr>
              <w:t>Millmerran</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145</w:t>
            </w:r>
          </w:p>
        </w:tc>
        <w:tc>
          <w:tcPr>
            <w:tcW w:w="0" w:type="auto"/>
            <w:vAlign w:val="center"/>
          </w:tcPr>
          <w:p w:rsidR="009C05B5" w:rsidRDefault="009C05B5">
            <w:pPr>
              <w:jc w:val="center"/>
              <w:textAlignment w:val="center"/>
              <w:rPr>
                <w:rFonts w:cs="Arial"/>
                <w:color w:val="000000"/>
                <w:szCs w:val="18"/>
              </w:rPr>
            </w:pPr>
            <w:r>
              <w:rPr>
                <w:rFonts w:cs="Arial"/>
                <w:color w:val="000000"/>
                <w:szCs w:val="18"/>
              </w:rPr>
              <w:t>7</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 xml:space="preserve">18:19 A </w:t>
            </w:r>
            <w:proofErr w:type="spellStart"/>
            <w:r>
              <w:rPr>
                <w:rFonts w:cs="Arial"/>
                <w:color w:val="000000"/>
                <w:szCs w:val="18"/>
              </w:rPr>
              <w:t>A</w:t>
            </w:r>
            <w:proofErr w:type="spellEnd"/>
            <w:r>
              <w:rPr>
                <w:rFonts w:cs="Arial"/>
                <w:color w:val="000000"/>
                <w:szCs w:val="18"/>
              </w:rPr>
              <w:t xml:space="preserve"> 87MW CHANGE Q P5M DISPGEN DI 1845 RUN 1815/1810</w:t>
            </w:r>
          </w:p>
        </w:tc>
      </w:tr>
      <w:tr w:rsidR="009C05B5" w:rsidRPr="007C06F5" w:rsidTr="00D62BAD">
        <w:trPr>
          <w:cnfStyle w:val="000000100000" w:firstRow="0" w:lastRow="0" w:firstColumn="0" w:lastColumn="0" w:oddVBand="0" w:evenVBand="0" w:oddHBand="1" w:evenHBand="0"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6.2</w:t>
            </w:r>
            <w:r w:rsidR="00DB134D">
              <w:rPr>
                <w:rFonts w:cs="Arial"/>
                <w:color w:val="000000"/>
                <w:szCs w:val="18"/>
              </w:rPr>
              <w:t>1</w:t>
            </w:r>
            <w:r>
              <w:rPr>
                <w:rFonts w:cs="Arial"/>
                <w:color w:val="000000"/>
                <w:szCs w:val="18"/>
              </w:rPr>
              <w:t xml:space="preserve"> pm</w:t>
            </w:r>
          </w:p>
        </w:tc>
        <w:tc>
          <w:tcPr>
            <w:tcW w:w="0" w:type="auto"/>
            <w:vAlign w:val="center"/>
          </w:tcPr>
          <w:p w:rsidR="009C05B5" w:rsidRDefault="009C05B5">
            <w:pPr>
              <w:jc w:val="center"/>
              <w:rPr>
                <w:sz w:val="24"/>
                <w:szCs w:val="24"/>
              </w:rPr>
            </w:pPr>
            <w:r>
              <w:t> </w:t>
            </w:r>
          </w:p>
        </w:tc>
        <w:tc>
          <w:tcPr>
            <w:tcW w:w="0" w:type="auto"/>
            <w:vAlign w:val="center"/>
          </w:tcPr>
          <w:p w:rsidR="009C05B5" w:rsidRDefault="009C05B5">
            <w:pPr>
              <w:textAlignment w:val="center"/>
              <w:rPr>
                <w:rFonts w:cs="Arial"/>
                <w:color w:val="000000"/>
                <w:szCs w:val="18"/>
              </w:rPr>
            </w:pPr>
            <w:r>
              <w:rPr>
                <w:rFonts w:cs="Arial"/>
                <w:color w:val="000000"/>
                <w:szCs w:val="18"/>
              </w:rPr>
              <w:t>Callide Power Trading</w:t>
            </w:r>
          </w:p>
        </w:tc>
        <w:tc>
          <w:tcPr>
            <w:tcW w:w="0" w:type="auto"/>
            <w:vAlign w:val="center"/>
          </w:tcPr>
          <w:p w:rsidR="009C05B5" w:rsidRDefault="009C05B5">
            <w:pPr>
              <w:textAlignment w:val="center"/>
              <w:rPr>
                <w:rFonts w:cs="Arial"/>
                <w:color w:val="000000"/>
                <w:szCs w:val="18"/>
              </w:rPr>
            </w:pPr>
            <w:r>
              <w:rPr>
                <w:rFonts w:cs="Arial"/>
                <w:color w:val="000000"/>
                <w:szCs w:val="18"/>
              </w:rPr>
              <w:t>Callide C</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106</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-1000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1820A A 87MW CHANGE Q P5M DISPGEN DI 1845 RUN 1815/1810</w:t>
            </w:r>
          </w:p>
        </w:tc>
      </w:tr>
      <w:tr w:rsidR="009C05B5" w:rsidRPr="007C06F5" w:rsidTr="00D62BAD">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6.38 pm</w:t>
            </w:r>
          </w:p>
        </w:tc>
        <w:tc>
          <w:tcPr>
            <w:tcW w:w="0" w:type="auto"/>
            <w:vAlign w:val="center"/>
          </w:tcPr>
          <w:p w:rsidR="009C05B5" w:rsidRDefault="009C05B5">
            <w:pPr>
              <w:jc w:val="center"/>
              <w:textAlignment w:val="center"/>
              <w:rPr>
                <w:rFonts w:cs="Arial"/>
                <w:color w:val="000000"/>
                <w:szCs w:val="18"/>
              </w:rPr>
            </w:pPr>
            <w:r>
              <w:rPr>
                <w:rFonts w:cs="Arial"/>
                <w:color w:val="000000"/>
                <w:szCs w:val="18"/>
              </w:rPr>
              <w:t>6.45 pm</w:t>
            </w:r>
          </w:p>
        </w:tc>
        <w:tc>
          <w:tcPr>
            <w:tcW w:w="0" w:type="auto"/>
            <w:vAlign w:val="center"/>
          </w:tcPr>
          <w:p w:rsidR="009C05B5" w:rsidRDefault="009C05B5">
            <w:pPr>
              <w:textAlignment w:val="center"/>
              <w:rPr>
                <w:rFonts w:cs="Arial"/>
                <w:color w:val="000000"/>
                <w:szCs w:val="18"/>
              </w:rPr>
            </w:pPr>
            <w:r>
              <w:rPr>
                <w:rFonts w:cs="Arial"/>
                <w:color w:val="000000"/>
                <w:szCs w:val="18"/>
              </w:rPr>
              <w:t>Callide Power Trading</w:t>
            </w:r>
          </w:p>
        </w:tc>
        <w:tc>
          <w:tcPr>
            <w:tcW w:w="0" w:type="auto"/>
            <w:vAlign w:val="center"/>
          </w:tcPr>
          <w:p w:rsidR="009C05B5" w:rsidRDefault="009C05B5">
            <w:pPr>
              <w:textAlignment w:val="center"/>
              <w:rPr>
                <w:rFonts w:cs="Arial"/>
                <w:color w:val="000000"/>
                <w:szCs w:val="18"/>
              </w:rPr>
            </w:pPr>
            <w:r>
              <w:rPr>
                <w:rFonts w:cs="Arial"/>
                <w:color w:val="000000"/>
                <w:szCs w:val="18"/>
              </w:rPr>
              <w:t>Callide C</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120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-1000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1837A RRP ABOVE 5MIN POD FOR DI 1840</w:t>
            </w:r>
          </w:p>
        </w:tc>
      </w:tr>
      <w:tr w:rsidR="009C05B5" w:rsidRPr="007C06F5" w:rsidTr="00D62BAD">
        <w:trPr>
          <w:cnfStyle w:val="000000100000" w:firstRow="0" w:lastRow="0" w:firstColumn="0" w:lastColumn="0" w:oddVBand="0" w:evenVBand="0" w:oddHBand="1" w:evenHBand="0"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6.42 pm</w:t>
            </w:r>
          </w:p>
        </w:tc>
        <w:tc>
          <w:tcPr>
            <w:tcW w:w="0" w:type="auto"/>
            <w:vAlign w:val="center"/>
          </w:tcPr>
          <w:p w:rsidR="009C05B5" w:rsidRDefault="009C05B5">
            <w:pPr>
              <w:jc w:val="center"/>
              <w:textAlignment w:val="center"/>
              <w:rPr>
                <w:rFonts w:cs="Arial"/>
                <w:color w:val="000000"/>
                <w:szCs w:val="18"/>
              </w:rPr>
            </w:pPr>
            <w:r>
              <w:rPr>
                <w:rFonts w:cs="Arial"/>
                <w:color w:val="000000"/>
                <w:szCs w:val="18"/>
              </w:rPr>
              <w:t>6.50 pm</w:t>
            </w:r>
          </w:p>
        </w:tc>
        <w:tc>
          <w:tcPr>
            <w:tcW w:w="0" w:type="auto"/>
            <w:vAlign w:val="center"/>
          </w:tcPr>
          <w:p w:rsidR="009C05B5" w:rsidRDefault="009C05B5">
            <w:pPr>
              <w:textAlignment w:val="center"/>
              <w:rPr>
                <w:rFonts w:cs="Arial"/>
                <w:color w:val="000000"/>
                <w:szCs w:val="18"/>
              </w:rPr>
            </w:pPr>
            <w:r>
              <w:rPr>
                <w:rFonts w:cs="Arial"/>
                <w:color w:val="000000"/>
                <w:szCs w:val="18"/>
              </w:rPr>
              <w:t>Millmerran Energy Trader</w:t>
            </w:r>
          </w:p>
        </w:tc>
        <w:tc>
          <w:tcPr>
            <w:tcW w:w="0" w:type="auto"/>
            <w:vAlign w:val="center"/>
          </w:tcPr>
          <w:p w:rsidR="009C05B5" w:rsidRDefault="009C05B5">
            <w:pPr>
              <w:textAlignment w:val="center"/>
              <w:rPr>
                <w:rFonts w:cs="Arial"/>
                <w:color w:val="000000"/>
                <w:szCs w:val="18"/>
              </w:rPr>
            </w:pPr>
            <w:r>
              <w:rPr>
                <w:rFonts w:cs="Arial"/>
                <w:color w:val="000000"/>
                <w:szCs w:val="18"/>
              </w:rPr>
              <w:t>Millmerran</w:t>
            </w:r>
          </w:p>
        </w:tc>
        <w:tc>
          <w:tcPr>
            <w:tcW w:w="0" w:type="auto"/>
            <w:vAlign w:val="center"/>
          </w:tcPr>
          <w:p w:rsidR="009C05B5" w:rsidRDefault="009C05B5">
            <w:pPr>
              <w:jc w:val="center"/>
              <w:textAlignment w:val="center"/>
              <w:rPr>
                <w:rFonts w:cs="Arial"/>
                <w:color w:val="000000"/>
                <w:szCs w:val="18"/>
              </w:rPr>
            </w:pPr>
            <w:r>
              <w:rPr>
                <w:rFonts w:cs="Arial"/>
                <w:color w:val="000000"/>
                <w:szCs w:val="18"/>
              </w:rPr>
              <w:t>60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7</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18:41 A DEMAND HIGHER THAN 5MIN PD FOR DI 1845</w:t>
            </w:r>
          </w:p>
        </w:tc>
      </w:tr>
      <w:tr w:rsidR="009C05B5" w:rsidRPr="007C06F5" w:rsidTr="00D62BAD">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6.4</w:t>
            </w:r>
            <w:r w:rsidR="00A30B76">
              <w:rPr>
                <w:rFonts w:cs="Arial"/>
                <w:color w:val="000000"/>
                <w:szCs w:val="18"/>
              </w:rPr>
              <w:t>7</w:t>
            </w:r>
            <w:r>
              <w:rPr>
                <w:rFonts w:cs="Arial"/>
                <w:color w:val="000000"/>
                <w:szCs w:val="18"/>
              </w:rPr>
              <w:t xml:space="preserve"> pm</w:t>
            </w:r>
          </w:p>
        </w:tc>
        <w:tc>
          <w:tcPr>
            <w:tcW w:w="0" w:type="auto"/>
            <w:vAlign w:val="center"/>
          </w:tcPr>
          <w:p w:rsidR="009C05B5" w:rsidRDefault="009C05B5">
            <w:pPr>
              <w:jc w:val="center"/>
              <w:textAlignment w:val="center"/>
              <w:rPr>
                <w:rFonts w:cs="Arial"/>
                <w:color w:val="000000"/>
                <w:szCs w:val="18"/>
              </w:rPr>
            </w:pPr>
            <w:r>
              <w:rPr>
                <w:rFonts w:cs="Arial"/>
                <w:color w:val="000000"/>
                <w:szCs w:val="18"/>
              </w:rPr>
              <w:t>6.55 pm</w:t>
            </w:r>
          </w:p>
        </w:tc>
        <w:tc>
          <w:tcPr>
            <w:tcW w:w="0" w:type="auto"/>
            <w:vAlign w:val="center"/>
          </w:tcPr>
          <w:p w:rsidR="009C05B5" w:rsidRDefault="009C05B5">
            <w:pPr>
              <w:textAlignment w:val="center"/>
              <w:rPr>
                <w:rFonts w:cs="Arial"/>
                <w:color w:val="000000"/>
                <w:szCs w:val="18"/>
              </w:rPr>
            </w:pPr>
            <w:r>
              <w:rPr>
                <w:rFonts w:cs="Arial"/>
                <w:color w:val="000000"/>
                <w:szCs w:val="18"/>
              </w:rPr>
              <w:t>CS Energy</w:t>
            </w:r>
          </w:p>
        </w:tc>
        <w:tc>
          <w:tcPr>
            <w:tcW w:w="0" w:type="auto"/>
            <w:vAlign w:val="center"/>
          </w:tcPr>
          <w:p w:rsidR="009C05B5" w:rsidRDefault="009C05B5">
            <w:pPr>
              <w:textAlignment w:val="center"/>
              <w:rPr>
                <w:rFonts w:cs="Arial"/>
                <w:color w:val="000000"/>
                <w:szCs w:val="18"/>
              </w:rPr>
            </w:pPr>
            <w:r>
              <w:rPr>
                <w:rFonts w:cs="Arial"/>
                <w:color w:val="000000"/>
                <w:szCs w:val="18"/>
              </w:rPr>
              <w:t>Gladstone</w:t>
            </w:r>
          </w:p>
        </w:tc>
        <w:tc>
          <w:tcPr>
            <w:tcW w:w="0" w:type="auto"/>
            <w:vAlign w:val="center"/>
          </w:tcPr>
          <w:p w:rsidR="009C05B5" w:rsidRDefault="009C05B5">
            <w:pPr>
              <w:jc w:val="center"/>
              <w:textAlignment w:val="center"/>
              <w:rPr>
                <w:rFonts w:cs="Arial"/>
                <w:color w:val="000000"/>
                <w:szCs w:val="18"/>
              </w:rPr>
            </w:pPr>
            <w:r>
              <w:rPr>
                <w:rFonts w:cs="Arial"/>
                <w:color w:val="000000"/>
                <w:szCs w:val="18"/>
              </w:rPr>
              <w:t>350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&lt;300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1845A INTERCONNECTOR CLOSE TO CONSTRAINT-SL</w:t>
            </w:r>
          </w:p>
        </w:tc>
      </w:tr>
      <w:tr w:rsidR="009C05B5" w:rsidRPr="007C06F5" w:rsidTr="00D62BAD">
        <w:trPr>
          <w:cnfStyle w:val="000000100000" w:firstRow="0" w:lastRow="0" w:firstColumn="0" w:lastColumn="0" w:oddVBand="0" w:evenVBand="0" w:oddHBand="1" w:evenHBand="0"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6.47 pm</w:t>
            </w:r>
          </w:p>
        </w:tc>
        <w:tc>
          <w:tcPr>
            <w:tcW w:w="0" w:type="auto"/>
            <w:vAlign w:val="center"/>
          </w:tcPr>
          <w:p w:rsidR="009C05B5" w:rsidRDefault="009C05B5">
            <w:pPr>
              <w:jc w:val="center"/>
              <w:textAlignment w:val="center"/>
              <w:rPr>
                <w:rFonts w:cs="Arial"/>
                <w:color w:val="000000"/>
                <w:szCs w:val="18"/>
              </w:rPr>
            </w:pPr>
            <w:r>
              <w:rPr>
                <w:rFonts w:cs="Arial"/>
                <w:color w:val="000000"/>
                <w:szCs w:val="18"/>
              </w:rPr>
              <w:t>6.55 pm</w:t>
            </w:r>
          </w:p>
        </w:tc>
        <w:tc>
          <w:tcPr>
            <w:tcW w:w="0" w:type="auto"/>
            <w:vAlign w:val="center"/>
          </w:tcPr>
          <w:p w:rsidR="009C05B5" w:rsidRDefault="009C05B5">
            <w:pPr>
              <w:textAlignment w:val="center"/>
              <w:rPr>
                <w:rFonts w:cs="Arial"/>
                <w:color w:val="000000"/>
                <w:szCs w:val="18"/>
              </w:rPr>
            </w:pPr>
            <w:r>
              <w:rPr>
                <w:rFonts w:cs="Arial"/>
                <w:color w:val="000000"/>
                <w:szCs w:val="18"/>
              </w:rPr>
              <w:t>Stanwell Corporation</w:t>
            </w:r>
          </w:p>
        </w:tc>
        <w:tc>
          <w:tcPr>
            <w:tcW w:w="0" w:type="auto"/>
            <w:vAlign w:val="center"/>
          </w:tcPr>
          <w:p w:rsidR="009C05B5" w:rsidRDefault="009C05B5">
            <w:pPr>
              <w:textAlignment w:val="center"/>
              <w:rPr>
                <w:rFonts w:cs="Arial"/>
                <w:color w:val="000000"/>
                <w:szCs w:val="18"/>
              </w:rPr>
            </w:pPr>
            <w:proofErr w:type="spellStart"/>
            <w:r>
              <w:rPr>
                <w:rFonts w:cs="Arial"/>
                <w:color w:val="000000"/>
                <w:szCs w:val="18"/>
              </w:rPr>
              <w:t>Tarong</w:t>
            </w:r>
            <w:proofErr w:type="spellEnd"/>
          </w:p>
        </w:tc>
        <w:tc>
          <w:tcPr>
            <w:tcW w:w="0" w:type="auto"/>
            <w:vAlign w:val="center"/>
          </w:tcPr>
          <w:p w:rsidR="009C05B5" w:rsidRDefault="009C05B5">
            <w:pPr>
              <w:jc w:val="center"/>
              <w:textAlignment w:val="center"/>
              <w:rPr>
                <w:rFonts w:cs="Arial"/>
                <w:color w:val="000000"/>
                <w:szCs w:val="18"/>
              </w:rPr>
            </w:pPr>
            <w:r>
              <w:rPr>
                <w:rFonts w:cs="Arial"/>
                <w:color w:val="000000"/>
                <w:szCs w:val="18"/>
              </w:rPr>
              <w:t>105</w:t>
            </w:r>
          </w:p>
        </w:tc>
        <w:tc>
          <w:tcPr>
            <w:tcW w:w="0" w:type="auto"/>
            <w:vAlign w:val="center"/>
          </w:tcPr>
          <w:p w:rsidR="009C05B5" w:rsidRDefault="009C05B5">
            <w:pPr>
              <w:jc w:val="center"/>
              <w:textAlignment w:val="center"/>
              <w:rPr>
                <w:rFonts w:cs="Arial"/>
                <w:color w:val="000000"/>
                <w:szCs w:val="18"/>
              </w:rPr>
            </w:pPr>
            <w:r>
              <w:rPr>
                <w:rFonts w:cs="Arial"/>
                <w:color w:val="000000"/>
                <w:szCs w:val="18"/>
              </w:rPr>
              <w:t>&lt;61</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1845A CHANGE QLD PRICE 5 MIN PD 1840 V 1845</w:t>
            </w:r>
          </w:p>
        </w:tc>
      </w:tr>
      <w:tr w:rsidR="009C05B5" w:rsidRPr="007C06F5" w:rsidTr="00D62BAD">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9C05B5" w:rsidRDefault="009C05B5">
            <w:pPr>
              <w:jc w:val="center"/>
              <w:textAlignment w:val="center"/>
              <w:rPr>
                <w:rFonts w:cs="Arial"/>
                <w:color w:val="000000"/>
                <w:szCs w:val="18"/>
              </w:rPr>
            </w:pPr>
            <w:r>
              <w:rPr>
                <w:rFonts w:cs="Arial"/>
                <w:color w:val="000000"/>
                <w:szCs w:val="18"/>
              </w:rPr>
              <w:t>6.47 pm</w:t>
            </w:r>
          </w:p>
        </w:tc>
        <w:tc>
          <w:tcPr>
            <w:tcW w:w="0" w:type="auto"/>
            <w:vAlign w:val="center"/>
          </w:tcPr>
          <w:p w:rsidR="009C05B5" w:rsidRDefault="009C05B5">
            <w:pPr>
              <w:jc w:val="center"/>
              <w:textAlignment w:val="center"/>
              <w:rPr>
                <w:rFonts w:cs="Arial"/>
                <w:color w:val="000000"/>
                <w:szCs w:val="18"/>
              </w:rPr>
            </w:pPr>
            <w:r>
              <w:rPr>
                <w:rFonts w:cs="Arial"/>
                <w:color w:val="000000"/>
                <w:szCs w:val="18"/>
              </w:rPr>
              <w:t>6.55 pm</w:t>
            </w:r>
          </w:p>
        </w:tc>
        <w:tc>
          <w:tcPr>
            <w:tcW w:w="0" w:type="auto"/>
            <w:vAlign w:val="center"/>
          </w:tcPr>
          <w:p w:rsidR="009C05B5" w:rsidRDefault="009C05B5">
            <w:pPr>
              <w:textAlignment w:val="center"/>
              <w:rPr>
                <w:rFonts w:cs="Arial"/>
                <w:color w:val="000000"/>
                <w:szCs w:val="18"/>
              </w:rPr>
            </w:pPr>
            <w:r>
              <w:rPr>
                <w:rFonts w:cs="Arial"/>
                <w:color w:val="000000"/>
                <w:szCs w:val="18"/>
              </w:rPr>
              <w:t>CS Energy</w:t>
            </w:r>
          </w:p>
        </w:tc>
        <w:tc>
          <w:tcPr>
            <w:tcW w:w="0" w:type="auto"/>
            <w:vAlign w:val="center"/>
          </w:tcPr>
          <w:p w:rsidR="009C05B5" w:rsidRDefault="009C05B5">
            <w:pPr>
              <w:textAlignment w:val="center"/>
              <w:rPr>
                <w:rFonts w:cs="Arial"/>
                <w:color w:val="000000"/>
                <w:szCs w:val="18"/>
              </w:rPr>
            </w:pPr>
            <w:r>
              <w:rPr>
                <w:rFonts w:cs="Arial"/>
                <w:color w:val="000000"/>
                <w:szCs w:val="18"/>
              </w:rPr>
              <w:t>Callide B</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120</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17</w:t>
            </w:r>
          </w:p>
        </w:tc>
        <w:tc>
          <w:tcPr>
            <w:tcW w:w="0" w:type="auto"/>
            <w:vAlign w:val="center"/>
          </w:tcPr>
          <w:p w:rsidR="009C05B5" w:rsidRDefault="009C05B5">
            <w:pPr>
              <w:jc w:val="center"/>
              <w:textAlignment w:val="center"/>
              <w:rPr>
                <w:rFonts w:cs="Arial"/>
                <w:color w:val="000000"/>
                <w:szCs w:val="18"/>
              </w:rPr>
            </w:pPr>
            <w:r>
              <w:rPr>
                <w:rFonts w:cs="Arial"/>
                <w:color w:val="000000"/>
                <w:szCs w:val="18"/>
              </w:rPr>
              <w:t>13800</w:t>
            </w:r>
          </w:p>
        </w:tc>
        <w:tc>
          <w:tcPr>
            <w:tcW w:w="0" w:type="auto"/>
            <w:vAlign w:val="center"/>
          </w:tcPr>
          <w:p w:rsidR="009C05B5" w:rsidRDefault="009C05B5">
            <w:pPr>
              <w:textAlignment w:val="center"/>
              <w:rPr>
                <w:rFonts w:cs="Arial"/>
                <w:color w:val="000000"/>
                <w:szCs w:val="18"/>
              </w:rPr>
            </w:pPr>
            <w:r>
              <w:rPr>
                <w:rFonts w:cs="Arial"/>
                <w:color w:val="000000"/>
                <w:szCs w:val="18"/>
              </w:rPr>
              <w:t>1845A INTERCONNECTOR CLOSE TO CONSTRAINT-</w:t>
            </w:r>
            <w:r w:rsidR="00A30B76">
              <w:rPr>
                <w:rFonts w:cs="Arial"/>
                <w:color w:val="000000"/>
                <w:szCs w:val="18"/>
              </w:rPr>
              <w:t xml:space="preserve"> SL</w:t>
            </w:r>
          </w:p>
        </w:tc>
      </w:tr>
    </w:tbl>
    <w:p w:rsidR="008707C1" w:rsidRDefault="00441A99" w:rsidP="00355D1A">
      <w:pPr>
        <w:pStyle w:val="AERbodytext"/>
      </w:pPr>
      <w:r>
        <w:t>The Queensland dispatch price increased from $61/MWh at 6.</w:t>
      </w:r>
      <w:r w:rsidR="00666226">
        <w:t>50 am to $13 800/MWh at 6.55 </w:t>
      </w:r>
      <w:r w:rsidR="00BC4CD2">
        <w:t xml:space="preserve">am, following a significant amount of capacity </w:t>
      </w:r>
      <w:r w:rsidR="008707C1">
        <w:t xml:space="preserve">being </w:t>
      </w:r>
      <w:r w:rsidR="00BC4CD2">
        <w:t xml:space="preserve">rebid from low to high prices </w:t>
      </w:r>
      <w:r w:rsidR="00E40426">
        <w:t xml:space="preserve">(as detailed above). There was also a </w:t>
      </w:r>
      <w:r>
        <w:t>40</w:t>
      </w:r>
      <w:r w:rsidR="00CA4EE0" w:rsidRPr="006A7C64">
        <w:t> MW</w:t>
      </w:r>
      <w:r>
        <w:t xml:space="preserve"> increase in demand at </w:t>
      </w:r>
      <w:r w:rsidR="00E40426">
        <w:t xml:space="preserve">the time. </w:t>
      </w:r>
    </w:p>
    <w:p w:rsidR="00355D1A" w:rsidRDefault="00355D1A" w:rsidP="00355D1A">
      <w:pPr>
        <w:pStyle w:val="AERbodytext"/>
      </w:pPr>
      <w:r w:rsidRPr="006A7C64">
        <w:t xml:space="preserve">The </w:t>
      </w:r>
      <w:r w:rsidR="00A30B76">
        <w:t xml:space="preserve">dispatch </w:t>
      </w:r>
      <w:r w:rsidRPr="006A7C64">
        <w:t>price</w:t>
      </w:r>
      <w:r w:rsidR="004C6486" w:rsidRPr="006A7C64">
        <w:t xml:space="preserve"> </w:t>
      </w:r>
      <w:r w:rsidR="008707C1">
        <w:t xml:space="preserve">reduced </w:t>
      </w:r>
      <w:r w:rsidR="00470EE9" w:rsidRPr="006A7C64">
        <w:t xml:space="preserve">to </w:t>
      </w:r>
      <w:r w:rsidR="00E40426">
        <w:t>$34</w:t>
      </w:r>
      <w:r w:rsidRPr="006A7C64">
        <w:t xml:space="preserve">/MWh </w:t>
      </w:r>
      <w:r w:rsidR="00470EE9" w:rsidRPr="006A7C64">
        <w:t xml:space="preserve">at </w:t>
      </w:r>
      <w:r w:rsidR="00666226">
        <w:t>7 </w:t>
      </w:r>
      <w:r w:rsidR="00E40426">
        <w:t>pm</w:t>
      </w:r>
      <w:r w:rsidR="00470EE9" w:rsidRPr="006A7C64">
        <w:t xml:space="preserve"> </w:t>
      </w:r>
      <w:r w:rsidR="008707C1">
        <w:t xml:space="preserve">following </w:t>
      </w:r>
      <w:r w:rsidR="00E40426">
        <w:t xml:space="preserve">a number of participants </w:t>
      </w:r>
      <w:r w:rsidR="0015602B" w:rsidRPr="006A7C64">
        <w:t xml:space="preserve">rebidding </w:t>
      </w:r>
      <w:r w:rsidR="008707C1">
        <w:t xml:space="preserve">of </w:t>
      </w:r>
      <w:r w:rsidR="00E40426">
        <w:t>c</w:t>
      </w:r>
      <w:r w:rsidR="00BC4CD2">
        <w:t xml:space="preserve">apacity from high to low prices </w:t>
      </w:r>
      <w:r w:rsidR="008707C1">
        <w:t xml:space="preserve">and </w:t>
      </w:r>
      <w:r w:rsidR="00BC4CD2">
        <w:t xml:space="preserve">a </w:t>
      </w:r>
      <w:r w:rsidR="00E40426">
        <w:t>437 MW</w:t>
      </w:r>
      <w:r w:rsidR="00BC4CD2">
        <w:t xml:space="preserve"> decrease in demand</w:t>
      </w:r>
      <w:r w:rsidR="00E40426">
        <w:t>.</w:t>
      </w:r>
    </w:p>
    <w:p w:rsidR="00C91830" w:rsidRPr="009A574C" w:rsidRDefault="00C91830" w:rsidP="00C91830">
      <w:pPr>
        <w:pStyle w:val="AERHeading3"/>
        <w:keepNext/>
      </w:pPr>
      <w:r>
        <w:t>South Australia</w:t>
      </w:r>
    </w:p>
    <w:p w:rsidR="00C91830" w:rsidRDefault="00C91830" w:rsidP="00C91830">
      <w:pPr>
        <w:rPr>
          <w:rFonts w:eastAsia="Times New Roman" w:cs="Arial"/>
          <w:bCs/>
          <w:lang w:eastAsia="en-AU"/>
        </w:rPr>
      </w:pPr>
      <w:r w:rsidRPr="006741D4">
        <w:rPr>
          <w:rFonts w:eastAsia="Times New Roman" w:cs="Arial"/>
          <w:bCs/>
          <w:lang w:eastAsia="en-AU"/>
        </w:rPr>
        <w:t>There was one occasion where the spot price in South Australia was greater than three times the South Australia weekly average price of $42/MWh and above $250/MWh.</w:t>
      </w:r>
    </w:p>
    <w:p w:rsidR="006741D4" w:rsidRDefault="006741D4" w:rsidP="006741D4">
      <w:pPr>
        <w:pStyle w:val="Caption"/>
        <w:rPr>
          <w:rFonts w:eastAsia="Times New Roman" w:cs="Times New Roman"/>
          <w:color w:val="51626F"/>
          <w:szCs w:val="20"/>
        </w:rPr>
      </w:pPr>
      <w:r>
        <w:rPr>
          <w:rFonts w:eastAsia="Times New Roman" w:cs="Times New Roman"/>
          <w:color w:val="51626F"/>
          <w:szCs w:val="20"/>
        </w:rPr>
        <w:t>Wednesday, 30 March</w:t>
      </w:r>
    </w:p>
    <w:p w:rsidR="00190F24" w:rsidRDefault="00190F24" w:rsidP="00190F24">
      <w:pPr>
        <w:pStyle w:val="Caption"/>
      </w:pPr>
      <w:r>
        <w:t xml:space="preserve">Table </w:t>
      </w:r>
      <w:r w:rsidR="003E4ACE">
        <w:fldChar w:fldCharType="begin"/>
      </w:r>
      <w:r w:rsidR="003E4ACE">
        <w:instrText xml:space="preserve"> SEQ Table \* ARABIC </w:instrText>
      </w:r>
      <w:r w:rsidR="003E4ACE">
        <w:fldChar w:fldCharType="separate"/>
      </w:r>
      <w:r w:rsidR="003E4ACE">
        <w:rPr>
          <w:noProof/>
        </w:rPr>
        <w:t>5</w:t>
      </w:r>
      <w:r w:rsidR="003E4ACE">
        <w:rPr>
          <w:noProof/>
        </w:rPr>
        <w:fldChar w:fldCharType="end"/>
      </w:r>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190F24" w:rsidRPr="009A4B08" w:rsidTr="00D92E07">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190F24" w:rsidRPr="009A4B08" w:rsidRDefault="00190F24" w:rsidP="00D92E07">
            <w:pPr>
              <w:pStyle w:val="TableHeading"/>
              <w:jc w:val="center"/>
              <w:rPr>
                <w:rFonts w:cs="Arial"/>
                <w:b w:val="0"/>
                <w:sz w:val="20"/>
                <w:szCs w:val="20"/>
              </w:rPr>
            </w:pPr>
            <w:r w:rsidRPr="009A4B08">
              <w:rPr>
                <w:rFonts w:cs="Arial"/>
                <w:b w:val="0"/>
                <w:sz w:val="20"/>
                <w:szCs w:val="20"/>
              </w:rPr>
              <w:t>Availability (MW)</w:t>
            </w:r>
          </w:p>
        </w:tc>
      </w:tr>
      <w:tr w:rsidR="00190F24" w:rsidRPr="00BE2F8A" w:rsidTr="00D92E07">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190F24" w:rsidRPr="009A4B08" w:rsidRDefault="00190F24" w:rsidP="00D92E07">
            <w:pPr>
              <w:pStyle w:val="tableheadingline2"/>
              <w:rPr>
                <w:rFonts w:cs="Arial"/>
                <w:sz w:val="20"/>
                <w:szCs w:val="20"/>
              </w:rPr>
            </w:pPr>
            <w:r w:rsidRPr="009A4B08">
              <w:rPr>
                <w:rFonts w:cs="Arial"/>
                <w:sz w:val="20"/>
                <w:szCs w:val="20"/>
              </w:rPr>
              <w:t>12 hr forecast</w:t>
            </w:r>
          </w:p>
        </w:tc>
      </w:tr>
      <w:tr w:rsidR="002B3B2D" w:rsidRPr="00217C29" w:rsidTr="00D92E07">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2B3B2D" w:rsidRPr="00D725C2" w:rsidRDefault="002B3B2D" w:rsidP="00D92E07">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7:30 am</w:t>
            </w:r>
          </w:p>
        </w:tc>
        <w:tc>
          <w:tcPr>
            <w:tcW w:w="47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2263.49</w:t>
            </w:r>
          </w:p>
        </w:tc>
        <w:tc>
          <w:tcPr>
            <w:tcW w:w="49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79.99</w:t>
            </w:r>
          </w:p>
        </w:tc>
        <w:tc>
          <w:tcPr>
            <w:tcW w:w="49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79.99</w:t>
            </w:r>
          </w:p>
        </w:tc>
        <w:tc>
          <w:tcPr>
            <w:tcW w:w="49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1643</w:t>
            </w:r>
          </w:p>
        </w:tc>
        <w:tc>
          <w:tcPr>
            <w:tcW w:w="49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1630</w:t>
            </w:r>
          </w:p>
        </w:tc>
        <w:tc>
          <w:tcPr>
            <w:tcW w:w="499"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1591</w:t>
            </w:r>
          </w:p>
        </w:tc>
        <w:tc>
          <w:tcPr>
            <w:tcW w:w="49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1980</w:t>
            </w:r>
          </w:p>
        </w:tc>
        <w:tc>
          <w:tcPr>
            <w:tcW w:w="498"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1990</w:t>
            </w:r>
          </w:p>
        </w:tc>
        <w:tc>
          <w:tcPr>
            <w:tcW w:w="499" w:type="pct"/>
            <w:vAlign w:val="center"/>
          </w:tcPr>
          <w:p w:rsidR="002B3B2D" w:rsidRPr="002B3B2D" w:rsidRDefault="002B3B2D">
            <w:pPr>
              <w:pStyle w:val="NormalWeb"/>
              <w:jc w:val="center"/>
              <w:rPr>
                <w:rFonts w:ascii="Arial" w:eastAsiaTheme="minorHAnsi" w:hAnsi="Arial" w:cs="Arial"/>
                <w:sz w:val="18"/>
                <w:szCs w:val="22"/>
                <w:lang w:eastAsia="en-US"/>
              </w:rPr>
            </w:pPr>
            <w:r w:rsidRPr="002B3B2D">
              <w:rPr>
                <w:rFonts w:ascii="Arial" w:eastAsiaTheme="minorHAnsi" w:hAnsi="Arial" w:cs="Arial"/>
                <w:sz w:val="18"/>
                <w:szCs w:val="22"/>
                <w:lang w:eastAsia="en-US"/>
              </w:rPr>
              <w:t>1984</w:t>
            </w:r>
          </w:p>
        </w:tc>
      </w:tr>
    </w:tbl>
    <w:p w:rsidR="00A30B76" w:rsidRDefault="00190F24" w:rsidP="002C4965">
      <w:pPr>
        <w:pStyle w:val="AERbodytext"/>
      </w:pPr>
      <w:r w:rsidRPr="006E78CF">
        <w:t xml:space="preserve">Conditions at the time saw demand and availability </w:t>
      </w:r>
      <w:r w:rsidR="007A7264">
        <w:t xml:space="preserve">close to </w:t>
      </w:r>
      <w:r w:rsidR="00BC4CD2">
        <w:t xml:space="preserve">forecast </w:t>
      </w:r>
      <w:r w:rsidR="00A30B76">
        <w:t xml:space="preserve">four hours ahead. </w:t>
      </w:r>
    </w:p>
    <w:p w:rsidR="003A0CB8" w:rsidRDefault="00CE1B68" w:rsidP="002C4965">
      <w:pPr>
        <w:pStyle w:val="AERbodytext"/>
      </w:pPr>
      <w:r>
        <w:t xml:space="preserve">At the start of the trading interval, ramping constraints were invoked </w:t>
      </w:r>
      <w:r w:rsidR="001D0C65">
        <w:t xml:space="preserve">in preparation for the commencement of </w:t>
      </w:r>
      <w:r w:rsidR="00BC4CD2">
        <w:t xml:space="preserve">a </w:t>
      </w:r>
      <w:r w:rsidR="001D0C65">
        <w:t xml:space="preserve">planned </w:t>
      </w:r>
      <w:r w:rsidR="00BC4CD2">
        <w:t xml:space="preserve">outage of the Keith to Tailem Bend line. </w:t>
      </w:r>
      <w:r>
        <w:t>Th</w:t>
      </w:r>
      <w:r w:rsidR="00527551">
        <w:t>ese ramping constraints</w:t>
      </w:r>
      <w:r>
        <w:t xml:space="preserve"> reduc</w:t>
      </w:r>
      <w:r w:rsidR="00771822">
        <w:t>ed</w:t>
      </w:r>
      <w:r>
        <w:t xml:space="preserve"> f</w:t>
      </w:r>
      <w:r w:rsidR="001D0C65">
        <w:t>lows</w:t>
      </w:r>
      <w:r w:rsidR="00BC4CD2">
        <w:t xml:space="preserve"> into South Australia across the Heywood interconnector</w:t>
      </w:r>
      <w:r>
        <w:t xml:space="preserve"> </w:t>
      </w:r>
      <w:r w:rsidR="00527551">
        <w:t>(</w:t>
      </w:r>
      <w:r w:rsidR="002C4965">
        <w:t>from 505</w:t>
      </w:r>
      <w:r w:rsidR="001D0C65">
        <w:t> </w:t>
      </w:r>
      <w:r w:rsidR="002C4965">
        <w:t>MW at 6.55 am to 442</w:t>
      </w:r>
      <w:r w:rsidR="001D0C65">
        <w:t> M</w:t>
      </w:r>
      <w:r w:rsidR="002C4965">
        <w:t>W at 7.</w:t>
      </w:r>
      <w:r w:rsidR="00771822">
        <w:t>15 </w:t>
      </w:r>
      <w:r w:rsidR="002C4965">
        <w:t>am</w:t>
      </w:r>
      <w:r w:rsidR="00527551">
        <w:t>)</w:t>
      </w:r>
      <w:r w:rsidR="002C4965">
        <w:t xml:space="preserve">. </w:t>
      </w:r>
    </w:p>
    <w:p w:rsidR="00190F24" w:rsidRDefault="003A0CB8" w:rsidP="002C4965">
      <w:pPr>
        <w:pStyle w:val="AERbodytext"/>
      </w:pPr>
      <w:r>
        <w:t>Furthermore, at</w:t>
      </w:r>
      <w:r w:rsidR="002C4965">
        <w:t xml:space="preserve"> 7.03 am, effective f</w:t>
      </w:r>
      <w:r>
        <w:t xml:space="preserve">rom 7.10 am, </w:t>
      </w:r>
      <w:proofErr w:type="spellStart"/>
      <w:r>
        <w:t>Alinta</w:t>
      </w:r>
      <w:proofErr w:type="spellEnd"/>
      <w:r>
        <w:t xml:space="preserve"> Energy rebid </w:t>
      </w:r>
      <w:r w:rsidR="002C4965">
        <w:t xml:space="preserve">155 MW of capacity at Northern </w:t>
      </w:r>
      <w:r w:rsidR="008707C1">
        <w:t xml:space="preserve">which </w:t>
      </w:r>
      <w:r>
        <w:t>was priced at the price floor to</w:t>
      </w:r>
      <w:r w:rsidR="008707C1">
        <w:t xml:space="preserve"> prices</w:t>
      </w:r>
      <w:r>
        <w:t xml:space="preserve"> above $13,329</w:t>
      </w:r>
      <w:r w:rsidR="002C4965">
        <w:t>/MWh. The reason given was “</w:t>
      </w:r>
      <w:r w:rsidR="002C4965">
        <w:rPr>
          <w:color w:val="000000"/>
          <w:szCs w:val="18"/>
        </w:rPr>
        <w:t xml:space="preserve">0700~A~DISPATCH $57.53 V 30PD $79.99~”. </w:t>
      </w:r>
      <w:r w:rsidR="00CF0E07">
        <w:rPr>
          <w:color w:val="000000"/>
          <w:szCs w:val="18"/>
        </w:rPr>
        <w:t>With low priced generation either fully dispatched, stranded or unable to start in time, t</w:t>
      </w:r>
      <w:r w:rsidR="002C4965">
        <w:rPr>
          <w:color w:val="000000"/>
          <w:szCs w:val="18"/>
        </w:rPr>
        <w:t>he limited imports, combine</w:t>
      </w:r>
      <w:r w:rsidR="00B135AC">
        <w:rPr>
          <w:color w:val="000000"/>
          <w:szCs w:val="18"/>
        </w:rPr>
        <w:t>d</w:t>
      </w:r>
      <w:r w:rsidR="002C4965">
        <w:rPr>
          <w:color w:val="000000"/>
          <w:szCs w:val="18"/>
        </w:rPr>
        <w:t xml:space="preserve"> with </w:t>
      </w:r>
      <w:r>
        <w:rPr>
          <w:color w:val="000000"/>
          <w:szCs w:val="18"/>
        </w:rPr>
        <w:t xml:space="preserve">this rebid </w:t>
      </w:r>
      <w:r w:rsidR="002C4965">
        <w:rPr>
          <w:color w:val="000000"/>
          <w:szCs w:val="18"/>
        </w:rPr>
        <w:t xml:space="preserve">saw the </w:t>
      </w:r>
      <w:r w:rsidR="002C4965">
        <w:t>South Australian dispatch price increased from $59/MW</w:t>
      </w:r>
      <w:r>
        <w:t xml:space="preserve">h at 7.15 am to $13 329/MWh at 7.20 am. </w:t>
      </w:r>
    </w:p>
    <w:p w:rsidR="002B3B2D" w:rsidRDefault="002B3B2D" w:rsidP="002B3B2D">
      <w:pPr>
        <w:pStyle w:val="AERbodytext"/>
      </w:pPr>
      <w:r w:rsidRPr="006A7C64">
        <w:t xml:space="preserve">The price then dropped to </w:t>
      </w:r>
      <w:r w:rsidR="002C4965">
        <w:t>$41</w:t>
      </w:r>
      <w:r w:rsidRPr="006A7C64">
        <w:t xml:space="preserve">/MWh at </w:t>
      </w:r>
      <w:r>
        <w:t>7</w:t>
      </w:r>
      <w:r w:rsidR="002C4965">
        <w:t>.25 a</w:t>
      </w:r>
      <w:r>
        <w:t>m,</w:t>
      </w:r>
      <w:r w:rsidRPr="006A7C64">
        <w:t xml:space="preserve"> </w:t>
      </w:r>
      <w:r w:rsidR="003A0CB8">
        <w:t xml:space="preserve">following rebidding </w:t>
      </w:r>
      <w:r w:rsidR="008707C1">
        <w:t xml:space="preserve">of around 670 MW of </w:t>
      </w:r>
      <w:r w:rsidR="00FE602C">
        <w:t xml:space="preserve">available </w:t>
      </w:r>
      <w:r w:rsidR="008707C1">
        <w:t xml:space="preserve">capacity </w:t>
      </w:r>
      <w:r w:rsidR="00FE602C">
        <w:t xml:space="preserve">into </w:t>
      </w:r>
      <w:r w:rsidR="003A0CB8">
        <w:t>low price</w:t>
      </w:r>
      <w:r w:rsidR="00FE602C">
        <w:t xml:space="preserve"> bands</w:t>
      </w:r>
      <w:r w:rsidR="003A0CB8">
        <w:t xml:space="preserve"> by </w:t>
      </w:r>
      <w:r w:rsidR="00FE602C">
        <w:t>local generators</w:t>
      </w:r>
    </w:p>
    <w:p w:rsidR="00771822" w:rsidRPr="009A574C" w:rsidRDefault="00771822" w:rsidP="00771822">
      <w:pPr>
        <w:pStyle w:val="AERHeading3"/>
        <w:keepNext/>
      </w:pPr>
      <w:r>
        <w:t>Victoria</w:t>
      </w:r>
    </w:p>
    <w:p w:rsidR="00771822" w:rsidRDefault="00771822" w:rsidP="00771822">
      <w:pPr>
        <w:pStyle w:val="Caption"/>
        <w:rPr>
          <w:rFonts w:eastAsia="Times New Roman" w:cs="Arial"/>
          <w:b w:val="0"/>
          <w:color w:val="auto"/>
          <w:sz w:val="22"/>
          <w:szCs w:val="22"/>
          <w:lang w:eastAsia="en-AU"/>
        </w:rPr>
      </w:pPr>
      <w:r w:rsidRPr="006741D4">
        <w:rPr>
          <w:rFonts w:eastAsia="Times New Roman" w:cs="Arial"/>
          <w:b w:val="0"/>
          <w:color w:val="auto"/>
          <w:sz w:val="22"/>
          <w:szCs w:val="22"/>
          <w:lang w:eastAsia="en-AU"/>
        </w:rPr>
        <w:t>There was one occasion where the spot price in Victoria was below -$100/MWh.</w:t>
      </w:r>
    </w:p>
    <w:p w:rsidR="00FD29EE" w:rsidRDefault="00FD29EE" w:rsidP="00FD29EE">
      <w:pPr>
        <w:pStyle w:val="Caption"/>
        <w:rPr>
          <w:rFonts w:eastAsia="Times New Roman" w:cs="Times New Roman"/>
          <w:color w:val="51626F"/>
          <w:szCs w:val="20"/>
        </w:rPr>
      </w:pPr>
      <w:r>
        <w:rPr>
          <w:rFonts w:eastAsia="Times New Roman" w:cs="Times New Roman"/>
          <w:color w:val="51626F"/>
          <w:szCs w:val="20"/>
        </w:rPr>
        <w:t>Thursday, 31 March</w:t>
      </w:r>
    </w:p>
    <w:p w:rsidR="00FD29EE" w:rsidRDefault="00FD29EE" w:rsidP="00FD29EE">
      <w:pPr>
        <w:pStyle w:val="Caption"/>
      </w:pPr>
      <w:r>
        <w:t xml:space="preserve">Table </w:t>
      </w:r>
      <w:r w:rsidR="003E4ACE">
        <w:fldChar w:fldCharType="begin"/>
      </w:r>
      <w:r w:rsidR="003E4ACE">
        <w:instrText xml:space="preserve"> SEQ Table \* ARABIC </w:instrText>
      </w:r>
      <w:r w:rsidR="003E4ACE">
        <w:fldChar w:fldCharType="separate"/>
      </w:r>
      <w:r w:rsidR="003E4ACE">
        <w:rPr>
          <w:noProof/>
        </w:rPr>
        <w:t>6</w:t>
      </w:r>
      <w:r w:rsidR="003E4ACE">
        <w:rPr>
          <w:noProof/>
        </w:rPr>
        <w:fldChar w:fldCharType="end"/>
      </w:r>
      <w:r>
        <w:t xml:space="preserve">: Price, Demand and Availability  </w:t>
      </w:r>
    </w:p>
    <w:tbl>
      <w:tblPr>
        <w:tblStyle w:val="AERsummarytable2"/>
        <w:tblW w:w="5000" w:type="pct"/>
        <w:tblLayout w:type="fixed"/>
        <w:tblLook w:val="04A0" w:firstRow="1" w:lastRow="0" w:firstColumn="1" w:lastColumn="0" w:noHBand="0" w:noVBand="1"/>
      </w:tblPr>
      <w:tblGrid>
        <w:gridCol w:w="1101"/>
        <w:gridCol w:w="848"/>
        <w:gridCol w:w="843"/>
        <w:gridCol w:w="922"/>
        <w:gridCol w:w="921"/>
        <w:gridCol w:w="921"/>
        <w:gridCol w:w="922"/>
        <w:gridCol w:w="921"/>
        <w:gridCol w:w="921"/>
        <w:gridCol w:w="922"/>
      </w:tblGrid>
      <w:tr w:rsidR="00FD29EE" w:rsidRPr="009A4B08" w:rsidTr="002B3B2D">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FD29EE" w:rsidRPr="009A4B08" w:rsidRDefault="00FD29EE" w:rsidP="002B3B2D">
            <w:pPr>
              <w:pStyle w:val="TableHeading"/>
              <w:jc w:val="center"/>
              <w:rPr>
                <w:rFonts w:cs="Arial"/>
                <w:b w:val="0"/>
                <w:sz w:val="20"/>
                <w:szCs w:val="20"/>
              </w:rPr>
            </w:pPr>
            <w:r w:rsidRPr="009A4B08">
              <w:rPr>
                <w:rFonts w:cs="Arial"/>
                <w:b w:val="0"/>
                <w:sz w:val="20"/>
                <w:szCs w:val="20"/>
              </w:rPr>
              <w:t xml:space="preserve">Time </w:t>
            </w:r>
          </w:p>
        </w:tc>
        <w:tc>
          <w:tcPr>
            <w:tcW w:w="1414" w:type="pct"/>
            <w:gridSpan w:val="3"/>
            <w:hideMark/>
          </w:tcPr>
          <w:p w:rsidR="00FD29EE" w:rsidRPr="009A4B08" w:rsidRDefault="00FD29EE" w:rsidP="002B3B2D">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FD29EE" w:rsidRPr="009A4B08" w:rsidRDefault="00FD29EE" w:rsidP="002B3B2D">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FD29EE" w:rsidRPr="009A4B08" w:rsidRDefault="00FD29EE" w:rsidP="002B3B2D">
            <w:pPr>
              <w:pStyle w:val="TableHeading"/>
              <w:jc w:val="center"/>
              <w:rPr>
                <w:rFonts w:cs="Arial"/>
                <w:b w:val="0"/>
                <w:sz w:val="20"/>
                <w:szCs w:val="20"/>
              </w:rPr>
            </w:pPr>
            <w:r w:rsidRPr="009A4B08">
              <w:rPr>
                <w:rFonts w:cs="Arial"/>
                <w:b w:val="0"/>
                <w:sz w:val="20"/>
                <w:szCs w:val="20"/>
              </w:rPr>
              <w:t>Availability (MW)</w:t>
            </w:r>
          </w:p>
        </w:tc>
      </w:tr>
      <w:tr w:rsidR="00FD29EE" w:rsidRPr="00BE2F8A" w:rsidTr="002B3B2D">
        <w:trPr>
          <w:cnfStyle w:val="100000000000" w:firstRow="1" w:lastRow="0" w:firstColumn="0" w:lastColumn="0" w:oddVBand="0" w:evenVBand="0" w:oddHBand="0" w:evenHBand="0" w:firstRowFirstColumn="0" w:firstRowLastColumn="0" w:lastRowFirstColumn="0" w:lastRowLastColumn="0"/>
          <w:tblHeader/>
        </w:trPr>
        <w:tc>
          <w:tcPr>
            <w:tcW w:w="596"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 </w:t>
            </w:r>
          </w:p>
        </w:tc>
        <w:tc>
          <w:tcPr>
            <w:tcW w:w="459"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Actual</w:t>
            </w:r>
          </w:p>
        </w:tc>
        <w:tc>
          <w:tcPr>
            <w:tcW w:w="456"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D29EE" w:rsidRPr="009A4B08" w:rsidRDefault="00FD29EE" w:rsidP="002B3B2D">
            <w:pPr>
              <w:pStyle w:val="tableheadingline2"/>
              <w:rPr>
                <w:rFonts w:cs="Arial"/>
                <w:sz w:val="20"/>
                <w:szCs w:val="20"/>
              </w:rPr>
            </w:pPr>
            <w:r w:rsidRPr="009A4B08">
              <w:rPr>
                <w:rFonts w:cs="Arial"/>
                <w:sz w:val="20"/>
                <w:szCs w:val="20"/>
              </w:rPr>
              <w:t>12 hr forecast</w:t>
            </w:r>
          </w:p>
        </w:tc>
      </w:tr>
      <w:tr w:rsidR="00FD29EE" w:rsidRPr="00217C29" w:rsidTr="002B3B2D">
        <w:trPr>
          <w:cnfStyle w:val="000000100000" w:firstRow="0" w:lastRow="0" w:firstColumn="0" w:lastColumn="0" w:oddVBand="0" w:evenVBand="0" w:oddHBand="1" w:evenHBand="0" w:firstRowFirstColumn="0" w:firstRowLastColumn="0" w:lastRowFirstColumn="0" w:lastRowLastColumn="0"/>
          <w:trHeight w:val="510"/>
        </w:trPr>
        <w:tc>
          <w:tcPr>
            <w:tcW w:w="596" w:type="pct"/>
            <w:vAlign w:val="center"/>
          </w:tcPr>
          <w:p w:rsidR="00FD29EE" w:rsidRPr="00D725C2" w:rsidRDefault="00FD29EE" w:rsidP="002B3B2D">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12:3</w:t>
            </w:r>
            <w:r w:rsidRPr="00D725C2">
              <w:rPr>
                <w:rFonts w:ascii="Arial" w:eastAsiaTheme="minorHAnsi" w:hAnsi="Arial" w:cs="Arial"/>
                <w:b/>
                <w:sz w:val="18"/>
                <w:szCs w:val="22"/>
                <w:lang w:eastAsia="en-US"/>
              </w:rPr>
              <w:t>0</w:t>
            </w:r>
            <w:r>
              <w:rPr>
                <w:rFonts w:ascii="Arial" w:eastAsiaTheme="minorHAnsi" w:hAnsi="Arial" w:cs="Arial"/>
                <w:b/>
                <w:sz w:val="18"/>
                <w:szCs w:val="22"/>
                <w:lang w:eastAsia="en-US"/>
              </w:rPr>
              <w:t> </w:t>
            </w:r>
            <w:r w:rsidR="008F71C7">
              <w:rPr>
                <w:rFonts w:ascii="Arial" w:eastAsiaTheme="minorHAnsi" w:hAnsi="Arial" w:cs="Arial"/>
                <w:b/>
                <w:sz w:val="18"/>
                <w:szCs w:val="22"/>
                <w:lang w:eastAsia="en-US"/>
              </w:rPr>
              <w:t>a</w:t>
            </w:r>
            <w:r>
              <w:rPr>
                <w:rFonts w:ascii="Arial" w:eastAsiaTheme="minorHAnsi" w:hAnsi="Arial" w:cs="Arial"/>
                <w:b/>
                <w:sz w:val="18"/>
                <w:szCs w:val="22"/>
                <w:lang w:eastAsia="en-US"/>
              </w:rPr>
              <w:t>m</w:t>
            </w:r>
          </w:p>
        </w:tc>
        <w:tc>
          <w:tcPr>
            <w:tcW w:w="459"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-148.73</w:t>
            </w:r>
          </w:p>
        </w:tc>
        <w:tc>
          <w:tcPr>
            <w:tcW w:w="456"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26.21</w:t>
            </w:r>
          </w:p>
        </w:tc>
        <w:tc>
          <w:tcPr>
            <w:tcW w:w="499"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21.66</w:t>
            </w:r>
          </w:p>
        </w:tc>
        <w:tc>
          <w:tcPr>
            <w:tcW w:w="498"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4696</w:t>
            </w:r>
          </w:p>
        </w:tc>
        <w:tc>
          <w:tcPr>
            <w:tcW w:w="498"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4706</w:t>
            </w:r>
          </w:p>
        </w:tc>
        <w:tc>
          <w:tcPr>
            <w:tcW w:w="499"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4695</w:t>
            </w:r>
          </w:p>
        </w:tc>
        <w:tc>
          <w:tcPr>
            <w:tcW w:w="498"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9941</w:t>
            </w:r>
          </w:p>
        </w:tc>
        <w:tc>
          <w:tcPr>
            <w:tcW w:w="498"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10 141</w:t>
            </w:r>
          </w:p>
        </w:tc>
        <w:tc>
          <w:tcPr>
            <w:tcW w:w="499" w:type="pct"/>
            <w:vAlign w:val="center"/>
          </w:tcPr>
          <w:p w:rsidR="00FD29EE" w:rsidRPr="006741D4" w:rsidRDefault="00FD29EE" w:rsidP="002B3B2D">
            <w:pPr>
              <w:pStyle w:val="NormalWeb"/>
              <w:jc w:val="center"/>
              <w:rPr>
                <w:rFonts w:ascii="Arial" w:eastAsiaTheme="minorHAnsi" w:hAnsi="Arial" w:cs="Arial"/>
                <w:sz w:val="18"/>
                <w:szCs w:val="22"/>
                <w:lang w:eastAsia="en-US"/>
              </w:rPr>
            </w:pPr>
            <w:r w:rsidRPr="006741D4">
              <w:rPr>
                <w:rFonts w:ascii="Arial" w:eastAsiaTheme="minorHAnsi" w:hAnsi="Arial" w:cs="Arial"/>
                <w:sz w:val="18"/>
                <w:szCs w:val="22"/>
                <w:lang w:eastAsia="en-US"/>
              </w:rPr>
              <w:t>10 180</w:t>
            </w:r>
          </w:p>
        </w:tc>
      </w:tr>
    </w:tbl>
    <w:p w:rsidR="00FD29EE" w:rsidRDefault="00FD29EE" w:rsidP="00FD29EE">
      <w:pPr>
        <w:pStyle w:val="AERbodytext"/>
      </w:pPr>
      <w:r w:rsidRPr="009C05B5">
        <w:t>Conditions at the time saw demand</w:t>
      </w:r>
      <w:r>
        <w:t xml:space="preserve"> </w:t>
      </w:r>
      <w:r w:rsidR="00D33489">
        <w:t xml:space="preserve">close to forecast four hours ahead </w:t>
      </w:r>
      <w:r w:rsidRPr="009C05B5">
        <w:t xml:space="preserve">and availability </w:t>
      </w:r>
      <w:r w:rsidR="00D33489">
        <w:t>200 MW less than forecast four hours ahead</w:t>
      </w:r>
      <w:r w:rsidRPr="009C05B5">
        <w:t>.</w:t>
      </w:r>
      <w:r w:rsidRPr="00232FBD">
        <w:t xml:space="preserve"> </w:t>
      </w:r>
    </w:p>
    <w:p w:rsidR="00FD22A2" w:rsidRDefault="00AA12D3" w:rsidP="00283BF8">
      <w:pPr>
        <w:pStyle w:val="AERbodytext"/>
        <w:keepNext/>
      </w:pPr>
      <w:r>
        <w:t>At 12.</w:t>
      </w:r>
      <w:r w:rsidR="00771822">
        <w:t>15 </w:t>
      </w:r>
      <w:r>
        <w:t>am,</w:t>
      </w:r>
      <w:r w:rsidR="00771822">
        <w:t xml:space="preserve"> Victorian demand decreased by </w:t>
      </w:r>
      <w:r w:rsidR="006309A2">
        <w:t xml:space="preserve">around </w:t>
      </w:r>
      <w:r w:rsidR="00771822">
        <w:t xml:space="preserve">80 MW and a constraint to prevent transient instability for the loss of Hazelwood to South Morang line </w:t>
      </w:r>
      <w:r>
        <w:t xml:space="preserve">reduced </w:t>
      </w:r>
      <w:r w:rsidR="00FD22A2">
        <w:t>flows</w:t>
      </w:r>
      <w:r w:rsidR="00C81890">
        <w:t xml:space="preserve"> into New South Wales</w:t>
      </w:r>
      <w:r w:rsidR="00FD22A2">
        <w:t xml:space="preserve"> across the Victoria to New South Wales interconnector by around 80 MW</w:t>
      </w:r>
      <w:r w:rsidR="00EC10A1">
        <w:t xml:space="preserve"> </w:t>
      </w:r>
      <w:r w:rsidR="00FD22A2">
        <w:t>(from 525 MW to 441 MW)</w:t>
      </w:r>
      <w:r w:rsidR="00EC10A1">
        <w:t xml:space="preserve">. </w:t>
      </w:r>
      <w:r w:rsidR="00FD22A2">
        <w:t>This reduction</w:t>
      </w:r>
      <w:r w:rsidR="00C81890">
        <w:t xml:space="preserve"> in interconnector flow</w:t>
      </w:r>
      <w:r w:rsidR="00FD22A2">
        <w:t xml:space="preserve"> </w:t>
      </w:r>
      <w:r w:rsidR="00EC10A1">
        <w:t xml:space="preserve">and demand </w:t>
      </w:r>
      <w:r w:rsidR="00527551">
        <w:t>led to</w:t>
      </w:r>
      <w:r w:rsidR="00FD22A2">
        <w:t xml:space="preserve"> 16 units </w:t>
      </w:r>
      <w:r w:rsidR="008707C1">
        <w:t xml:space="preserve">in Victoria </w:t>
      </w:r>
      <w:r w:rsidR="00FD22A2">
        <w:t xml:space="preserve">being ramp down </w:t>
      </w:r>
      <w:r w:rsidR="00771822">
        <w:t xml:space="preserve">at their </w:t>
      </w:r>
      <w:r w:rsidR="00FD22A2">
        <w:t>limit</w:t>
      </w:r>
      <w:r w:rsidR="00771822">
        <w:t>s</w:t>
      </w:r>
      <w:r w:rsidR="00FD22A2">
        <w:t xml:space="preserve">, </w:t>
      </w:r>
      <w:r w:rsidR="00527551">
        <w:t xml:space="preserve">resulting in </w:t>
      </w:r>
      <w:r w:rsidR="00FD22A2">
        <w:t xml:space="preserve">the Victorian </w:t>
      </w:r>
      <w:r w:rsidR="00C81890">
        <w:t xml:space="preserve">dispatch </w:t>
      </w:r>
      <w:r w:rsidR="00FD22A2">
        <w:t>price decreas</w:t>
      </w:r>
      <w:r w:rsidR="00527551">
        <w:t>ing</w:t>
      </w:r>
      <w:r w:rsidR="00FD22A2">
        <w:t xml:space="preserve"> </w:t>
      </w:r>
      <w:r w:rsidR="00FD29EE">
        <w:t>from $28/MWh at 12.10 am to</w:t>
      </w:r>
      <w:r w:rsidR="00C81890">
        <w:t xml:space="preserve"> </w:t>
      </w:r>
      <w:r w:rsidR="00FD29EE">
        <w:t>$</w:t>
      </w:r>
      <w:r w:rsidR="00C81890">
        <w:t>-</w:t>
      </w:r>
      <w:r w:rsidR="00FD29EE">
        <w:t xml:space="preserve">1000/MWh at 12.15 am. </w:t>
      </w:r>
    </w:p>
    <w:p w:rsidR="00FD29EE" w:rsidRDefault="00FD29EE" w:rsidP="00FD22A2">
      <w:pPr>
        <w:pStyle w:val="AERbodytext"/>
      </w:pPr>
      <w:r w:rsidRPr="006A7C64">
        <w:t>The</w:t>
      </w:r>
      <w:r w:rsidR="00C81890">
        <w:t xml:space="preserve"> dispatch</w:t>
      </w:r>
      <w:r w:rsidRPr="006A7C64">
        <w:t xml:space="preserve"> price </w:t>
      </w:r>
      <w:r>
        <w:t xml:space="preserve">increased </w:t>
      </w:r>
      <w:r w:rsidRPr="006A7C64">
        <w:t xml:space="preserve">to </w:t>
      </w:r>
      <w:r>
        <w:t>$11</w:t>
      </w:r>
      <w:r w:rsidRPr="006A7C64">
        <w:t xml:space="preserve">/MWh at </w:t>
      </w:r>
      <w:r>
        <w:t>12.20 am,</w:t>
      </w:r>
      <w:r w:rsidRPr="006A7C64">
        <w:t xml:space="preserve"> </w:t>
      </w:r>
      <w:r w:rsidR="00FD22A2">
        <w:t>when a number of units were no longer ramp rate limited</w:t>
      </w:r>
      <w:r w:rsidR="00C81890">
        <w:t xml:space="preserve">, </w:t>
      </w:r>
      <w:r w:rsidR="00FD22A2">
        <w:t xml:space="preserve">there was </w:t>
      </w:r>
      <w:r>
        <w:t>around 50 MW decrease in wind generation</w:t>
      </w:r>
      <w:r w:rsidR="00C81890">
        <w:t xml:space="preserve"> and a marginal increase in flows </w:t>
      </w:r>
      <w:r w:rsidR="00D33489">
        <w:t xml:space="preserve">into New South Wales </w:t>
      </w:r>
      <w:r w:rsidR="00C81890">
        <w:t>across the Victoria to New South Wales interconnector</w:t>
      </w:r>
      <w:r>
        <w:t xml:space="preserve">. </w:t>
      </w:r>
    </w:p>
    <w:p w:rsidR="00FD29EE" w:rsidRDefault="00FD29EE" w:rsidP="00FD29EE">
      <w:pPr>
        <w:rPr>
          <w:highlight w:val="yellow"/>
        </w:rPr>
      </w:pPr>
    </w:p>
    <w:p w:rsidR="00FD29EE" w:rsidRPr="00FD29EE" w:rsidRDefault="00FD29EE" w:rsidP="00FD29EE">
      <w:pPr>
        <w:rPr>
          <w:highlight w:val="yellow"/>
        </w:rPr>
        <w:sectPr w:rsidR="00FD29EE" w:rsidRPr="00FD29EE" w:rsidSect="003C7164">
          <w:pgSz w:w="11906" w:h="16838"/>
          <w:pgMar w:top="993" w:right="1440" w:bottom="851" w:left="1440" w:header="708" w:footer="89" w:gutter="0"/>
          <w:cols w:space="708"/>
          <w:titlePg/>
          <w:docGrid w:linePitch="360"/>
        </w:sectPr>
      </w:pPr>
    </w:p>
    <w:bookmarkEnd w:id="0"/>
    <w:bookmarkEnd w:id="1"/>
    <w:bookmarkEnd w:id="2"/>
    <w:bookmarkEnd w:id="3"/>
    <w:bookmarkEnd w:id="4"/>
    <w:bookmarkEnd w:id="5"/>
    <w:p w:rsidR="00275002" w:rsidRPr="009064FC" w:rsidRDefault="00275002" w:rsidP="004F6D0A">
      <w:pPr>
        <w:pStyle w:val="Heading2"/>
      </w:pPr>
      <w:r w:rsidRPr="004F6D0A">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3E4ACE">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28521F">
        <w:t xml:space="preserve">No trades were recorded for the week </w:t>
      </w:r>
      <w:r w:rsidR="00240AA4">
        <w:t>for base Q1 contracts probably due to the proximity of the end of the qua</w:t>
      </w:r>
      <w:r w:rsidR="00C452B9">
        <w:t>r</w:t>
      </w:r>
      <w:r w:rsidR="00240AA4">
        <w:t>ter</w:t>
      </w:r>
      <w:r w:rsidR="0028521F">
        <w:t>.</w:t>
      </w:r>
    </w:p>
    <w:p w:rsidR="00D73D17" w:rsidRDefault="00275002" w:rsidP="00783D4E">
      <w:pPr>
        <w:pStyle w:val="Caption"/>
        <w:spacing w:before="0" w:line="240" w:lineRule="auto"/>
      </w:pPr>
      <w:bookmarkStart w:id="22" w:name="_Ref410386540"/>
      <w:r>
        <w:t xml:space="preserve">Figure </w:t>
      </w:r>
      <w:r w:rsidR="003E4ACE">
        <w:fldChar w:fldCharType="begin"/>
      </w:r>
      <w:r w:rsidR="003E4ACE">
        <w:instrText xml:space="preserve"> SEQ Figure \* ARABIC </w:instrText>
      </w:r>
      <w:r w:rsidR="003E4ACE">
        <w:fldChar w:fldCharType="separate"/>
      </w:r>
      <w:r w:rsidR="003E4ACE">
        <w:rPr>
          <w:noProof/>
        </w:rPr>
        <w:t>9</w:t>
      </w:r>
      <w:r w:rsidR="003E4ACE">
        <w:rPr>
          <w:noProof/>
        </w:rPr>
        <w:fldChar w:fldCharType="end"/>
      </w:r>
      <w:bookmarkEnd w:id="22"/>
      <w:r w:rsidR="002515C3">
        <w:t>:</w:t>
      </w:r>
      <w:r>
        <w:t xml:space="preserve"> </w:t>
      </w:r>
      <w:r w:rsidRPr="007A6ACB">
        <w:t>Quarterly base future prices Q</w:t>
      </w:r>
      <w:r w:rsidR="00C4712A">
        <w:t>1 2016</w:t>
      </w:r>
      <w:r w:rsidRPr="007A6ACB">
        <w:t xml:space="preserve"> – Q</w:t>
      </w:r>
      <w:r w:rsidR="00C4712A">
        <w:t>4</w:t>
      </w:r>
      <w:r w:rsidRPr="007A6ACB">
        <w:t xml:space="preserve"> 201</w:t>
      </w:r>
      <w:r w:rsidR="00F87EBA">
        <w:t>9</w:t>
      </w:r>
    </w:p>
    <w:p w:rsidR="00CA0ECB" w:rsidRPr="00037EB9" w:rsidRDefault="00C452B9" w:rsidP="00783D4E">
      <w:pPr>
        <w:spacing w:before="0" w:after="120" w:line="240" w:lineRule="auto"/>
        <w:rPr>
          <w:sz w:val="16"/>
          <w:szCs w:val="16"/>
        </w:rPr>
      </w:pPr>
      <w:r w:rsidRPr="00C452B9">
        <w:rPr>
          <w:noProof/>
          <w:lang w:eastAsia="en-AU"/>
        </w:rPr>
        <w:drawing>
          <wp:inline distT="0" distB="0" distL="0" distR="0" wp14:anchorId="440FB621" wp14:editId="29CAE675">
            <wp:extent cx="5731510" cy="2885303"/>
            <wp:effectExtent l="0" t="0" r="2540" b="0"/>
            <wp:docPr id="14" name="Picture 14"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85303"/>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4"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3E4ACE">
        <w:t xml:space="preserve">Figure </w:t>
      </w:r>
      <w:r w:rsidR="003E4ACE">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3" w:name="_Ref410380382"/>
      <w:r>
        <w:t xml:space="preserve">Figure </w:t>
      </w:r>
      <w:r w:rsidR="003E4ACE">
        <w:fldChar w:fldCharType="begin"/>
      </w:r>
      <w:r w:rsidR="003E4ACE">
        <w:instrText xml:space="preserve"> SEQ Figure \* ARABIC </w:instrText>
      </w:r>
      <w:r w:rsidR="003E4ACE">
        <w:fldChar w:fldCharType="separate"/>
      </w:r>
      <w:r w:rsidR="003E4ACE">
        <w:rPr>
          <w:noProof/>
        </w:rPr>
        <w:t>10</w:t>
      </w:r>
      <w:r w:rsidR="003E4ACE">
        <w:rPr>
          <w:noProof/>
        </w:rPr>
        <w:fldChar w:fldCharType="end"/>
      </w:r>
      <w:bookmarkEnd w:id="23"/>
      <w:r w:rsidR="002515C3">
        <w:t>:</w:t>
      </w:r>
      <w:r w:rsidRPr="00DF093A">
        <w:t xml:space="preserve"> Price of Q1 201</w:t>
      </w:r>
      <w:r w:rsidR="00F87EBA">
        <w:t>6</w:t>
      </w:r>
      <w:r w:rsidRPr="00DF093A">
        <w:t xml:space="preserve"> base contracts over the past 10 weeks (and the past 2 years)</w:t>
      </w:r>
    </w:p>
    <w:p w:rsidR="00275002" w:rsidRPr="0031019A" w:rsidRDefault="00C452B9" w:rsidP="00783D4E">
      <w:pPr>
        <w:pStyle w:val="Source"/>
        <w:spacing w:before="0" w:after="120" w:line="240" w:lineRule="auto"/>
      </w:pPr>
      <w:r w:rsidRPr="00C452B9">
        <w:rPr>
          <w:noProof/>
          <w:lang w:eastAsia="en-AU"/>
        </w:rPr>
        <w:drawing>
          <wp:inline distT="0" distB="0" distL="0" distR="0" wp14:anchorId="5801FAEF" wp14:editId="5F04971D">
            <wp:extent cx="5731510" cy="2898562"/>
            <wp:effectExtent l="0" t="0" r="2540" b="0"/>
            <wp:docPr id="16" name="Picture 16"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98562"/>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7"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3E4ACE">
        <w:t xml:space="preserve">Figure </w:t>
      </w:r>
      <w:r w:rsidR="003E4ACE">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4" w:name="_Ref428276233"/>
      <w:bookmarkStart w:id="25" w:name="_Ref410744936"/>
      <w:r>
        <w:t xml:space="preserve">Figure </w:t>
      </w:r>
      <w:r w:rsidR="003E4ACE">
        <w:fldChar w:fldCharType="begin"/>
      </w:r>
      <w:r w:rsidR="003E4ACE">
        <w:instrText xml:space="preserve"> SEQ Figure \* ARABIC </w:instrText>
      </w:r>
      <w:r w:rsidR="003E4ACE">
        <w:fldChar w:fldCharType="separate"/>
      </w:r>
      <w:r w:rsidR="003E4ACE">
        <w:rPr>
          <w:noProof/>
        </w:rPr>
        <w:t>11</w:t>
      </w:r>
      <w:r w:rsidR="003E4ACE">
        <w:rPr>
          <w:noProof/>
        </w:rPr>
        <w:fldChar w:fldCharType="end"/>
      </w:r>
      <w:bookmarkEnd w:id="24"/>
      <w:r w:rsidR="002515C3">
        <w:t>:</w:t>
      </w:r>
      <w:r w:rsidRPr="0074419D">
        <w:t xml:space="preserve"> Price of Q1 201</w:t>
      </w:r>
      <w:r w:rsidR="00F87EBA">
        <w:t>6</w:t>
      </w:r>
      <w:r w:rsidRPr="0074419D">
        <w:t xml:space="preserve"> cap contracts over the past 10 weeks (and the past 2 years)</w:t>
      </w:r>
      <w:bookmarkEnd w:id="25"/>
    </w:p>
    <w:p w:rsidR="000D4350" w:rsidRDefault="00C452B9" w:rsidP="00037EB9">
      <w:pPr>
        <w:pStyle w:val="Source"/>
        <w:spacing w:before="0" w:after="0" w:line="240" w:lineRule="auto"/>
      </w:pPr>
      <w:r w:rsidRPr="00C452B9">
        <w:rPr>
          <w:noProof/>
          <w:lang w:eastAsia="en-AU"/>
        </w:rPr>
        <w:drawing>
          <wp:inline distT="0" distB="0" distL="0" distR="0" wp14:anchorId="68249E4A" wp14:editId="5FD975E4">
            <wp:extent cx="5731510" cy="2875381"/>
            <wp:effectExtent l="0" t="0" r="2540" b="1270"/>
            <wp:docPr id="18" name="Picture 18" descr="Figure 11 shows how the price for each regional Quarter 1 2016 cap contract has changed over the last 10 weeks (as well as the total number of trades each week). The closing quarter 1 2014 and quarter 1 2015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875381"/>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9"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D92E07" w:rsidRPr="00D92E07">
        <w:t>April</w:t>
      </w:r>
      <w:r w:rsidR="004D5447" w:rsidRPr="00D92E07">
        <w:t xml:space="preserve"> </w:t>
      </w:r>
      <w:r w:rsidR="00C4712A" w:rsidRPr="00D92E07">
        <w:t>2016</w:t>
      </w:r>
    </w:p>
    <w:sectPr w:rsidR="00275002" w:rsidRPr="009F2CAC" w:rsidSect="00562EF1">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2D" w:rsidRDefault="002B3B2D" w:rsidP="004B4412">
      <w:pPr>
        <w:spacing w:before="0"/>
      </w:pPr>
      <w:r>
        <w:separator/>
      </w:r>
    </w:p>
  </w:endnote>
  <w:endnote w:type="continuationSeparator" w:id="0">
    <w:p w:rsidR="002B3B2D" w:rsidRDefault="002B3B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2D" w:rsidRPr="00A91A9E" w:rsidRDefault="002B3B2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B3B2D" w:rsidRDefault="002B3B2D"/>
  <w:p w:rsidR="002B3B2D" w:rsidRDefault="002B3B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2D" w:rsidRPr="00A94D89" w:rsidRDefault="002B3B2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E4ACE">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2D" w:rsidRPr="00A94D89" w:rsidRDefault="002B3B2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E4ACE">
      <w:rPr>
        <w:rFonts w:cs="Arial"/>
        <w:i/>
        <w:noProof/>
      </w:rPr>
      <w:t>1</w:t>
    </w:r>
    <w:r w:rsidRPr="001F1B78">
      <w:rPr>
        <w:rFonts w:cs="Arial"/>
        <w:i/>
        <w:noProof/>
      </w:rPr>
      <w:fldChar w:fldCharType="end"/>
    </w:r>
    <w:r w:rsidRPr="00F52F00">
      <w:rPr>
        <w:rFonts w:cs="Arial"/>
        <w:i/>
      </w:rPr>
      <w:tab/>
      <w:t xml:space="preserve">AER reference: 39220 – </w:t>
    </w:r>
    <w:r w:rsidR="00666226">
      <w:rPr>
        <w:rFonts w:cs="Arial"/>
        <w:i/>
        <w:szCs w:val="18"/>
      </w:rPr>
      <w:t>D16/46955</w:t>
    </w:r>
  </w:p>
  <w:p w:rsidR="002B3B2D" w:rsidRDefault="002B3B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2D" w:rsidRDefault="002B3B2D" w:rsidP="004B4412">
      <w:pPr>
        <w:spacing w:before="0"/>
      </w:pPr>
      <w:r>
        <w:separator/>
      </w:r>
    </w:p>
  </w:footnote>
  <w:footnote w:type="continuationSeparator" w:id="0">
    <w:p w:rsidR="002B3B2D" w:rsidRDefault="002B3B2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60327 -20160402 Electricity weekly report.DOCX"/>
  </w:docVars>
  <w:rsids>
    <w:rsidRoot w:val="00275002"/>
    <w:rsid w:val="00000817"/>
    <w:rsid w:val="00000BFE"/>
    <w:rsid w:val="00000CC3"/>
    <w:rsid w:val="00003169"/>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08B1"/>
    <w:rsid w:val="000312E6"/>
    <w:rsid w:val="000316E7"/>
    <w:rsid w:val="00033902"/>
    <w:rsid w:val="0003564D"/>
    <w:rsid w:val="0003578C"/>
    <w:rsid w:val="00035A9A"/>
    <w:rsid w:val="00037A6F"/>
    <w:rsid w:val="00037EB9"/>
    <w:rsid w:val="00040E4C"/>
    <w:rsid w:val="00041A89"/>
    <w:rsid w:val="000422AB"/>
    <w:rsid w:val="00043FA7"/>
    <w:rsid w:val="000442BA"/>
    <w:rsid w:val="00044D80"/>
    <w:rsid w:val="000452B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64C"/>
    <w:rsid w:val="000B3C8A"/>
    <w:rsid w:val="000C0472"/>
    <w:rsid w:val="000D122C"/>
    <w:rsid w:val="000D355E"/>
    <w:rsid w:val="000D3C77"/>
    <w:rsid w:val="000D4350"/>
    <w:rsid w:val="000D5ADE"/>
    <w:rsid w:val="000D68C5"/>
    <w:rsid w:val="000E1819"/>
    <w:rsid w:val="000E1A1B"/>
    <w:rsid w:val="000E2946"/>
    <w:rsid w:val="000E4F81"/>
    <w:rsid w:val="000E54D6"/>
    <w:rsid w:val="000E55C7"/>
    <w:rsid w:val="000E5B55"/>
    <w:rsid w:val="000E6C72"/>
    <w:rsid w:val="000E77BB"/>
    <w:rsid w:val="000E7E24"/>
    <w:rsid w:val="000F1956"/>
    <w:rsid w:val="000F1D61"/>
    <w:rsid w:val="000F56F6"/>
    <w:rsid w:val="000F5855"/>
    <w:rsid w:val="000F6FA7"/>
    <w:rsid w:val="000F77D6"/>
    <w:rsid w:val="00100142"/>
    <w:rsid w:val="00102B64"/>
    <w:rsid w:val="00105281"/>
    <w:rsid w:val="00105AF3"/>
    <w:rsid w:val="001107FF"/>
    <w:rsid w:val="00113430"/>
    <w:rsid w:val="00113AE0"/>
    <w:rsid w:val="001158FE"/>
    <w:rsid w:val="00115CCB"/>
    <w:rsid w:val="00116EB2"/>
    <w:rsid w:val="00117195"/>
    <w:rsid w:val="0012092C"/>
    <w:rsid w:val="00122831"/>
    <w:rsid w:val="001235DD"/>
    <w:rsid w:val="00124609"/>
    <w:rsid w:val="00125F4F"/>
    <w:rsid w:val="001270EB"/>
    <w:rsid w:val="00127CAB"/>
    <w:rsid w:val="00130196"/>
    <w:rsid w:val="0013057E"/>
    <w:rsid w:val="001337EF"/>
    <w:rsid w:val="00133FC8"/>
    <w:rsid w:val="00134BD7"/>
    <w:rsid w:val="00136716"/>
    <w:rsid w:val="00136A08"/>
    <w:rsid w:val="001373F1"/>
    <w:rsid w:val="001435CC"/>
    <w:rsid w:val="001436FC"/>
    <w:rsid w:val="001450FB"/>
    <w:rsid w:val="0014511E"/>
    <w:rsid w:val="00145982"/>
    <w:rsid w:val="00145ACE"/>
    <w:rsid w:val="00151F61"/>
    <w:rsid w:val="001539E0"/>
    <w:rsid w:val="0015451B"/>
    <w:rsid w:val="00155113"/>
    <w:rsid w:val="0015602B"/>
    <w:rsid w:val="001566F6"/>
    <w:rsid w:val="001573E4"/>
    <w:rsid w:val="00160756"/>
    <w:rsid w:val="00162584"/>
    <w:rsid w:val="00164658"/>
    <w:rsid w:val="00164FB1"/>
    <w:rsid w:val="00165247"/>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2441"/>
    <w:rsid w:val="001926A4"/>
    <w:rsid w:val="00193ED7"/>
    <w:rsid w:val="001A2C0A"/>
    <w:rsid w:val="001A3CDA"/>
    <w:rsid w:val="001B0C3B"/>
    <w:rsid w:val="001B2363"/>
    <w:rsid w:val="001B3ABC"/>
    <w:rsid w:val="001B45A0"/>
    <w:rsid w:val="001B4A7D"/>
    <w:rsid w:val="001B684F"/>
    <w:rsid w:val="001B6C15"/>
    <w:rsid w:val="001C027D"/>
    <w:rsid w:val="001C13CD"/>
    <w:rsid w:val="001C17B3"/>
    <w:rsid w:val="001C1BC0"/>
    <w:rsid w:val="001C2EE8"/>
    <w:rsid w:val="001C5EF2"/>
    <w:rsid w:val="001C5F6B"/>
    <w:rsid w:val="001C6748"/>
    <w:rsid w:val="001D055E"/>
    <w:rsid w:val="001D0C65"/>
    <w:rsid w:val="001D0CE3"/>
    <w:rsid w:val="001D3A5B"/>
    <w:rsid w:val="001D5BEB"/>
    <w:rsid w:val="001D60FF"/>
    <w:rsid w:val="001D7698"/>
    <w:rsid w:val="001D7FB7"/>
    <w:rsid w:val="001E01B4"/>
    <w:rsid w:val="001E14C2"/>
    <w:rsid w:val="001E2F01"/>
    <w:rsid w:val="001E4665"/>
    <w:rsid w:val="001E48B3"/>
    <w:rsid w:val="001E5AEE"/>
    <w:rsid w:val="001E6FDD"/>
    <w:rsid w:val="001F03EF"/>
    <w:rsid w:val="001F0EC9"/>
    <w:rsid w:val="001F1548"/>
    <w:rsid w:val="001F1B78"/>
    <w:rsid w:val="001F22EE"/>
    <w:rsid w:val="001F2577"/>
    <w:rsid w:val="001F3530"/>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147E"/>
    <w:rsid w:val="00212D2F"/>
    <w:rsid w:val="00213CF6"/>
    <w:rsid w:val="00214FBA"/>
    <w:rsid w:val="00215E19"/>
    <w:rsid w:val="002164FB"/>
    <w:rsid w:val="00216865"/>
    <w:rsid w:val="00217C29"/>
    <w:rsid w:val="002214D9"/>
    <w:rsid w:val="002216F5"/>
    <w:rsid w:val="00224DB9"/>
    <w:rsid w:val="00224EE7"/>
    <w:rsid w:val="002276F0"/>
    <w:rsid w:val="00227C97"/>
    <w:rsid w:val="00230D26"/>
    <w:rsid w:val="00231C73"/>
    <w:rsid w:val="00232A71"/>
    <w:rsid w:val="00232FBD"/>
    <w:rsid w:val="002338A0"/>
    <w:rsid w:val="00237048"/>
    <w:rsid w:val="00240AA4"/>
    <w:rsid w:val="002427B3"/>
    <w:rsid w:val="00242C25"/>
    <w:rsid w:val="00243347"/>
    <w:rsid w:val="002438D9"/>
    <w:rsid w:val="00245913"/>
    <w:rsid w:val="00247473"/>
    <w:rsid w:val="00250859"/>
    <w:rsid w:val="002515C3"/>
    <w:rsid w:val="002516A1"/>
    <w:rsid w:val="00251745"/>
    <w:rsid w:val="00251C37"/>
    <w:rsid w:val="00251D74"/>
    <w:rsid w:val="00262F65"/>
    <w:rsid w:val="00263AC0"/>
    <w:rsid w:val="002649D2"/>
    <w:rsid w:val="002649D8"/>
    <w:rsid w:val="00265486"/>
    <w:rsid w:val="0026772D"/>
    <w:rsid w:val="00270A51"/>
    <w:rsid w:val="00270AF4"/>
    <w:rsid w:val="0027318A"/>
    <w:rsid w:val="00275002"/>
    <w:rsid w:val="00275927"/>
    <w:rsid w:val="002762EA"/>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84E"/>
    <w:rsid w:val="002D4A1F"/>
    <w:rsid w:val="002E29A0"/>
    <w:rsid w:val="002E6254"/>
    <w:rsid w:val="002E64AB"/>
    <w:rsid w:val="002F02A4"/>
    <w:rsid w:val="002F22FD"/>
    <w:rsid w:val="002F2481"/>
    <w:rsid w:val="002F3D02"/>
    <w:rsid w:val="002F4F34"/>
    <w:rsid w:val="002F7986"/>
    <w:rsid w:val="00300C0B"/>
    <w:rsid w:val="00302D83"/>
    <w:rsid w:val="003061FA"/>
    <w:rsid w:val="003062C2"/>
    <w:rsid w:val="00306DD8"/>
    <w:rsid w:val="00307F6D"/>
    <w:rsid w:val="003105F5"/>
    <w:rsid w:val="0031318F"/>
    <w:rsid w:val="003153EB"/>
    <w:rsid w:val="003177A2"/>
    <w:rsid w:val="00317A81"/>
    <w:rsid w:val="00321853"/>
    <w:rsid w:val="00322300"/>
    <w:rsid w:val="00323CE7"/>
    <w:rsid w:val="003243B4"/>
    <w:rsid w:val="003271B5"/>
    <w:rsid w:val="003274A9"/>
    <w:rsid w:val="0032770E"/>
    <w:rsid w:val="00331264"/>
    <w:rsid w:val="00332F5D"/>
    <w:rsid w:val="00334C8D"/>
    <w:rsid w:val="00336D50"/>
    <w:rsid w:val="003375A4"/>
    <w:rsid w:val="003401B9"/>
    <w:rsid w:val="00341169"/>
    <w:rsid w:val="00342870"/>
    <w:rsid w:val="00343BF7"/>
    <w:rsid w:val="00346F05"/>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6515"/>
    <w:rsid w:val="003715C8"/>
    <w:rsid w:val="00371F3A"/>
    <w:rsid w:val="003749F7"/>
    <w:rsid w:val="00375E24"/>
    <w:rsid w:val="00376373"/>
    <w:rsid w:val="00383C6B"/>
    <w:rsid w:val="003846F1"/>
    <w:rsid w:val="00384A55"/>
    <w:rsid w:val="00384B54"/>
    <w:rsid w:val="00386C86"/>
    <w:rsid w:val="003874F8"/>
    <w:rsid w:val="00395B4C"/>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24A9"/>
    <w:rsid w:val="003C2B22"/>
    <w:rsid w:val="003C2BC1"/>
    <w:rsid w:val="003C30E5"/>
    <w:rsid w:val="003C3C98"/>
    <w:rsid w:val="003C62E9"/>
    <w:rsid w:val="003C7164"/>
    <w:rsid w:val="003C7EFA"/>
    <w:rsid w:val="003D5258"/>
    <w:rsid w:val="003E1341"/>
    <w:rsid w:val="003E3C33"/>
    <w:rsid w:val="003E47DC"/>
    <w:rsid w:val="003E4ACE"/>
    <w:rsid w:val="003E521D"/>
    <w:rsid w:val="003E74FF"/>
    <w:rsid w:val="003E78A9"/>
    <w:rsid w:val="003F004E"/>
    <w:rsid w:val="003F0289"/>
    <w:rsid w:val="003F54CB"/>
    <w:rsid w:val="003F57F1"/>
    <w:rsid w:val="003F5F74"/>
    <w:rsid w:val="003F66C5"/>
    <w:rsid w:val="003F75C8"/>
    <w:rsid w:val="00401B53"/>
    <w:rsid w:val="00402142"/>
    <w:rsid w:val="00403473"/>
    <w:rsid w:val="004034C5"/>
    <w:rsid w:val="00404492"/>
    <w:rsid w:val="00404504"/>
    <w:rsid w:val="00405B42"/>
    <w:rsid w:val="00407337"/>
    <w:rsid w:val="00411897"/>
    <w:rsid w:val="00412176"/>
    <w:rsid w:val="00414488"/>
    <w:rsid w:val="00415788"/>
    <w:rsid w:val="004157C0"/>
    <w:rsid w:val="00416641"/>
    <w:rsid w:val="0042429B"/>
    <w:rsid w:val="00424809"/>
    <w:rsid w:val="004253D6"/>
    <w:rsid w:val="004303EE"/>
    <w:rsid w:val="00436F76"/>
    <w:rsid w:val="00440D85"/>
    <w:rsid w:val="00441A99"/>
    <w:rsid w:val="00442767"/>
    <w:rsid w:val="00444A48"/>
    <w:rsid w:val="00450611"/>
    <w:rsid w:val="0045129B"/>
    <w:rsid w:val="00456C20"/>
    <w:rsid w:val="00462CFF"/>
    <w:rsid w:val="00465210"/>
    <w:rsid w:val="00470AF4"/>
    <w:rsid w:val="00470EE9"/>
    <w:rsid w:val="0047130B"/>
    <w:rsid w:val="00471992"/>
    <w:rsid w:val="00471E68"/>
    <w:rsid w:val="0047346C"/>
    <w:rsid w:val="00477821"/>
    <w:rsid w:val="0048018F"/>
    <w:rsid w:val="00480B4B"/>
    <w:rsid w:val="00480DA9"/>
    <w:rsid w:val="004831F8"/>
    <w:rsid w:val="00485752"/>
    <w:rsid w:val="00485DC4"/>
    <w:rsid w:val="00487C10"/>
    <w:rsid w:val="004923CD"/>
    <w:rsid w:val="00492A06"/>
    <w:rsid w:val="00493B02"/>
    <w:rsid w:val="00494036"/>
    <w:rsid w:val="00495574"/>
    <w:rsid w:val="0049751C"/>
    <w:rsid w:val="004A0AB5"/>
    <w:rsid w:val="004A1061"/>
    <w:rsid w:val="004A1184"/>
    <w:rsid w:val="004A2770"/>
    <w:rsid w:val="004A364A"/>
    <w:rsid w:val="004B104F"/>
    <w:rsid w:val="004B1708"/>
    <w:rsid w:val="004B231C"/>
    <w:rsid w:val="004B42A7"/>
    <w:rsid w:val="004B4412"/>
    <w:rsid w:val="004B5B3F"/>
    <w:rsid w:val="004C28B2"/>
    <w:rsid w:val="004C348C"/>
    <w:rsid w:val="004C63B9"/>
    <w:rsid w:val="004C6486"/>
    <w:rsid w:val="004C6C5B"/>
    <w:rsid w:val="004D1774"/>
    <w:rsid w:val="004D4A76"/>
    <w:rsid w:val="004D5447"/>
    <w:rsid w:val="004D55BA"/>
    <w:rsid w:val="004E1B1C"/>
    <w:rsid w:val="004E1E95"/>
    <w:rsid w:val="004E34E7"/>
    <w:rsid w:val="004E4142"/>
    <w:rsid w:val="004E6AFC"/>
    <w:rsid w:val="004E7D10"/>
    <w:rsid w:val="004F171D"/>
    <w:rsid w:val="004F18F3"/>
    <w:rsid w:val="004F6D0A"/>
    <w:rsid w:val="004F6ED0"/>
    <w:rsid w:val="00501B85"/>
    <w:rsid w:val="0050244E"/>
    <w:rsid w:val="00502843"/>
    <w:rsid w:val="00502D42"/>
    <w:rsid w:val="005033F6"/>
    <w:rsid w:val="005047F1"/>
    <w:rsid w:val="00505B5E"/>
    <w:rsid w:val="005177C0"/>
    <w:rsid w:val="00522360"/>
    <w:rsid w:val="00522486"/>
    <w:rsid w:val="00522668"/>
    <w:rsid w:val="00523AD2"/>
    <w:rsid w:val="00524513"/>
    <w:rsid w:val="00527551"/>
    <w:rsid w:val="005279B6"/>
    <w:rsid w:val="00530128"/>
    <w:rsid w:val="00530657"/>
    <w:rsid w:val="005323B2"/>
    <w:rsid w:val="00532467"/>
    <w:rsid w:val="0053491C"/>
    <w:rsid w:val="0053611E"/>
    <w:rsid w:val="0054102B"/>
    <w:rsid w:val="0054173F"/>
    <w:rsid w:val="0054254C"/>
    <w:rsid w:val="00543945"/>
    <w:rsid w:val="00543BEC"/>
    <w:rsid w:val="00544C6F"/>
    <w:rsid w:val="00547DC4"/>
    <w:rsid w:val="005502E7"/>
    <w:rsid w:val="00551739"/>
    <w:rsid w:val="00552DA2"/>
    <w:rsid w:val="00555667"/>
    <w:rsid w:val="005556B9"/>
    <w:rsid w:val="00556B64"/>
    <w:rsid w:val="005575B9"/>
    <w:rsid w:val="00560CE5"/>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446"/>
    <w:rsid w:val="005839B3"/>
    <w:rsid w:val="00584D8F"/>
    <w:rsid w:val="00585D42"/>
    <w:rsid w:val="0059539A"/>
    <w:rsid w:val="00595613"/>
    <w:rsid w:val="00595ED0"/>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7DD"/>
    <w:rsid w:val="00607BA0"/>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1E6"/>
    <w:rsid w:val="00642C3E"/>
    <w:rsid w:val="00644F6E"/>
    <w:rsid w:val="006471D4"/>
    <w:rsid w:val="00647804"/>
    <w:rsid w:val="0065049E"/>
    <w:rsid w:val="00651005"/>
    <w:rsid w:val="0065226B"/>
    <w:rsid w:val="0065567D"/>
    <w:rsid w:val="006556AA"/>
    <w:rsid w:val="00656588"/>
    <w:rsid w:val="0065661E"/>
    <w:rsid w:val="006566B8"/>
    <w:rsid w:val="006569A5"/>
    <w:rsid w:val="006573B5"/>
    <w:rsid w:val="00660F82"/>
    <w:rsid w:val="00661F88"/>
    <w:rsid w:val="00663DAD"/>
    <w:rsid w:val="00665ACC"/>
    <w:rsid w:val="00666226"/>
    <w:rsid w:val="0067180B"/>
    <w:rsid w:val="00673D15"/>
    <w:rsid w:val="006741D4"/>
    <w:rsid w:val="00675E21"/>
    <w:rsid w:val="00676679"/>
    <w:rsid w:val="00677233"/>
    <w:rsid w:val="006777D7"/>
    <w:rsid w:val="00686411"/>
    <w:rsid w:val="00687AA8"/>
    <w:rsid w:val="00694FD6"/>
    <w:rsid w:val="006956EC"/>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41C4"/>
    <w:rsid w:val="006C447D"/>
    <w:rsid w:val="006C5B09"/>
    <w:rsid w:val="006C62B7"/>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3750"/>
    <w:rsid w:val="006F393C"/>
    <w:rsid w:val="006F3FCB"/>
    <w:rsid w:val="006F48AA"/>
    <w:rsid w:val="006F4C38"/>
    <w:rsid w:val="006F6C2D"/>
    <w:rsid w:val="00700DAB"/>
    <w:rsid w:val="00701CAB"/>
    <w:rsid w:val="007037F6"/>
    <w:rsid w:val="00704518"/>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1F"/>
    <w:rsid w:val="007356A7"/>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C78"/>
    <w:rsid w:val="00796D6A"/>
    <w:rsid w:val="007A1135"/>
    <w:rsid w:val="007A1428"/>
    <w:rsid w:val="007A1AB0"/>
    <w:rsid w:val="007A33E8"/>
    <w:rsid w:val="007A6656"/>
    <w:rsid w:val="007A7264"/>
    <w:rsid w:val="007B1732"/>
    <w:rsid w:val="007B2C72"/>
    <w:rsid w:val="007B3F68"/>
    <w:rsid w:val="007B497F"/>
    <w:rsid w:val="007B57F8"/>
    <w:rsid w:val="007B742A"/>
    <w:rsid w:val="007B78AB"/>
    <w:rsid w:val="007C1C53"/>
    <w:rsid w:val="007C2EE8"/>
    <w:rsid w:val="007C62FE"/>
    <w:rsid w:val="007D1133"/>
    <w:rsid w:val="007D2028"/>
    <w:rsid w:val="007D47B2"/>
    <w:rsid w:val="007D53A8"/>
    <w:rsid w:val="007D6FC9"/>
    <w:rsid w:val="007E1516"/>
    <w:rsid w:val="007E4904"/>
    <w:rsid w:val="007E4CB5"/>
    <w:rsid w:val="007E5597"/>
    <w:rsid w:val="007E74E0"/>
    <w:rsid w:val="007F066B"/>
    <w:rsid w:val="007F0F77"/>
    <w:rsid w:val="007F2BBD"/>
    <w:rsid w:val="007F2D03"/>
    <w:rsid w:val="007F3B2C"/>
    <w:rsid w:val="007F475F"/>
    <w:rsid w:val="007F4AB4"/>
    <w:rsid w:val="007F5457"/>
    <w:rsid w:val="008033C4"/>
    <w:rsid w:val="00806C88"/>
    <w:rsid w:val="00807112"/>
    <w:rsid w:val="00807A5C"/>
    <w:rsid w:val="0081034E"/>
    <w:rsid w:val="0081253D"/>
    <w:rsid w:val="00812E7B"/>
    <w:rsid w:val="0081351D"/>
    <w:rsid w:val="00813CE4"/>
    <w:rsid w:val="0081592A"/>
    <w:rsid w:val="008238B2"/>
    <w:rsid w:val="008245E2"/>
    <w:rsid w:val="008257CA"/>
    <w:rsid w:val="00831483"/>
    <w:rsid w:val="008344B4"/>
    <w:rsid w:val="008344F6"/>
    <w:rsid w:val="0083510F"/>
    <w:rsid w:val="008366CD"/>
    <w:rsid w:val="00836890"/>
    <w:rsid w:val="00840C6C"/>
    <w:rsid w:val="00840FCC"/>
    <w:rsid w:val="008445D3"/>
    <w:rsid w:val="00845396"/>
    <w:rsid w:val="00847ED9"/>
    <w:rsid w:val="00851209"/>
    <w:rsid w:val="0085188E"/>
    <w:rsid w:val="00851B46"/>
    <w:rsid w:val="00852B3D"/>
    <w:rsid w:val="008556A5"/>
    <w:rsid w:val="00856965"/>
    <w:rsid w:val="00857917"/>
    <w:rsid w:val="00861AED"/>
    <w:rsid w:val="00867506"/>
    <w:rsid w:val="008707C1"/>
    <w:rsid w:val="00870903"/>
    <w:rsid w:val="0087280A"/>
    <w:rsid w:val="0087308C"/>
    <w:rsid w:val="00873B1F"/>
    <w:rsid w:val="0087479D"/>
    <w:rsid w:val="008837AC"/>
    <w:rsid w:val="00884D30"/>
    <w:rsid w:val="00886662"/>
    <w:rsid w:val="00886BAB"/>
    <w:rsid w:val="00886CEC"/>
    <w:rsid w:val="00886FA8"/>
    <w:rsid w:val="00887EBF"/>
    <w:rsid w:val="008909FD"/>
    <w:rsid w:val="008934F4"/>
    <w:rsid w:val="00895878"/>
    <w:rsid w:val="00896C79"/>
    <w:rsid w:val="008A4DB6"/>
    <w:rsid w:val="008A587D"/>
    <w:rsid w:val="008A59AB"/>
    <w:rsid w:val="008A6198"/>
    <w:rsid w:val="008A7580"/>
    <w:rsid w:val="008A7E37"/>
    <w:rsid w:val="008B0D4C"/>
    <w:rsid w:val="008B22BE"/>
    <w:rsid w:val="008B416B"/>
    <w:rsid w:val="008B6DA5"/>
    <w:rsid w:val="008C094A"/>
    <w:rsid w:val="008C1D7C"/>
    <w:rsid w:val="008C1FE0"/>
    <w:rsid w:val="008C4E0D"/>
    <w:rsid w:val="008C50F7"/>
    <w:rsid w:val="008C5486"/>
    <w:rsid w:val="008C6B16"/>
    <w:rsid w:val="008D21CB"/>
    <w:rsid w:val="008D4E23"/>
    <w:rsid w:val="008D6AC3"/>
    <w:rsid w:val="008E1E8E"/>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BFF"/>
    <w:rsid w:val="0091710E"/>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CF7"/>
    <w:rsid w:val="00953534"/>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920D2"/>
    <w:rsid w:val="009928BC"/>
    <w:rsid w:val="009937B4"/>
    <w:rsid w:val="0099572C"/>
    <w:rsid w:val="009A0A73"/>
    <w:rsid w:val="009A0EDF"/>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902"/>
    <w:rsid w:val="009D633E"/>
    <w:rsid w:val="009D6B46"/>
    <w:rsid w:val="009E1209"/>
    <w:rsid w:val="009E1242"/>
    <w:rsid w:val="009E2520"/>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6AD1"/>
    <w:rsid w:val="00A1210E"/>
    <w:rsid w:val="00A159BF"/>
    <w:rsid w:val="00A15E40"/>
    <w:rsid w:val="00A16DAF"/>
    <w:rsid w:val="00A16F26"/>
    <w:rsid w:val="00A21F54"/>
    <w:rsid w:val="00A2302C"/>
    <w:rsid w:val="00A25353"/>
    <w:rsid w:val="00A26739"/>
    <w:rsid w:val="00A26C2F"/>
    <w:rsid w:val="00A30B76"/>
    <w:rsid w:val="00A3632A"/>
    <w:rsid w:val="00A42006"/>
    <w:rsid w:val="00A4478A"/>
    <w:rsid w:val="00A44852"/>
    <w:rsid w:val="00A45EAC"/>
    <w:rsid w:val="00A47A03"/>
    <w:rsid w:val="00A52A18"/>
    <w:rsid w:val="00A5631E"/>
    <w:rsid w:val="00A575E8"/>
    <w:rsid w:val="00A57D04"/>
    <w:rsid w:val="00A57D69"/>
    <w:rsid w:val="00A60A26"/>
    <w:rsid w:val="00A61598"/>
    <w:rsid w:val="00A64EBB"/>
    <w:rsid w:val="00A6730F"/>
    <w:rsid w:val="00A679F2"/>
    <w:rsid w:val="00A71AA6"/>
    <w:rsid w:val="00A75AAA"/>
    <w:rsid w:val="00A81710"/>
    <w:rsid w:val="00A81EF8"/>
    <w:rsid w:val="00A8219E"/>
    <w:rsid w:val="00A84E2D"/>
    <w:rsid w:val="00A84F46"/>
    <w:rsid w:val="00A871F4"/>
    <w:rsid w:val="00A87F90"/>
    <w:rsid w:val="00A912B1"/>
    <w:rsid w:val="00A91A4B"/>
    <w:rsid w:val="00A923DD"/>
    <w:rsid w:val="00A9455D"/>
    <w:rsid w:val="00A94D89"/>
    <w:rsid w:val="00A96CE0"/>
    <w:rsid w:val="00A971A0"/>
    <w:rsid w:val="00AA0CEB"/>
    <w:rsid w:val="00AA12D3"/>
    <w:rsid w:val="00AA39C0"/>
    <w:rsid w:val="00AA3A2C"/>
    <w:rsid w:val="00AA476F"/>
    <w:rsid w:val="00AA649A"/>
    <w:rsid w:val="00AA73F0"/>
    <w:rsid w:val="00AB325D"/>
    <w:rsid w:val="00AB6478"/>
    <w:rsid w:val="00AB6927"/>
    <w:rsid w:val="00AC0FE9"/>
    <w:rsid w:val="00AC1B2C"/>
    <w:rsid w:val="00AC1CF3"/>
    <w:rsid w:val="00AC242C"/>
    <w:rsid w:val="00AC3264"/>
    <w:rsid w:val="00AC48DA"/>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DD2"/>
    <w:rsid w:val="00AF0ED5"/>
    <w:rsid w:val="00AF3A41"/>
    <w:rsid w:val="00AF46F3"/>
    <w:rsid w:val="00AF66A7"/>
    <w:rsid w:val="00AF7058"/>
    <w:rsid w:val="00AF7C0E"/>
    <w:rsid w:val="00B01BD3"/>
    <w:rsid w:val="00B02ED5"/>
    <w:rsid w:val="00B03817"/>
    <w:rsid w:val="00B057C8"/>
    <w:rsid w:val="00B06353"/>
    <w:rsid w:val="00B065C9"/>
    <w:rsid w:val="00B0779B"/>
    <w:rsid w:val="00B109DD"/>
    <w:rsid w:val="00B11C09"/>
    <w:rsid w:val="00B1285B"/>
    <w:rsid w:val="00B13048"/>
    <w:rsid w:val="00B135AC"/>
    <w:rsid w:val="00B14CE4"/>
    <w:rsid w:val="00B162BD"/>
    <w:rsid w:val="00B1716D"/>
    <w:rsid w:val="00B17A1D"/>
    <w:rsid w:val="00B207A0"/>
    <w:rsid w:val="00B20F61"/>
    <w:rsid w:val="00B211EE"/>
    <w:rsid w:val="00B23484"/>
    <w:rsid w:val="00B251A4"/>
    <w:rsid w:val="00B25887"/>
    <w:rsid w:val="00B26AAA"/>
    <w:rsid w:val="00B276D9"/>
    <w:rsid w:val="00B30D82"/>
    <w:rsid w:val="00B31071"/>
    <w:rsid w:val="00B33C7F"/>
    <w:rsid w:val="00B35810"/>
    <w:rsid w:val="00B35937"/>
    <w:rsid w:val="00B4128D"/>
    <w:rsid w:val="00B41686"/>
    <w:rsid w:val="00B44E99"/>
    <w:rsid w:val="00B474EE"/>
    <w:rsid w:val="00B52EC8"/>
    <w:rsid w:val="00B55C24"/>
    <w:rsid w:val="00B56E03"/>
    <w:rsid w:val="00B6278D"/>
    <w:rsid w:val="00B62BB5"/>
    <w:rsid w:val="00B63E2C"/>
    <w:rsid w:val="00B64DF7"/>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3446"/>
    <w:rsid w:val="00BD412C"/>
    <w:rsid w:val="00BD4E33"/>
    <w:rsid w:val="00BD5467"/>
    <w:rsid w:val="00BD6CD4"/>
    <w:rsid w:val="00BD7176"/>
    <w:rsid w:val="00BD71BD"/>
    <w:rsid w:val="00BE1F1B"/>
    <w:rsid w:val="00BE2075"/>
    <w:rsid w:val="00BE2F8A"/>
    <w:rsid w:val="00BE377D"/>
    <w:rsid w:val="00BE47B5"/>
    <w:rsid w:val="00BE7DBC"/>
    <w:rsid w:val="00BF19CB"/>
    <w:rsid w:val="00BF1BF5"/>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2A83"/>
    <w:rsid w:val="00C154C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C4F"/>
    <w:rsid w:val="00C452B9"/>
    <w:rsid w:val="00C46AB5"/>
    <w:rsid w:val="00C4709E"/>
    <w:rsid w:val="00C4712A"/>
    <w:rsid w:val="00C47DEE"/>
    <w:rsid w:val="00C50EC2"/>
    <w:rsid w:val="00C51484"/>
    <w:rsid w:val="00C51BE7"/>
    <w:rsid w:val="00C532EF"/>
    <w:rsid w:val="00C538A9"/>
    <w:rsid w:val="00C53B5A"/>
    <w:rsid w:val="00C54CF3"/>
    <w:rsid w:val="00C54F5A"/>
    <w:rsid w:val="00C55452"/>
    <w:rsid w:val="00C56506"/>
    <w:rsid w:val="00C565C5"/>
    <w:rsid w:val="00C60452"/>
    <w:rsid w:val="00C6191E"/>
    <w:rsid w:val="00C62797"/>
    <w:rsid w:val="00C6290C"/>
    <w:rsid w:val="00C672E0"/>
    <w:rsid w:val="00C729B4"/>
    <w:rsid w:val="00C73A47"/>
    <w:rsid w:val="00C73C83"/>
    <w:rsid w:val="00C74A11"/>
    <w:rsid w:val="00C80612"/>
    <w:rsid w:val="00C81324"/>
    <w:rsid w:val="00C81890"/>
    <w:rsid w:val="00C81A67"/>
    <w:rsid w:val="00C8473D"/>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6516"/>
    <w:rsid w:val="00CC656F"/>
    <w:rsid w:val="00CC6738"/>
    <w:rsid w:val="00CD2754"/>
    <w:rsid w:val="00CD40AD"/>
    <w:rsid w:val="00CD4E7F"/>
    <w:rsid w:val="00CE0A5F"/>
    <w:rsid w:val="00CE15A5"/>
    <w:rsid w:val="00CE1831"/>
    <w:rsid w:val="00CE1B68"/>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40B44"/>
    <w:rsid w:val="00D43663"/>
    <w:rsid w:val="00D44037"/>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7193"/>
    <w:rsid w:val="00DB7AB9"/>
    <w:rsid w:val="00DB7FD1"/>
    <w:rsid w:val="00DC153A"/>
    <w:rsid w:val="00DC22E3"/>
    <w:rsid w:val="00DC24BF"/>
    <w:rsid w:val="00DC2907"/>
    <w:rsid w:val="00DC395C"/>
    <w:rsid w:val="00DC5E54"/>
    <w:rsid w:val="00DC693A"/>
    <w:rsid w:val="00DC7981"/>
    <w:rsid w:val="00DC7B5A"/>
    <w:rsid w:val="00DD15C2"/>
    <w:rsid w:val="00DD27EA"/>
    <w:rsid w:val="00DD33DE"/>
    <w:rsid w:val="00DE45B5"/>
    <w:rsid w:val="00DE4EFA"/>
    <w:rsid w:val="00DE5104"/>
    <w:rsid w:val="00DE5520"/>
    <w:rsid w:val="00DE5AB1"/>
    <w:rsid w:val="00DE6AA6"/>
    <w:rsid w:val="00DE7345"/>
    <w:rsid w:val="00DF02A4"/>
    <w:rsid w:val="00DF0714"/>
    <w:rsid w:val="00DF1C55"/>
    <w:rsid w:val="00DF2298"/>
    <w:rsid w:val="00DF3C7E"/>
    <w:rsid w:val="00DF7793"/>
    <w:rsid w:val="00E00EC9"/>
    <w:rsid w:val="00E03069"/>
    <w:rsid w:val="00E03725"/>
    <w:rsid w:val="00E04818"/>
    <w:rsid w:val="00E06442"/>
    <w:rsid w:val="00E113E2"/>
    <w:rsid w:val="00E115DE"/>
    <w:rsid w:val="00E13056"/>
    <w:rsid w:val="00E135DB"/>
    <w:rsid w:val="00E13C85"/>
    <w:rsid w:val="00E15B15"/>
    <w:rsid w:val="00E227A4"/>
    <w:rsid w:val="00E2374E"/>
    <w:rsid w:val="00E23993"/>
    <w:rsid w:val="00E24D12"/>
    <w:rsid w:val="00E2504E"/>
    <w:rsid w:val="00E25B8C"/>
    <w:rsid w:val="00E25F40"/>
    <w:rsid w:val="00E3279F"/>
    <w:rsid w:val="00E32A8C"/>
    <w:rsid w:val="00E333EF"/>
    <w:rsid w:val="00E334A4"/>
    <w:rsid w:val="00E35AE8"/>
    <w:rsid w:val="00E3678B"/>
    <w:rsid w:val="00E3724C"/>
    <w:rsid w:val="00E37F0B"/>
    <w:rsid w:val="00E40426"/>
    <w:rsid w:val="00E40B9C"/>
    <w:rsid w:val="00E42976"/>
    <w:rsid w:val="00E42DF3"/>
    <w:rsid w:val="00E43848"/>
    <w:rsid w:val="00E438D4"/>
    <w:rsid w:val="00E4482C"/>
    <w:rsid w:val="00E4680F"/>
    <w:rsid w:val="00E46D48"/>
    <w:rsid w:val="00E47EAD"/>
    <w:rsid w:val="00E5181B"/>
    <w:rsid w:val="00E52107"/>
    <w:rsid w:val="00E52A27"/>
    <w:rsid w:val="00E54461"/>
    <w:rsid w:val="00E55C3C"/>
    <w:rsid w:val="00E56018"/>
    <w:rsid w:val="00E6018A"/>
    <w:rsid w:val="00E605DA"/>
    <w:rsid w:val="00E65839"/>
    <w:rsid w:val="00E65C85"/>
    <w:rsid w:val="00E65CF4"/>
    <w:rsid w:val="00E66199"/>
    <w:rsid w:val="00E675DF"/>
    <w:rsid w:val="00E715D5"/>
    <w:rsid w:val="00E737E3"/>
    <w:rsid w:val="00E74532"/>
    <w:rsid w:val="00E7472E"/>
    <w:rsid w:val="00E755EC"/>
    <w:rsid w:val="00E761D6"/>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B049F"/>
    <w:rsid w:val="00EB100D"/>
    <w:rsid w:val="00EB456D"/>
    <w:rsid w:val="00EB540F"/>
    <w:rsid w:val="00EB7D7F"/>
    <w:rsid w:val="00EC05BF"/>
    <w:rsid w:val="00EC0D58"/>
    <w:rsid w:val="00EC10A1"/>
    <w:rsid w:val="00EC24B0"/>
    <w:rsid w:val="00EC317E"/>
    <w:rsid w:val="00EC67D4"/>
    <w:rsid w:val="00EC7EB1"/>
    <w:rsid w:val="00ED3C5B"/>
    <w:rsid w:val="00ED4A25"/>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6B5B"/>
    <w:rsid w:val="00F072C7"/>
    <w:rsid w:val="00F10CDA"/>
    <w:rsid w:val="00F113FD"/>
    <w:rsid w:val="00F13B99"/>
    <w:rsid w:val="00F13EAA"/>
    <w:rsid w:val="00F15882"/>
    <w:rsid w:val="00F15AB9"/>
    <w:rsid w:val="00F167CF"/>
    <w:rsid w:val="00F1785E"/>
    <w:rsid w:val="00F20BD3"/>
    <w:rsid w:val="00F248D0"/>
    <w:rsid w:val="00F27967"/>
    <w:rsid w:val="00F32D35"/>
    <w:rsid w:val="00F336DF"/>
    <w:rsid w:val="00F3590E"/>
    <w:rsid w:val="00F36430"/>
    <w:rsid w:val="00F373A5"/>
    <w:rsid w:val="00F376D3"/>
    <w:rsid w:val="00F42DB4"/>
    <w:rsid w:val="00F45B2F"/>
    <w:rsid w:val="00F47559"/>
    <w:rsid w:val="00F5112C"/>
    <w:rsid w:val="00F55548"/>
    <w:rsid w:val="00F55859"/>
    <w:rsid w:val="00F6043C"/>
    <w:rsid w:val="00F60561"/>
    <w:rsid w:val="00F61055"/>
    <w:rsid w:val="00F61AA8"/>
    <w:rsid w:val="00F61EEA"/>
    <w:rsid w:val="00F64C7B"/>
    <w:rsid w:val="00F64F82"/>
    <w:rsid w:val="00F662F1"/>
    <w:rsid w:val="00F66967"/>
    <w:rsid w:val="00F676DD"/>
    <w:rsid w:val="00F70811"/>
    <w:rsid w:val="00F70D8D"/>
    <w:rsid w:val="00F71486"/>
    <w:rsid w:val="00F72F41"/>
    <w:rsid w:val="00F74CBC"/>
    <w:rsid w:val="00F75A26"/>
    <w:rsid w:val="00F766B3"/>
    <w:rsid w:val="00F77D49"/>
    <w:rsid w:val="00F8021A"/>
    <w:rsid w:val="00F805F3"/>
    <w:rsid w:val="00F83FAD"/>
    <w:rsid w:val="00F87EBA"/>
    <w:rsid w:val="00F93027"/>
    <w:rsid w:val="00F946BA"/>
    <w:rsid w:val="00F94788"/>
    <w:rsid w:val="00F952A0"/>
    <w:rsid w:val="00F965FC"/>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447B"/>
    <w:rsid w:val="00FC4CF7"/>
    <w:rsid w:val="00FC52AC"/>
    <w:rsid w:val="00FC54E6"/>
    <w:rsid w:val="00FC5EB3"/>
    <w:rsid w:val="00FC5FE0"/>
    <w:rsid w:val="00FC626F"/>
    <w:rsid w:val="00FC656F"/>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hyperlink" Target="https://asxenergy.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asxenergy.com.au/"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hyperlink" Target="http://www.aer.gov.au/industry-information/industry-statisti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62760-E7AE-4681-8D59-0296C499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F2D043DC</Template>
  <TotalTime>0</TotalTime>
  <Pages>12</Pages>
  <Words>2109</Words>
  <Characters>12024</Characters>
  <Application>Microsoft Office Word</Application>
  <DocSecurity>0</DocSecurity>
  <Lines>100</Lines>
  <Paragraphs>28</Paragraphs>
  <ScaleCrop>false</ScaleCrop>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2016-04-21T06:50:00Z</dcterms:created>
  <dcterms:modified xsi:type="dcterms:W3CDTF">2016-04-21T06:52:00Z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8660947</vt:lpwstr>
  </property>
</Properties>
</file>