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50F4AD93" wp14:editId="55B3C003">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CA394C" w:rsidP="002A4EF8">
      <w:pPr>
        <w:rPr>
          <w:b/>
          <w:sz w:val="36"/>
          <w:szCs w:val="36"/>
        </w:rPr>
      </w:pPr>
      <w:r>
        <w:rPr>
          <w:b/>
          <w:sz w:val="36"/>
          <w:szCs w:val="36"/>
        </w:rPr>
        <w:t>22</w:t>
      </w:r>
      <w:r w:rsidR="002438D9">
        <w:rPr>
          <w:b/>
          <w:sz w:val="36"/>
          <w:szCs w:val="36"/>
        </w:rPr>
        <w:t xml:space="preserve"> – </w:t>
      </w:r>
      <w:r>
        <w:rPr>
          <w:b/>
          <w:sz w:val="36"/>
          <w:szCs w:val="36"/>
        </w:rPr>
        <w:t>28</w:t>
      </w:r>
      <w:r w:rsidR="00356E72">
        <w:rPr>
          <w:b/>
          <w:sz w:val="36"/>
          <w:szCs w:val="36"/>
        </w:rPr>
        <w:t xml:space="preserve"> </w:t>
      </w:r>
      <w:r w:rsidR="00505B5E">
        <w:rPr>
          <w:b/>
          <w:sz w:val="36"/>
          <w:szCs w:val="36"/>
        </w:rPr>
        <w:t>November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EE6F07" w:rsidRPr="00EE6F07">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CA394C">
        <w:rPr>
          <w:bCs/>
          <w:lang w:eastAsia="en-AU"/>
        </w:rPr>
        <w:t>22</w:t>
      </w:r>
      <w:r w:rsidR="000E55C7">
        <w:rPr>
          <w:bCs/>
          <w:lang w:eastAsia="en-AU"/>
        </w:rPr>
        <w:t xml:space="preserve"> to </w:t>
      </w:r>
      <w:r w:rsidR="00CA394C">
        <w:rPr>
          <w:bCs/>
          <w:lang w:eastAsia="en-AU"/>
        </w:rPr>
        <w:t>28</w:t>
      </w:r>
      <w:r w:rsidR="00356E72">
        <w:rPr>
          <w:bCs/>
          <w:lang w:eastAsia="en-AU"/>
        </w:rPr>
        <w:t xml:space="preserve"> </w:t>
      </w:r>
      <w:r w:rsidR="00505B5E">
        <w:rPr>
          <w:bCs/>
          <w:lang w:eastAsia="en-AU"/>
        </w:rPr>
        <w:t>November</w:t>
      </w:r>
      <w:r w:rsidR="00760FD8" w:rsidRPr="00215E19">
        <w:rPr>
          <w:bCs/>
          <w:lang w:eastAsia="en-AU"/>
        </w:rPr>
        <w:t xml:space="preserve"> </w:t>
      </w:r>
      <w:r w:rsidR="00AF7058" w:rsidRPr="00215E19">
        <w:rPr>
          <w:bCs/>
          <w:lang w:eastAsia="en-AU"/>
        </w:rPr>
        <w:t>2015.</w:t>
      </w:r>
      <w:r w:rsidR="0010743A">
        <w:rPr>
          <w:bCs/>
          <w:lang w:eastAsia="en-AU"/>
        </w:rPr>
        <w:t xml:space="preserve"> There was one occasion where the spot price in New South Wales was greater than three times the New South Wales weekly average price of $47/MWh and above $250/MWh.</w:t>
      </w:r>
      <w:r w:rsidR="00AF7058" w:rsidRPr="00215E19">
        <w:rPr>
          <w:bCs/>
          <w:lang w:eastAsia="en-AU"/>
        </w:rPr>
        <w:t xml:space="preserve"> </w:t>
      </w:r>
      <w:r w:rsidR="00E95CA7" w:rsidRPr="00E95CA7">
        <w:rPr>
          <w:bCs/>
          <w:lang w:eastAsia="en-AU"/>
        </w:rPr>
        <w:t xml:space="preserve">There were </w:t>
      </w:r>
      <w:r w:rsidR="00CA394C">
        <w:rPr>
          <w:bCs/>
          <w:lang w:eastAsia="en-AU"/>
        </w:rPr>
        <w:t>two</w:t>
      </w:r>
      <w:r w:rsidR="00E95CA7" w:rsidRPr="00E95CA7">
        <w:rPr>
          <w:bCs/>
          <w:lang w:eastAsia="en-AU"/>
        </w:rPr>
        <w:t xml:space="preserve"> occasions where the spot price in </w:t>
      </w:r>
      <w:r w:rsidR="00A15E40">
        <w:rPr>
          <w:bCs/>
          <w:lang w:eastAsia="en-AU"/>
        </w:rPr>
        <w:t>Queensland</w:t>
      </w:r>
      <w:r w:rsidR="00E95CA7" w:rsidRPr="00E95CA7">
        <w:rPr>
          <w:bCs/>
          <w:lang w:eastAsia="en-AU"/>
        </w:rPr>
        <w:t xml:space="preserve"> was greater than three times the </w:t>
      </w:r>
      <w:r w:rsidR="00A15E40">
        <w:rPr>
          <w:bCs/>
          <w:lang w:eastAsia="en-AU"/>
        </w:rPr>
        <w:t>Queens</w:t>
      </w:r>
      <w:r w:rsidR="00CA394C">
        <w:rPr>
          <w:bCs/>
          <w:lang w:eastAsia="en-AU"/>
        </w:rPr>
        <w:t>land weekly average price of $52</w:t>
      </w:r>
      <w:r w:rsidR="00E95CA7" w:rsidRPr="00E95CA7">
        <w:rPr>
          <w:bCs/>
          <w:lang w:eastAsia="en-AU"/>
        </w:rPr>
        <w:t>/MWh and above $250/MWh</w:t>
      </w:r>
      <w:r w:rsidR="00CA394C">
        <w:rPr>
          <w:bCs/>
          <w:lang w:eastAsia="en-AU"/>
        </w:rPr>
        <w:t>.</w:t>
      </w:r>
      <w:r w:rsidR="00355D2F">
        <w:rPr>
          <w:bCs/>
          <w:lang w:eastAsia="en-AU"/>
        </w:rPr>
        <w:t xml:space="preserve"> </w:t>
      </w:r>
      <w:r w:rsidR="00CA394C" w:rsidRPr="00E95CA7">
        <w:rPr>
          <w:bCs/>
          <w:lang w:eastAsia="en-AU"/>
        </w:rPr>
        <w:t xml:space="preserve">There were </w:t>
      </w:r>
      <w:r w:rsidR="00CA394C">
        <w:rPr>
          <w:bCs/>
          <w:lang w:eastAsia="en-AU"/>
        </w:rPr>
        <w:t>three</w:t>
      </w:r>
      <w:r w:rsidR="00CA394C" w:rsidRPr="00E95CA7">
        <w:rPr>
          <w:bCs/>
          <w:lang w:eastAsia="en-AU"/>
        </w:rPr>
        <w:t xml:space="preserve"> occasions where the spot price in </w:t>
      </w:r>
      <w:r w:rsidR="00CA394C">
        <w:rPr>
          <w:bCs/>
          <w:lang w:eastAsia="en-AU"/>
        </w:rPr>
        <w:t xml:space="preserve">Tasmania </w:t>
      </w:r>
      <w:r w:rsidR="00CA394C" w:rsidRPr="00E95CA7">
        <w:rPr>
          <w:bCs/>
          <w:lang w:eastAsia="en-AU"/>
        </w:rPr>
        <w:t xml:space="preserve">was greater than three times the </w:t>
      </w:r>
      <w:r w:rsidR="00CA394C">
        <w:rPr>
          <w:bCs/>
          <w:lang w:eastAsia="en-AU"/>
        </w:rPr>
        <w:t>Tasmania weekly average price of $92</w:t>
      </w:r>
      <w:r w:rsidR="00CA394C" w:rsidRPr="00E95CA7">
        <w:rPr>
          <w:bCs/>
          <w:lang w:eastAsia="en-AU"/>
        </w:rPr>
        <w:t>/MWh and above $250/MWh</w:t>
      </w:r>
      <w:r w:rsidR="00CA394C">
        <w:rPr>
          <w:bCs/>
          <w:lang w:eastAsia="en-AU"/>
        </w:rPr>
        <w:t>.</w:t>
      </w:r>
    </w:p>
    <w:p w:rsidR="00BF4639" w:rsidRDefault="00275002" w:rsidP="00405B42">
      <w:pPr>
        <w:pStyle w:val="Caption"/>
      </w:pPr>
      <w:bookmarkStart w:id="6" w:name="_Ref410382491"/>
      <w:bookmarkStart w:id="7" w:name="OLE_LINK28"/>
      <w:bookmarkStart w:id="8" w:name="OLE_LINK29"/>
      <w:r w:rsidRPr="000E2946">
        <w:t xml:space="preserve">Figure </w:t>
      </w:r>
      <w:fldSimple w:instr=" SEQ Figure \* ARABIC ">
        <w:r w:rsidR="00EE6F07">
          <w:rPr>
            <w:noProof/>
          </w:rPr>
          <w:t>1</w:t>
        </w:r>
      </w:fldSimple>
      <w:bookmarkEnd w:id="6"/>
      <w:r w:rsidRPr="000E2946">
        <w:t>: Spot price by region ($/MWh)</w:t>
      </w:r>
    </w:p>
    <w:p w:rsidR="00275002" w:rsidRPr="00215E19" w:rsidRDefault="00AA7190" w:rsidP="00215E19">
      <w:pPr>
        <w:pStyle w:val="Caption"/>
        <w:rPr>
          <w:bCs w:val="0"/>
          <w:lang w:eastAsia="en-AU"/>
        </w:rPr>
      </w:pPr>
      <w:r w:rsidRPr="00AA7190">
        <w:rPr>
          <w:noProof/>
          <w:lang w:eastAsia="en-AU"/>
        </w:rPr>
        <w:drawing>
          <wp:inline distT="0" distB="0" distL="0" distR="0" wp14:anchorId="61B2D3C1" wp14:editId="24726FCD">
            <wp:extent cx="5731510" cy="2860244"/>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15E19" w:rsidRDefault="00215E19">
      <w:pPr>
        <w:spacing w:line="240" w:lineRule="auto"/>
      </w:pPr>
      <w:r>
        <w:br w:type="page"/>
      </w:r>
    </w:p>
    <w:p w:rsidR="00275002" w:rsidRPr="00F167CF" w:rsidRDefault="00275002" w:rsidP="00F167CF">
      <w:pPr>
        <w:pStyle w:val="AERbodytext"/>
        <w:spacing w:after="120"/>
      </w:pPr>
      <w:r w:rsidRPr="00F167CF">
        <w:lastRenderedPageBreak/>
        <w:fldChar w:fldCharType="begin"/>
      </w:r>
      <w:r w:rsidRPr="00F167CF">
        <w:instrText xml:space="preserve"> REF _Ref410382517 \h </w:instrText>
      </w:r>
      <w:r w:rsidR="009A3D22" w:rsidRPr="00F167CF">
        <w:instrText xml:space="preserve"> \* MERGEFORMAT </w:instrText>
      </w:r>
      <w:r w:rsidRPr="00F167CF">
        <w:fldChar w:fldCharType="separate"/>
      </w:r>
      <w:r w:rsidR="00EE6F07">
        <w:t>Figure 2</w:t>
      </w:r>
      <w:r w:rsidRPr="00F167CF">
        <w:fldChar w:fldCharType="end"/>
      </w:r>
      <w:r w:rsidRPr="00F167CF">
        <w:t xml:space="preserve"> shows the volume weighted average (VWA) prices for the current week (with prices shown in </w:t>
      </w:r>
      <w:r w:rsidRPr="00F167CF">
        <w:fldChar w:fldCharType="begin"/>
      </w:r>
      <w:r w:rsidRPr="00F167CF">
        <w:instrText xml:space="preserve"> REF _Ref410382587 \h </w:instrText>
      </w:r>
      <w:r w:rsidR="009A3D22" w:rsidRPr="00F167CF">
        <w:instrText xml:space="preserve"> \* MERGEFORMAT </w:instrText>
      </w:r>
      <w:r w:rsidRPr="00F167CF">
        <w:fldChar w:fldCharType="separate"/>
      </w:r>
      <w:r w:rsidR="00EE6F07">
        <w:t>Table 1</w:t>
      </w:r>
      <w:r w:rsidRPr="00F167CF">
        <w:fldChar w:fldCharType="end"/>
      </w:r>
      <w:r w:rsidRPr="00F167CF">
        <w:t>) and the preceding 12 weeks, as well as the VWA price over the previous 3 financial years</w:t>
      </w:r>
      <w:r w:rsidR="00762D41" w:rsidRPr="00F167CF">
        <w:t>.</w:t>
      </w:r>
    </w:p>
    <w:p w:rsidR="00275002" w:rsidRDefault="00275002" w:rsidP="00F167CF">
      <w:pPr>
        <w:pStyle w:val="Caption"/>
        <w:spacing w:before="0" w:line="240" w:lineRule="auto"/>
      </w:pPr>
      <w:bookmarkStart w:id="9" w:name="_Ref410382517"/>
      <w:r>
        <w:t xml:space="preserve">Figure </w:t>
      </w:r>
      <w:fldSimple w:instr=" SEQ Figure \* ARABIC ">
        <w:r w:rsidR="00EE6F07">
          <w:rPr>
            <w:noProof/>
          </w:rPr>
          <w:t>2</w:t>
        </w:r>
      </w:fldSimple>
      <w:bookmarkEnd w:id="9"/>
      <w:r>
        <w:t>:</w:t>
      </w:r>
      <w:r w:rsidRPr="00037176">
        <w:t xml:space="preserve"> Volume weighted average spot price by region ($/MWh)</w:t>
      </w:r>
    </w:p>
    <w:p w:rsidR="001F22EE" w:rsidRPr="001F22EE" w:rsidRDefault="00830985" w:rsidP="00F167CF">
      <w:pPr>
        <w:spacing w:before="0" w:after="120" w:line="240" w:lineRule="auto"/>
      </w:pPr>
      <w:r w:rsidRPr="00830985">
        <w:rPr>
          <w:noProof/>
          <w:lang w:eastAsia="en-AU"/>
        </w:rPr>
        <w:drawing>
          <wp:inline distT="0" distB="0" distL="0" distR="0" wp14:anchorId="533E6E6C" wp14:editId="1D1F14BB">
            <wp:extent cx="5731510" cy="2860244"/>
            <wp:effectExtent l="0" t="0" r="2540" b="0"/>
            <wp:docPr id="10" name="Picture 10"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31019A" w:rsidRDefault="00275002" w:rsidP="00F167CF">
      <w:pPr>
        <w:pStyle w:val="Caption"/>
        <w:spacing w:before="0" w:line="240" w:lineRule="auto"/>
      </w:pPr>
      <w:bookmarkStart w:id="10" w:name="_Ref410382587"/>
      <w:r>
        <w:t xml:space="preserve">Table </w:t>
      </w:r>
      <w:fldSimple w:instr=" SEQ Table \* ARABIC ">
        <w:r w:rsidR="00EE6F07">
          <w:rPr>
            <w:noProof/>
          </w:rPr>
          <w:t>1</w:t>
        </w:r>
      </w:fldSimple>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830985" w:rsidRPr="00E35AE8" w:rsidTr="00AA7190">
        <w:trPr>
          <w:trHeight w:hRule="exact" w:val="340"/>
        </w:trPr>
        <w:tc>
          <w:tcPr>
            <w:tcW w:w="1357" w:type="pct"/>
            <w:noWrap/>
            <w:vAlign w:val="center"/>
            <w:hideMark/>
          </w:tcPr>
          <w:p w:rsidR="00830985" w:rsidRPr="009B21F2" w:rsidRDefault="00830985"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830985" w:rsidRDefault="00830985" w:rsidP="00AA7190">
            <w:pPr>
              <w:spacing w:before="0" w:after="0" w:line="240" w:lineRule="auto"/>
              <w:jc w:val="center"/>
              <w:rPr>
                <w:rFonts w:cs="Arial"/>
                <w:sz w:val="20"/>
                <w:szCs w:val="20"/>
              </w:rPr>
            </w:pPr>
            <w:r>
              <w:rPr>
                <w:rFonts w:cs="Arial"/>
                <w:sz w:val="20"/>
                <w:szCs w:val="20"/>
              </w:rPr>
              <w:t>52</w:t>
            </w:r>
          </w:p>
        </w:tc>
        <w:tc>
          <w:tcPr>
            <w:tcW w:w="729" w:type="pct"/>
            <w:noWrap/>
            <w:vAlign w:val="center"/>
          </w:tcPr>
          <w:p w:rsidR="00830985" w:rsidRDefault="00830985" w:rsidP="00AA7190">
            <w:pPr>
              <w:spacing w:before="0" w:after="0" w:line="240" w:lineRule="auto"/>
              <w:jc w:val="center"/>
              <w:rPr>
                <w:rFonts w:cs="Arial"/>
                <w:sz w:val="20"/>
                <w:szCs w:val="20"/>
              </w:rPr>
            </w:pPr>
            <w:r>
              <w:rPr>
                <w:rFonts w:cs="Arial"/>
                <w:sz w:val="20"/>
                <w:szCs w:val="20"/>
              </w:rPr>
              <w:t>47</w:t>
            </w:r>
          </w:p>
        </w:tc>
        <w:tc>
          <w:tcPr>
            <w:tcW w:w="728" w:type="pct"/>
            <w:noWrap/>
            <w:vAlign w:val="center"/>
          </w:tcPr>
          <w:p w:rsidR="00830985" w:rsidRDefault="00830985" w:rsidP="00AA7190">
            <w:pPr>
              <w:spacing w:before="0" w:after="0" w:line="240" w:lineRule="auto"/>
              <w:jc w:val="center"/>
              <w:rPr>
                <w:rFonts w:cs="Arial"/>
                <w:sz w:val="20"/>
                <w:szCs w:val="20"/>
              </w:rPr>
            </w:pPr>
            <w:r>
              <w:rPr>
                <w:rFonts w:cs="Arial"/>
                <w:sz w:val="20"/>
                <w:szCs w:val="20"/>
              </w:rPr>
              <w:t>43</w:t>
            </w:r>
          </w:p>
        </w:tc>
        <w:tc>
          <w:tcPr>
            <w:tcW w:w="729" w:type="pct"/>
            <w:noWrap/>
            <w:vAlign w:val="center"/>
          </w:tcPr>
          <w:p w:rsidR="00830985" w:rsidRDefault="00830985" w:rsidP="00AA7190">
            <w:pPr>
              <w:spacing w:before="0" w:after="0" w:line="240" w:lineRule="auto"/>
              <w:jc w:val="center"/>
              <w:rPr>
                <w:rFonts w:cs="Arial"/>
                <w:sz w:val="20"/>
                <w:szCs w:val="20"/>
              </w:rPr>
            </w:pPr>
            <w:r>
              <w:rPr>
                <w:rFonts w:cs="Arial"/>
                <w:sz w:val="20"/>
                <w:szCs w:val="20"/>
              </w:rPr>
              <w:t>44</w:t>
            </w:r>
          </w:p>
        </w:tc>
        <w:tc>
          <w:tcPr>
            <w:tcW w:w="729" w:type="pct"/>
            <w:noWrap/>
            <w:vAlign w:val="center"/>
          </w:tcPr>
          <w:p w:rsidR="00830985" w:rsidRDefault="00830985" w:rsidP="00AA7190">
            <w:pPr>
              <w:spacing w:before="0" w:after="0" w:line="240" w:lineRule="auto"/>
              <w:jc w:val="center"/>
              <w:rPr>
                <w:rFonts w:cs="Arial"/>
                <w:sz w:val="20"/>
                <w:szCs w:val="20"/>
              </w:rPr>
            </w:pPr>
            <w:r>
              <w:rPr>
                <w:rFonts w:cs="Arial"/>
                <w:sz w:val="20"/>
                <w:szCs w:val="20"/>
              </w:rPr>
              <w:t>92</w:t>
            </w:r>
          </w:p>
        </w:tc>
      </w:tr>
      <w:tr w:rsidR="00830985" w:rsidRPr="00E35AE8" w:rsidTr="00AA7190">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830985" w:rsidRPr="00B65CAC" w:rsidRDefault="00830985"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830985" w:rsidRDefault="00830985" w:rsidP="00AA7190">
            <w:pPr>
              <w:spacing w:before="0" w:after="0" w:line="240" w:lineRule="auto"/>
              <w:jc w:val="center"/>
              <w:rPr>
                <w:rFonts w:cs="Arial"/>
                <w:szCs w:val="20"/>
              </w:rPr>
            </w:pPr>
            <w:r>
              <w:rPr>
                <w:rFonts w:cs="Arial"/>
                <w:szCs w:val="20"/>
              </w:rPr>
              <w:t>33</w:t>
            </w:r>
          </w:p>
        </w:tc>
        <w:tc>
          <w:tcPr>
            <w:tcW w:w="729" w:type="pct"/>
            <w:noWrap/>
            <w:vAlign w:val="center"/>
          </w:tcPr>
          <w:p w:rsidR="00830985" w:rsidRDefault="00830985" w:rsidP="00AA7190">
            <w:pPr>
              <w:spacing w:before="0" w:after="0" w:line="240" w:lineRule="auto"/>
              <w:jc w:val="center"/>
              <w:rPr>
                <w:rFonts w:cs="Arial"/>
                <w:szCs w:val="20"/>
              </w:rPr>
            </w:pPr>
            <w:r>
              <w:rPr>
                <w:rFonts w:cs="Arial"/>
                <w:szCs w:val="20"/>
              </w:rPr>
              <w:t>38</w:t>
            </w:r>
          </w:p>
        </w:tc>
        <w:tc>
          <w:tcPr>
            <w:tcW w:w="728" w:type="pct"/>
            <w:noWrap/>
            <w:vAlign w:val="center"/>
          </w:tcPr>
          <w:p w:rsidR="00830985" w:rsidRDefault="00830985" w:rsidP="00AA7190">
            <w:pPr>
              <w:spacing w:before="0" w:after="0" w:line="240" w:lineRule="auto"/>
              <w:jc w:val="center"/>
              <w:rPr>
                <w:rFonts w:cs="Arial"/>
                <w:szCs w:val="20"/>
              </w:rPr>
            </w:pPr>
            <w:r>
              <w:rPr>
                <w:rFonts w:cs="Arial"/>
                <w:szCs w:val="20"/>
              </w:rPr>
              <w:t>34</w:t>
            </w:r>
          </w:p>
        </w:tc>
        <w:tc>
          <w:tcPr>
            <w:tcW w:w="729" w:type="pct"/>
            <w:noWrap/>
            <w:vAlign w:val="center"/>
          </w:tcPr>
          <w:p w:rsidR="00830985" w:rsidRDefault="00830985" w:rsidP="00AA7190">
            <w:pPr>
              <w:spacing w:before="0" w:after="0" w:line="240" w:lineRule="auto"/>
              <w:jc w:val="center"/>
              <w:rPr>
                <w:rFonts w:cs="Arial"/>
                <w:szCs w:val="20"/>
              </w:rPr>
            </w:pPr>
            <w:r>
              <w:rPr>
                <w:rFonts w:cs="Arial"/>
                <w:szCs w:val="20"/>
              </w:rPr>
              <w:t>42</w:t>
            </w:r>
          </w:p>
        </w:tc>
        <w:tc>
          <w:tcPr>
            <w:tcW w:w="729" w:type="pct"/>
            <w:noWrap/>
            <w:vAlign w:val="center"/>
          </w:tcPr>
          <w:p w:rsidR="00830985" w:rsidRDefault="00830985" w:rsidP="00AA7190">
            <w:pPr>
              <w:spacing w:before="0" w:after="0" w:line="240" w:lineRule="auto"/>
              <w:jc w:val="center"/>
              <w:rPr>
                <w:rFonts w:cs="Arial"/>
                <w:szCs w:val="20"/>
              </w:rPr>
            </w:pPr>
            <w:r>
              <w:rPr>
                <w:rFonts w:cs="Arial"/>
                <w:szCs w:val="20"/>
              </w:rPr>
              <w:t>37</w:t>
            </w:r>
          </w:p>
        </w:tc>
      </w:tr>
      <w:tr w:rsidR="00830985" w:rsidRPr="00E35AE8" w:rsidTr="00AA7190">
        <w:trPr>
          <w:trHeight w:hRule="exact" w:val="340"/>
        </w:trPr>
        <w:tc>
          <w:tcPr>
            <w:tcW w:w="1357" w:type="pct"/>
            <w:noWrap/>
            <w:vAlign w:val="center"/>
            <w:hideMark/>
          </w:tcPr>
          <w:p w:rsidR="00830985" w:rsidRPr="00B65CAC" w:rsidRDefault="00830985"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830985" w:rsidRDefault="00830985" w:rsidP="00AA7190">
            <w:pPr>
              <w:spacing w:before="0" w:after="0" w:line="240" w:lineRule="auto"/>
              <w:jc w:val="center"/>
              <w:rPr>
                <w:rFonts w:cs="Arial"/>
                <w:sz w:val="20"/>
                <w:szCs w:val="20"/>
              </w:rPr>
            </w:pPr>
            <w:r>
              <w:rPr>
                <w:rFonts w:cs="Arial"/>
                <w:sz w:val="20"/>
                <w:szCs w:val="20"/>
              </w:rPr>
              <w:t>44</w:t>
            </w:r>
          </w:p>
        </w:tc>
        <w:tc>
          <w:tcPr>
            <w:tcW w:w="729" w:type="pct"/>
            <w:noWrap/>
            <w:vAlign w:val="center"/>
          </w:tcPr>
          <w:p w:rsidR="00830985" w:rsidRDefault="00830985" w:rsidP="00AA7190">
            <w:pPr>
              <w:spacing w:before="0" w:after="0" w:line="240" w:lineRule="auto"/>
              <w:jc w:val="center"/>
              <w:rPr>
                <w:rFonts w:cs="Arial"/>
                <w:sz w:val="20"/>
                <w:szCs w:val="20"/>
              </w:rPr>
            </w:pPr>
            <w:r>
              <w:rPr>
                <w:rFonts w:cs="Arial"/>
                <w:sz w:val="20"/>
                <w:szCs w:val="20"/>
              </w:rPr>
              <w:t>46</w:t>
            </w:r>
          </w:p>
        </w:tc>
        <w:tc>
          <w:tcPr>
            <w:tcW w:w="728" w:type="pct"/>
            <w:noWrap/>
            <w:vAlign w:val="center"/>
          </w:tcPr>
          <w:p w:rsidR="00830985" w:rsidRDefault="00830985" w:rsidP="00AA7190">
            <w:pPr>
              <w:spacing w:before="0" w:after="0" w:line="240" w:lineRule="auto"/>
              <w:jc w:val="center"/>
              <w:rPr>
                <w:rFonts w:cs="Arial"/>
                <w:sz w:val="20"/>
                <w:szCs w:val="20"/>
              </w:rPr>
            </w:pPr>
            <w:r>
              <w:rPr>
                <w:rFonts w:cs="Arial"/>
                <w:sz w:val="20"/>
                <w:szCs w:val="20"/>
              </w:rPr>
              <w:t>38</w:t>
            </w:r>
          </w:p>
        </w:tc>
        <w:tc>
          <w:tcPr>
            <w:tcW w:w="729" w:type="pct"/>
            <w:noWrap/>
            <w:vAlign w:val="center"/>
          </w:tcPr>
          <w:p w:rsidR="00830985" w:rsidRDefault="00830985" w:rsidP="00AA7190">
            <w:pPr>
              <w:spacing w:before="0" w:after="0" w:line="240" w:lineRule="auto"/>
              <w:jc w:val="center"/>
              <w:rPr>
                <w:rFonts w:cs="Arial"/>
                <w:sz w:val="20"/>
                <w:szCs w:val="20"/>
              </w:rPr>
            </w:pPr>
            <w:r>
              <w:rPr>
                <w:rFonts w:cs="Arial"/>
                <w:sz w:val="20"/>
                <w:szCs w:val="20"/>
              </w:rPr>
              <w:t>61</w:t>
            </w:r>
          </w:p>
        </w:tc>
        <w:tc>
          <w:tcPr>
            <w:tcW w:w="729" w:type="pct"/>
            <w:noWrap/>
            <w:vAlign w:val="center"/>
          </w:tcPr>
          <w:p w:rsidR="00830985" w:rsidRDefault="00830985" w:rsidP="00AA7190">
            <w:pPr>
              <w:spacing w:before="0" w:after="0" w:line="240" w:lineRule="auto"/>
              <w:jc w:val="center"/>
              <w:rPr>
                <w:rFonts w:cs="Arial"/>
                <w:sz w:val="20"/>
                <w:szCs w:val="20"/>
              </w:rPr>
            </w:pPr>
            <w:r>
              <w:rPr>
                <w:rFonts w:cs="Arial"/>
                <w:sz w:val="20"/>
                <w:szCs w:val="20"/>
              </w:rPr>
              <w:t>50</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 xml:space="preserve">ere </w:t>
      </w:r>
      <w:r w:rsidR="00830985">
        <w:rPr>
          <w:bCs/>
          <w:lang w:eastAsia="en-AU"/>
        </w:rPr>
        <w:t>113</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EE6F07" w:rsidRPr="00EE6F07">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lastRenderedPageBreak/>
        <w:t xml:space="preserve">Table </w:t>
      </w:r>
      <w:fldSimple w:instr=" SEQ Table \* ARABIC ">
        <w:r w:rsidR="00EE6F07">
          <w:rPr>
            <w:noProof/>
          </w:rPr>
          <w:t>2</w:t>
        </w:r>
      </w:fldSimple>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830985" w:rsidRPr="00003169" w:rsidTr="00936740">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830985" w:rsidRPr="00E35AE8" w:rsidRDefault="00830985" w:rsidP="006C62B7">
            <w:pPr>
              <w:spacing w:after="0" w:line="240" w:lineRule="auto"/>
              <w:rPr>
                <w:sz w:val="20"/>
                <w:szCs w:val="20"/>
              </w:rPr>
            </w:pPr>
            <w:r w:rsidRPr="00E35AE8">
              <w:rPr>
                <w:sz w:val="20"/>
                <w:szCs w:val="20"/>
              </w:rPr>
              <w:t>% of total above forecast</w:t>
            </w:r>
          </w:p>
        </w:tc>
        <w:tc>
          <w:tcPr>
            <w:tcW w:w="1571" w:type="dxa"/>
            <w:noWrap/>
            <w:vAlign w:val="center"/>
          </w:tcPr>
          <w:p w:rsidR="00830985" w:rsidRDefault="00830985" w:rsidP="00AA7190">
            <w:pPr>
              <w:spacing w:after="0" w:line="240" w:lineRule="auto"/>
              <w:jc w:val="center"/>
              <w:rPr>
                <w:rFonts w:cs="Arial"/>
                <w:sz w:val="20"/>
                <w:szCs w:val="20"/>
              </w:rPr>
            </w:pPr>
            <w:r>
              <w:rPr>
                <w:rFonts w:cs="Arial"/>
                <w:sz w:val="20"/>
                <w:szCs w:val="20"/>
              </w:rPr>
              <w:t>8</w:t>
            </w:r>
          </w:p>
        </w:tc>
        <w:tc>
          <w:tcPr>
            <w:tcW w:w="1572" w:type="dxa"/>
            <w:noWrap/>
            <w:vAlign w:val="center"/>
          </w:tcPr>
          <w:p w:rsidR="00830985" w:rsidRDefault="00830985" w:rsidP="00AA7190">
            <w:pPr>
              <w:spacing w:after="0" w:line="240" w:lineRule="auto"/>
              <w:jc w:val="center"/>
              <w:rPr>
                <w:rFonts w:cs="Arial"/>
                <w:sz w:val="20"/>
                <w:szCs w:val="20"/>
              </w:rPr>
            </w:pPr>
            <w:r>
              <w:rPr>
                <w:rFonts w:cs="Arial"/>
                <w:sz w:val="20"/>
                <w:szCs w:val="20"/>
              </w:rPr>
              <w:t>63</w:t>
            </w:r>
          </w:p>
        </w:tc>
        <w:tc>
          <w:tcPr>
            <w:tcW w:w="1572" w:type="dxa"/>
            <w:noWrap/>
            <w:vAlign w:val="center"/>
          </w:tcPr>
          <w:p w:rsidR="00830985" w:rsidRDefault="00830985" w:rsidP="00AA7190">
            <w:pPr>
              <w:spacing w:after="0" w:line="240" w:lineRule="auto"/>
              <w:jc w:val="center"/>
              <w:rPr>
                <w:rFonts w:cs="Arial"/>
                <w:sz w:val="20"/>
                <w:szCs w:val="20"/>
              </w:rPr>
            </w:pPr>
            <w:r>
              <w:rPr>
                <w:rFonts w:cs="Arial"/>
                <w:sz w:val="20"/>
                <w:szCs w:val="20"/>
              </w:rPr>
              <w:t>0</w:t>
            </w:r>
          </w:p>
        </w:tc>
        <w:tc>
          <w:tcPr>
            <w:tcW w:w="1572" w:type="dxa"/>
            <w:vAlign w:val="center"/>
          </w:tcPr>
          <w:p w:rsidR="00830985" w:rsidRDefault="00830985" w:rsidP="00AA7190">
            <w:pPr>
              <w:spacing w:after="0" w:line="240" w:lineRule="auto"/>
              <w:jc w:val="center"/>
              <w:rPr>
                <w:rFonts w:cs="Arial"/>
                <w:sz w:val="20"/>
                <w:szCs w:val="20"/>
              </w:rPr>
            </w:pPr>
            <w:r>
              <w:rPr>
                <w:rFonts w:cs="Arial"/>
                <w:sz w:val="20"/>
                <w:szCs w:val="20"/>
              </w:rPr>
              <w:t>0</w:t>
            </w:r>
          </w:p>
        </w:tc>
      </w:tr>
      <w:tr w:rsidR="00830985" w:rsidRPr="00003169" w:rsidTr="00936740">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830985" w:rsidRPr="00E35AE8" w:rsidRDefault="00830985" w:rsidP="006C62B7">
            <w:pPr>
              <w:spacing w:after="0" w:line="240" w:lineRule="auto"/>
              <w:rPr>
                <w:sz w:val="20"/>
                <w:szCs w:val="20"/>
              </w:rPr>
            </w:pPr>
            <w:r w:rsidRPr="00E35AE8">
              <w:rPr>
                <w:sz w:val="20"/>
                <w:szCs w:val="20"/>
              </w:rPr>
              <w:t>% of total below forecast</w:t>
            </w:r>
          </w:p>
        </w:tc>
        <w:tc>
          <w:tcPr>
            <w:tcW w:w="1571" w:type="dxa"/>
            <w:noWrap/>
            <w:vAlign w:val="center"/>
          </w:tcPr>
          <w:p w:rsidR="00830985" w:rsidRDefault="00830985" w:rsidP="00AA7190">
            <w:pPr>
              <w:spacing w:after="0" w:line="240" w:lineRule="auto"/>
              <w:jc w:val="center"/>
              <w:rPr>
                <w:rFonts w:cs="Arial"/>
                <w:sz w:val="20"/>
                <w:szCs w:val="20"/>
              </w:rPr>
            </w:pPr>
            <w:r>
              <w:rPr>
                <w:rFonts w:cs="Arial"/>
                <w:sz w:val="20"/>
                <w:szCs w:val="20"/>
              </w:rPr>
              <w:t>27</w:t>
            </w:r>
          </w:p>
        </w:tc>
        <w:tc>
          <w:tcPr>
            <w:tcW w:w="1572" w:type="dxa"/>
            <w:noWrap/>
            <w:vAlign w:val="center"/>
          </w:tcPr>
          <w:p w:rsidR="00830985" w:rsidRDefault="00830985" w:rsidP="00AA7190">
            <w:pPr>
              <w:spacing w:after="0" w:line="240" w:lineRule="auto"/>
              <w:jc w:val="center"/>
              <w:rPr>
                <w:rFonts w:cs="Arial"/>
                <w:sz w:val="20"/>
                <w:szCs w:val="20"/>
              </w:rPr>
            </w:pPr>
            <w:r>
              <w:rPr>
                <w:rFonts w:cs="Arial"/>
                <w:sz w:val="20"/>
                <w:szCs w:val="20"/>
              </w:rPr>
              <w:t>2</w:t>
            </w:r>
          </w:p>
        </w:tc>
        <w:tc>
          <w:tcPr>
            <w:tcW w:w="1572" w:type="dxa"/>
            <w:noWrap/>
            <w:vAlign w:val="center"/>
          </w:tcPr>
          <w:p w:rsidR="00830985" w:rsidRDefault="00830985" w:rsidP="00AA7190">
            <w:pPr>
              <w:spacing w:after="0" w:line="240" w:lineRule="auto"/>
              <w:jc w:val="center"/>
              <w:rPr>
                <w:rFonts w:cs="Arial"/>
                <w:sz w:val="20"/>
                <w:szCs w:val="20"/>
              </w:rPr>
            </w:pPr>
            <w:r>
              <w:rPr>
                <w:rFonts w:cs="Arial"/>
                <w:sz w:val="20"/>
                <w:szCs w:val="20"/>
              </w:rPr>
              <w:t>0</w:t>
            </w:r>
          </w:p>
        </w:tc>
        <w:tc>
          <w:tcPr>
            <w:tcW w:w="1572" w:type="dxa"/>
            <w:vAlign w:val="center"/>
          </w:tcPr>
          <w:p w:rsidR="00830985" w:rsidRDefault="00830985" w:rsidP="00AA7190">
            <w:pPr>
              <w:spacing w:after="0" w:line="240" w:lineRule="auto"/>
              <w:jc w:val="center"/>
              <w:rPr>
                <w:rFonts w:cs="Arial"/>
                <w:sz w:val="20"/>
                <w:szCs w:val="20"/>
              </w:rPr>
            </w:pPr>
            <w:r>
              <w:rPr>
                <w:rFonts w:cs="Arial"/>
                <w:sz w:val="20"/>
                <w:szCs w:val="20"/>
              </w:rPr>
              <w:t>0</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EE6F07" w:rsidRPr="00EE6F07">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EE6F07">
        <w:t xml:space="preserve">Figure </w:t>
      </w:r>
      <w:r w:rsidR="00EE6F07">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EE6F07">
          <w:rPr>
            <w:noProof/>
          </w:rPr>
          <w:t>3</w:t>
        </w:r>
      </w:fldSimple>
      <w:bookmarkEnd w:id="13"/>
      <w:r>
        <w:t xml:space="preserve">: Queensland </w:t>
      </w:r>
      <w:r w:rsidRPr="00690328">
        <w:t>generation and bidding patterns</w:t>
      </w:r>
    </w:p>
    <w:p w:rsidR="00FB265D" w:rsidRPr="00FB265D" w:rsidRDefault="00830985" w:rsidP="00FB265D">
      <w:r w:rsidRPr="00830985">
        <w:rPr>
          <w:noProof/>
          <w:lang w:eastAsia="en-AU"/>
        </w:rPr>
        <w:drawing>
          <wp:inline distT="0" distB="0" distL="0" distR="0" wp14:anchorId="4C6B0833" wp14:editId="41266432">
            <wp:extent cx="5731510" cy="4115071"/>
            <wp:effectExtent l="0" t="0" r="2540" b="0"/>
            <wp:docPr id="11" name="Picture 11"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936740" w:rsidRPr="00181C46" w:rsidRDefault="00936740" w:rsidP="00936740">
      <w:r>
        <w:t xml:space="preserve">The red ellipse on </w:t>
      </w:r>
      <w:r>
        <w:fldChar w:fldCharType="begin"/>
      </w:r>
      <w:r>
        <w:instrText xml:space="preserve"> REF _Ref428273135 \h </w:instrText>
      </w:r>
      <w:r>
        <w:fldChar w:fldCharType="separate"/>
      </w:r>
      <w:r w:rsidR="00EE6F07">
        <w:t xml:space="preserve">Figure </w:t>
      </w:r>
      <w:r w:rsidR="00EE6F07">
        <w:rPr>
          <w:noProof/>
        </w:rPr>
        <w:t>4</w:t>
      </w:r>
      <w:r>
        <w:fldChar w:fldCharType="end"/>
      </w:r>
      <w:r>
        <w:t>, following, highlight</w:t>
      </w:r>
      <w:r w:rsidR="00BA0349">
        <w:t>s</w:t>
      </w:r>
      <w:r>
        <w:t xml:space="preserve"> periods where high prices occurred in New</w:t>
      </w:r>
      <w:r w:rsidR="00BA0349">
        <w:t> </w:t>
      </w:r>
      <w:r>
        <w:t>South Wales. Demand on these days was high and, as can be seen from the figure, there was limited capacity available between low prices and prices greater than $5000/MWh.</w:t>
      </w:r>
    </w:p>
    <w:p w:rsidR="00275002" w:rsidRDefault="00275002" w:rsidP="00275002"/>
    <w:p w:rsidR="00275002" w:rsidRDefault="00275002" w:rsidP="000E2946">
      <w:pPr>
        <w:pStyle w:val="Caption"/>
      </w:pPr>
      <w:bookmarkStart w:id="14" w:name="_Ref428273135"/>
      <w:r>
        <w:lastRenderedPageBreak/>
        <w:t xml:space="preserve">Figure </w:t>
      </w:r>
      <w:fldSimple w:instr=" SEQ Figure \* ARABIC ">
        <w:r w:rsidR="00EE6F07">
          <w:rPr>
            <w:noProof/>
          </w:rPr>
          <w:t>4</w:t>
        </w:r>
      </w:fldSimple>
      <w:bookmarkEnd w:id="14"/>
      <w:r>
        <w:t xml:space="preserve">: </w:t>
      </w:r>
      <w:r w:rsidRPr="00CC5077">
        <w:t>New South Wales generation and bidding patterns</w:t>
      </w:r>
    </w:p>
    <w:p w:rsidR="00181C46" w:rsidRDefault="00A86493" w:rsidP="00181C46">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3596640</wp:posOffset>
                </wp:positionH>
                <wp:positionV relativeFrom="paragraph">
                  <wp:posOffset>494030</wp:posOffset>
                </wp:positionV>
                <wp:extent cx="670560" cy="1645920"/>
                <wp:effectExtent l="0" t="0" r="15240" b="11430"/>
                <wp:wrapNone/>
                <wp:docPr id="6" name="Oval 6"/>
                <wp:cNvGraphicFramePr/>
                <a:graphic xmlns:a="http://schemas.openxmlformats.org/drawingml/2006/main">
                  <a:graphicData uri="http://schemas.microsoft.com/office/word/2010/wordprocessingShape">
                    <wps:wsp>
                      <wps:cNvSpPr/>
                      <wps:spPr>
                        <a:xfrm>
                          <a:off x="0" y="0"/>
                          <a:ext cx="670560" cy="1645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283.2pt;margin-top:38.9pt;width:52.8pt;height:129.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" filled="f" strokecolor="red" strokeweight="2pt"/>
            </w:pict>
          </mc:Fallback>
        </mc:AlternateContent>
      </w:r>
      <w:r w:rsidR="00830985" w:rsidRPr="00830985">
        <w:rPr>
          <w:noProof/>
          <w:lang w:eastAsia="en-AU"/>
        </w:rPr>
        <w:drawing>
          <wp:inline distT="0" distB="0" distL="0" distR="0" wp14:anchorId="78DE9991" wp14:editId="0EB653DA">
            <wp:extent cx="5734111" cy="4023360"/>
            <wp:effectExtent l="0" t="0" r="0" b="0"/>
            <wp:docPr id="12" name="Picture 12"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021535"/>
                    </a:xfrm>
                    <a:prstGeom prst="rect">
                      <a:avLst/>
                    </a:prstGeom>
                    <a:noFill/>
                    <a:ln>
                      <a:noFill/>
                    </a:ln>
                  </pic:spPr>
                </pic:pic>
              </a:graphicData>
            </a:graphic>
          </wp:inline>
        </w:drawing>
      </w:r>
    </w:p>
    <w:p w:rsidR="00A86493" w:rsidRPr="00181C46" w:rsidRDefault="00A86493" w:rsidP="00A86493">
      <w:r>
        <w:t xml:space="preserve">The red ellipse on </w:t>
      </w:r>
      <w:r>
        <w:fldChar w:fldCharType="begin"/>
      </w:r>
      <w:r>
        <w:instrText xml:space="preserve"> REF _Ref437936792 \h </w:instrText>
      </w:r>
      <w:r>
        <w:fldChar w:fldCharType="separate"/>
      </w:r>
      <w:r w:rsidR="00EE6F07">
        <w:t xml:space="preserve">Figure </w:t>
      </w:r>
      <w:r w:rsidR="00EE6F07">
        <w:rPr>
          <w:noProof/>
        </w:rPr>
        <w:t>5</w:t>
      </w:r>
      <w:r>
        <w:fldChar w:fldCharType="end"/>
      </w:r>
      <w:r>
        <w:t>, following, corresponds to the periods where high prices occurred in New South Wales but where the Victorian generators shifted capacity into prices between $100/MWh and $500/MWh.</w:t>
      </w:r>
      <w:r w:rsidRPr="00A86493">
        <w:rPr>
          <w:noProof/>
          <w:lang w:eastAsia="en-AU"/>
        </w:rPr>
        <w:t xml:space="preserve"> </w:t>
      </w:r>
    </w:p>
    <w:p w:rsidR="00275002" w:rsidRDefault="00275002" w:rsidP="000E2946">
      <w:pPr>
        <w:pStyle w:val="Caption"/>
      </w:pPr>
      <w:bookmarkStart w:id="15" w:name="_Ref437936792"/>
      <w:r>
        <w:t xml:space="preserve">Figure </w:t>
      </w:r>
      <w:fldSimple w:instr=" SEQ Figure \* ARABIC ">
        <w:r w:rsidR="00EE6F07">
          <w:rPr>
            <w:noProof/>
          </w:rPr>
          <w:t>5</w:t>
        </w:r>
      </w:fldSimple>
      <w:bookmarkEnd w:id="15"/>
      <w:r w:rsidRPr="0003635A">
        <w:t>: Victoria generation and bidding patterns</w:t>
      </w:r>
    </w:p>
    <w:p w:rsidR="00FB265D" w:rsidRPr="00FB265D" w:rsidRDefault="00A86493" w:rsidP="00FB265D">
      <w:r>
        <w:rPr>
          <w:noProof/>
          <w:lang w:eastAsia="en-AU"/>
        </w:rPr>
        <mc:AlternateContent>
          <mc:Choice Requires="wps">
            <w:drawing>
              <wp:anchor distT="0" distB="0" distL="114300" distR="114300" simplePos="0" relativeHeight="251674624" behindDoc="0" locked="0" layoutInCell="1" allowOverlap="1" wp14:anchorId="482CC42D" wp14:editId="786ECD02">
                <wp:simplePos x="0" y="0"/>
                <wp:positionH relativeFrom="column">
                  <wp:posOffset>3596640</wp:posOffset>
                </wp:positionH>
                <wp:positionV relativeFrom="paragraph">
                  <wp:posOffset>572770</wp:posOffset>
                </wp:positionV>
                <wp:extent cx="670560" cy="1645920"/>
                <wp:effectExtent l="0" t="0" r="15240" b="11430"/>
                <wp:wrapNone/>
                <wp:docPr id="7" name="Oval 7"/>
                <wp:cNvGraphicFramePr/>
                <a:graphic xmlns:a="http://schemas.openxmlformats.org/drawingml/2006/main">
                  <a:graphicData uri="http://schemas.microsoft.com/office/word/2010/wordprocessingShape">
                    <wps:wsp>
                      <wps:cNvSpPr/>
                      <wps:spPr>
                        <a:xfrm>
                          <a:off x="0" y="0"/>
                          <a:ext cx="670560" cy="1645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283.2pt;margin-top:45.1pt;width:52.8pt;height:12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" filled="f" strokecolor="red" strokeweight="2pt"/>
            </w:pict>
          </mc:Fallback>
        </mc:AlternateContent>
      </w:r>
      <w:r w:rsidR="00830985" w:rsidRPr="00830985">
        <w:rPr>
          <w:noProof/>
          <w:lang w:eastAsia="en-AU"/>
        </w:rPr>
        <w:drawing>
          <wp:inline distT="0" distB="0" distL="0" distR="0" wp14:anchorId="03BB958F" wp14:editId="4E654DBD">
            <wp:extent cx="5731133" cy="3756660"/>
            <wp:effectExtent l="0" t="0" r="3175" b="0"/>
            <wp:docPr id="13" name="Picture 13"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756907"/>
                    </a:xfrm>
                    <a:prstGeom prst="rect">
                      <a:avLst/>
                    </a:prstGeom>
                    <a:noFill/>
                    <a:ln>
                      <a:noFill/>
                    </a:ln>
                  </pic:spPr>
                </pic:pic>
              </a:graphicData>
            </a:graphic>
          </wp:inline>
        </w:drawing>
      </w:r>
    </w:p>
    <w:p w:rsidR="00181C46" w:rsidRPr="00181C46" w:rsidRDefault="00181C46" w:rsidP="00181C46"/>
    <w:p w:rsidR="00275002" w:rsidRDefault="00275002" w:rsidP="00966015">
      <w:pPr>
        <w:pStyle w:val="Caption"/>
        <w:spacing w:before="0" w:after="0" w:line="240" w:lineRule="auto"/>
      </w:pPr>
      <w:bookmarkStart w:id="16" w:name="_Ref423965683"/>
      <w:r>
        <w:t xml:space="preserve">Figure </w:t>
      </w:r>
      <w:fldSimple w:instr=" SEQ Figure \* ARABIC ">
        <w:r w:rsidR="00EE6F07">
          <w:rPr>
            <w:noProof/>
          </w:rPr>
          <w:t>6</w:t>
        </w:r>
      </w:fldSimple>
      <w:bookmarkEnd w:id="16"/>
      <w:r>
        <w:t>:</w:t>
      </w:r>
      <w:r w:rsidRPr="00BD00EB">
        <w:t xml:space="preserve"> South Australia generation and bidding patterns</w:t>
      </w:r>
    </w:p>
    <w:p w:rsidR="00F019C5" w:rsidRDefault="00830985" w:rsidP="00966015">
      <w:pPr>
        <w:spacing w:before="0" w:line="240" w:lineRule="auto"/>
      </w:pPr>
      <w:bookmarkStart w:id="17" w:name="_Ref410383520"/>
      <w:r w:rsidRPr="00830985">
        <w:rPr>
          <w:noProof/>
          <w:lang w:eastAsia="en-AU"/>
        </w:rPr>
        <w:drawing>
          <wp:inline distT="0" distB="0" distL="0" distR="0" wp14:anchorId="126EE906" wp14:editId="43EE3690">
            <wp:extent cx="5731510" cy="4124493"/>
            <wp:effectExtent l="0" t="0" r="2540" b="9525"/>
            <wp:docPr id="14" name="Picture 14"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966015" w:rsidRDefault="00966015" w:rsidP="00966015">
      <w:pPr>
        <w:spacing w:before="0" w:line="240" w:lineRule="auto"/>
      </w:pPr>
    </w:p>
    <w:p w:rsidR="00275002" w:rsidRDefault="00275002" w:rsidP="00966015">
      <w:pPr>
        <w:pStyle w:val="Caption"/>
        <w:spacing w:before="0" w:after="0" w:line="240" w:lineRule="auto"/>
      </w:pPr>
      <w:bookmarkStart w:id="18" w:name="_Ref433287168"/>
      <w:r>
        <w:t xml:space="preserve">Figure </w:t>
      </w:r>
      <w:fldSimple w:instr=" SEQ Figure \* ARABIC ">
        <w:r w:rsidR="00EE6F07">
          <w:rPr>
            <w:noProof/>
          </w:rPr>
          <w:t>7</w:t>
        </w:r>
      </w:fldSimple>
      <w:bookmarkEnd w:id="17"/>
      <w:bookmarkEnd w:id="18"/>
      <w:r>
        <w:t xml:space="preserve">: </w:t>
      </w:r>
      <w:r w:rsidRPr="008837C4">
        <w:t>Tasmania generation and bidding patterns</w:t>
      </w:r>
    </w:p>
    <w:p w:rsidR="00181C46" w:rsidRDefault="00966015" w:rsidP="00966015">
      <w:pPr>
        <w:spacing w:before="0" w:line="240" w:lineRule="auto"/>
      </w:pPr>
      <w:r>
        <w:rPr>
          <w:noProof/>
          <w:lang w:eastAsia="en-AU"/>
        </w:rPr>
        <mc:AlternateContent>
          <mc:Choice Requires="wps">
            <w:drawing>
              <wp:anchor distT="0" distB="0" distL="114300" distR="114300" simplePos="0" relativeHeight="251671552" behindDoc="0" locked="0" layoutInCell="1" allowOverlap="1" wp14:anchorId="7F3FCFB7" wp14:editId="4E10ACDF">
                <wp:simplePos x="0" y="0"/>
                <wp:positionH relativeFrom="column">
                  <wp:posOffset>3154680</wp:posOffset>
                </wp:positionH>
                <wp:positionV relativeFrom="paragraph">
                  <wp:posOffset>1325880</wp:posOffset>
                </wp:positionV>
                <wp:extent cx="236220" cy="990600"/>
                <wp:effectExtent l="0" t="0" r="11430" b="19050"/>
                <wp:wrapNone/>
                <wp:docPr id="5" name="Oval 5"/>
                <wp:cNvGraphicFramePr/>
                <a:graphic xmlns:a="http://schemas.openxmlformats.org/drawingml/2006/main">
                  <a:graphicData uri="http://schemas.microsoft.com/office/word/2010/wordprocessingShape">
                    <wps:wsp>
                      <wps:cNvSpPr/>
                      <wps:spPr>
                        <a:xfrm>
                          <a:off x="0" y="0"/>
                          <a:ext cx="236220" cy="9906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248.4pt;margin-top:104.4pt;width:18.6pt;height:7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" filled="f" strokecolor="red" strokeweight="2pt"/>
            </w:pict>
          </mc:Fallback>
        </mc:AlternateContent>
      </w:r>
      <w:r>
        <w:rPr>
          <w:noProof/>
          <w:lang w:eastAsia="en-AU"/>
        </w:rPr>
        <mc:AlternateContent>
          <mc:Choice Requires="wps">
            <w:drawing>
              <wp:anchor distT="0" distB="0" distL="114300" distR="114300" simplePos="0" relativeHeight="251669504" behindDoc="0" locked="0" layoutInCell="1" allowOverlap="1" wp14:anchorId="70C4B78F" wp14:editId="45C2CCE7">
                <wp:simplePos x="0" y="0"/>
                <wp:positionH relativeFrom="column">
                  <wp:posOffset>2606040</wp:posOffset>
                </wp:positionH>
                <wp:positionV relativeFrom="paragraph">
                  <wp:posOffset>1440180</wp:posOffset>
                </wp:positionV>
                <wp:extent cx="236220" cy="990600"/>
                <wp:effectExtent l="0" t="0" r="11430" b="19050"/>
                <wp:wrapNone/>
                <wp:docPr id="4" name="Oval 4"/>
                <wp:cNvGraphicFramePr/>
                <a:graphic xmlns:a="http://schemas.openxmlformats.org/drawingml/2006/main">
                  <a:graphicData uri="http://schemas.microsoft.com/office/word/2010/wordprocessingShape">
                    <wps:wsp>
                      <wps:cNvSpPr/>
                      <wps:spPr>
                        <a:xfrm>
                          <a:off x="0" y="0"/>
                          <a:ext cx="236220" cy="9906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205.2pt;margin-top:113.4pt;width:18.6pt;height: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" filled="f" strokecolor="red" strokeweight="2pt"/>
            </w:pict>
          </mc:Fallback>
        </mc:AlternateContent>
      </w:r>
      <w:r>
        <w:rPr>
          <w:noProof/>
          <w:lang w:eastAsia="en-AU"/>
        </w:rPr>
        <mc:AlternateContent>
          <mc:Choice Requires="wps">
            <w:drawing>
              <wp:anchor distT="0" distB="0" distL="114300" distR="114300" simplePos="0" relativeHeight="251667456" behindDoc="0" locked="0" layoutInCell="1" allowOverlap="1" wp14:anchorId="5D3B9F98" wp14:editId="536676B7">
                <wp:simplePos x="0" y="0"/>
                <wp:positionH relativeFrom="column">
                  <wp:posOffset>2080260</wp:posOffset>
                </wp:positionH>
                <wp:positionV relativeFrom="paragraph">
                  <wp:posOffset>1325880</wp:posOffset>
                </wp:positionV>
                <wp:extent cx="236220" cy="990600"/>
                <wp:effectExtent l="0" t="0" r="11430" b="19050"/>
                <wp:wrapNone/>
                <wp:docPr id="3" name="Oval 3"/>
                <wp:cNvGraphicFramePr/>
                <a:graphic xmlns:a="http://schemas.openxmlformats.org/drawingml/2006/main">
                  <a:graphicData uri="http://schemas.microsoft.com/office/word/2010/wordprocessingShape">
                    <wps:wsp>
                      <wps:cNvSpPr/>
                      <wps:spPr>
                        <a:xfrm>
                          <a:off x="0" y="0"/>
                          <a:ext cx="236220" cy="9906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63.8pt;margin-top:104.4pt;width:18.6pt;height:7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" filled="f" strokecolor="red" strokeweight="2pt"/>
            </w:pict>
          </mc:Fallback>
        </mc:AlternateContent>
      </w:r>
      <w:r w:rsidR="00830985" w:rsidRPr="00830985">
        <w:rPr>
          <w:noProof/>
          <w:lang w:eastAsia="en-AU"/>
        </w:rPr>
        <w:drawing>
          <wp:inline distT="0" distB="0" distL="0" distR="0" wp14:anchorId="1CE524EC" wp14:editId="1DC62E6E">
            <wp:extent cx="5731510" cy="4115071"/>
            <wp:effectExtent l="0" t="0" r="2540" b="0"/>
            <wp:docPr id="15" name="Picture 15"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A86493" w:rsidRDefault="00A86493" w:rsidP="00966015">
      <w:pPr>
        <w:spacing w:before="0" w:line="240" w:lineRule="auto"/>
      </w:pPr>
    </w:p>
    <w:p w:rsidR="00966015" w:rsidRPr="0067180B" w:rsidRDefault="00966015" w:rsidP="00966015">
      <w:pPr>
        <w:pStyle w:val="AERbodytext"/>
      </w:pPr>
      <w:r>
        <w:t xml:space="preserve">The red ellipses </w:t>
      </w:r>
      <w:r w:rsidR="00A86493">
        <w:t xml:space="preserve">on </w:t>
      </w:r>
      <w:r w:rsidR="00A86493">
        <w:fldChar w:fldCharType="begin"/>
      </w:r>
      <w:r w:rsidR="00A86493">
        <w:instrText xml:space="preserve"> REF _Ref433287168 \h </w:instrText>
      </w:r>
      <w:r w:rsidR="00A86493">
        <w:fldChar w:fldCharType="separate"/>
      </w:r>
      <w:r w:rsidR="00EE6F07">
        <w:t xml:space="preserve">Figure </w:t>
      </w:r>
      <w:r w:rsidR="00EE6F07">
        <w:rPr>
          <w:noProof/>
        </w:rPr>
        <w:t>7</w:t>
      </w:r>
      <w:r w:rsidR="00A86493">
        <w:fldChar w:fldCharType="end"/>
      </w:r>
      <w:r w:rsidR="00A86493">
        <w:t xml:space="preserve"> </w:t>
      </w:r>
      <w:r>
        <w:t>show where Hydro Tasmania rebid resulting in the prices detailed in the “</w:t>
      </w:r>
      <w:r w:rsidRPr="0067180B">
        <w:t>Detailed market analysis of significant price events</w:t>
      </w:r>
      <w:r>
        <w:t>” section.</w:t>
      </w:r>
    </w:p>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19" w:name="_Ref410383413"/>
      <w:r w:rsidRPr="00B62BB5">
        <w:rPr>
          <w:bCs/>
          <w:lang w:eastAsia="en-AU"/>
        </w:rPr>
        <w:t>The total cost of FCAS on the</w:t>
      </w:r>
      <w:r w:rsidR="00AD3D69">
        <w:rPr>
          <w:bCs/>
          <w:lang w:eastAsia="en-AU"/>
        </w:rPr>
        <w:t xml:space="preserve"> mainland for the week was $</w:t>
      </w:r>
      <w:r w:rsidR="00830985">
        <w:rPr>
          <w:bCs/>
          <w:lang w:eastAsia="en-AU"/>
        </w:rPr>
        <w:t>196</w:t>
      </w:r>
      <w:r w:rsidR="00F167CF">
        <w:rPr>
          <w:bCs/>
          <w:lang w:eastAsia="en-AU"/>
        </w:rPr>
        <w:t> </w:t>
      </w:r>
      <w:r w:rsidR="006E218F">
        <w:rPr>
          <w:bCs/>
          <w:lang w:eastAsia="en-AU"/>
        </w:rPr>
        <w:t>000</w:t>
      </w:r>
      <w:r w:rsidRPr="00B62BB5">
        <w:rPr>
          <w:bCs/>
          <w:lang w:eastAsia="en-AU"/>
        </w:rPr>
        <w:t xml:space="preserve"> or </w:t>
      </w:r>
      <w:r w:rsidR="003D5258">
        <w:rPr>
          <w:bCs/>
          <w:lang w:eastAsia="en-AU"/>
        </w:rPr>
        <w:t>less than 1</w:t>
      </w:r>
      <w:r w:rsidRPr="00B62BB5">
        <w:rPr>
          <w:bCs/>
          <w:lang w:eastAsia="en-AU"/>
        </w:rPr>
        <w:t xml:space="preserve"> per cent of energy turnover on the mainland.</w:t>
      </w:r>
    </w:p>
    <w:p w:rsidR="00411897" w:rsidRPr="00215E19" w:rsidRDefault="00B62BB5" w:rsidP="00215E19">
      <w:pPr>
        <w:pStyle w:val="AERbodytext"/>
        <w:spacing w:before="120" w:after="120"/>
        <w:rPr>
          <w:bCs/>
          <w:lang w:eastAsia="en-AU"/>
        </w:rPr>
      </w:pPr>
      <w:r w:rsidRPr="00B62BB5">
        <w:rPr>
          <w:bCs/>
          <w:lang w:eastAsia="en-AU"/>
        </w:rPr>
        <w:t>The total cost of FCAS i</w:t>
      </w:r>
      <w:r w:rsidR="00AD3D69">
        <w:rPr>
          <w:bCs/>
          <w:lang w:eastAsia="en-AU"/>
        </w:rPr>
        <w:t>n Tasmania for the week was $</w:t>
      </w:r>
      <w:r w:rsidR="00830985">
        <w:rPr>
          <w:bCs/>
          <w:lang w:eastAsia="en-AU"/>
        </w:rPr>
        <w:t>170</w:t>
      </w:r>
      <w:r w:rsidR="00B64DF7">
        <w:rPr>
          <w:bCs/>
          <w:lang w:eastAsia="en-AU"/>
        </w:rPr>
        <w:t> </w:t>
      </w:r>
      <w:r w:rsidR="00000BFE">
        <w:rPr>
          <w:bCs/>
          <w:lang w:eastAsia="en-AU"/>
        </w:rPr>
        <w:t>5</w:t>
      </w:r>
      <w:r w:rsidRPr="00B62BB5">
        <w:rPr>
          <w:bCs/>
          <w:lang w:eastAsia="en-AU"/>
        </w:rPr>
        <w:t xml:space="preserve">00 or </w:t>
      </w:r>
      <w:r w:rsidR="00AA7190">
        <w:rPr>
          <w:bCs/>
          <w:lang w:eastAsia="en-AU"/>
        </w:rPr>
        <w:t>1</w:t>
      </w:r>
      <w:r w:rsidRPr="00B62BB5">
        <w:rPr>
          <w:bCs/>
          <w:lang w:eastAsia="en-AU"/>
        </w:rPr>
        <w:t xml:space="preserve">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EE6F07" w:rsidRPr="00EE6F07">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20" w:name="_Ref418082853"/>
      <w:r>
        <w:t xml:space="preserve">Figure </w:t>
      </w:r>
      <w:fldSimple w:instr=" SEQ Figure \* ARABIC ">
        <w:r w:rsidR="00EE6F07">
          <w:rPr>
            <w:noProof/>
          </w:rPr>
          <w:t>8</w:t>
        </w:r>
      </w:fldSimple>
      <w:bookmarkEnd w:id="19"/>
      <w:bookmarkEnd w:id="20"/>
      <w:r w:rsidRPr="007707C6">
        <w:t>: Daily frequency control ancillary service cost</w:t>
      </w:r>
    </w:p>
    <w:p w:rsidR="005A6CB0" w:rsidRDefault="00830985" w:rsidP="005A6CB0">
      <w:r w:rsidRPr="00830985">
        <w:rPr>
          <w:noProof/>
          <w:lang w:eastAsia="en-AU"/>
        </w:rPr>
        <w:drawing>
          <wp:inline distT="0" distB="0" distL="0" distR="0" wp14:anchorId="5549F6C9" wp14:editId="118D6C37">
            <wp:extent cx="5731510" cy="2893363"/>
            <wp:effectExtent l="0" t="0" r="2540" b="2540"/>
            <wp:docPr id="17" name="Picture 17"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F167CF" w:rsidRDefault="00F167CF" w:rsidP="005A6CB0"/>
    <w:p w:rsidR="00F167CF" w:rsidRDefault="00F167CF" w:rsidP="005A6CB0"/>
    <w:p w:rsidR="001D5BEB" w:rsidRDefault="001D5BEB" w:rsidP="005A6CB0"/>
    <w:p w:rsidR="00950B15" w:rsidRPr="0067180B" w:rsidRDefault="00950B15" w:rsidP="00950B15">
      <w:pPr>
        <w:pStyle w:val="AERHeading1"/>
        <w:keepNext/>
        <w:rPr>
          <w:rFonts w:cs="Arial"/>
        </w:rPr>
      </w:pPr>
      <w:r w:rsidRPr="0067180B">
        <w:rPr>
          <w:rFonts w:cs="Arial"/>
        </w:rPr>
        <w:lastRenderedPageBreak/>
        <w:t>Detailed market analysis of significant price events</w:t>
      </w:r>
    </w:p>
    <w:p w:rsidR="00950B15" w:rsidRDefault="00950B15" w:rsidP="00950B15">
      <w:pPr>
        <w:pStyle w:val="AERbodytext"/>
        <w:spacing w:before="120" w:after="120"/>
        <w:rPr>
          <w:bCs/>
          <w:lang w:eastAsia="en-AU"/>
        </w:rPr>
      </w:pPr>
      <w:r w:rsidRPr="0067180B">
        <w:rPr>
          <w:bCs/>
          <w:lang w:eastAsia="en-AU"/>
        </w:rPr>
        <w:t xml:space="preserve">We provide more detailed analysis of events where the spot price was greater than three times the weekly average price in a region and above $250/MWh or was below </w:t>
      </w:r>
      <w:r w:rsidRPr="0067180B">
        <w:rPr>
          <w:bCs/>
          <w:lang w:eastAsia="en-AU"/>
        </w:rPr>
        <w:noBreakHyphen/>
        <w:t xml:space="preserve">$100/MWh. </w:t>
      </w:r>
    </w:p>
    <w:p w:rsidR="00F74FC8" w:rsidRPr="0067180B" w:rsidRDefault="00F74FC8" w:rsidP="00F74FC8">
      <w:pPr>
        <w:pStyle w:val="AERHeading3"/>
      </w:pPr>
      <w:r w:rsidRPr="0067180B">
        <w:t>New South Wales</w:t>
      </w:r>
    </w:p>
    <w:p w:rsidR="00F74FC8" w:rsidRDefault="00F74FC8" w:rsidP="00F74FC8">
      <w:pPr>
        <w:pStyle w:val="AERHeading3"/>
        <w:rPr>
          <w:b w:val="0"/>
          <w:bCs w:val="0"/>
          <w:color w:val="auto"/>
          <w:sz w:val="22"/>
          <w:lang w:eastAsia="en-AU"/>
        </w:rPr>
      </w:pPr>
      <w:r w:rsidRPr="00855A23">
        <w:rPr>
          <w:b w:val="0"/>
          <w:bCs w:val="0"/>
          <w:color w:val="auto"/>
          <w:sz w:val="22"/>
          <w:lang w:eastAsia="en-AU"/>
        </w:rPr>
        <w:t xml:space="preserve">There was one occasion where the spot price in New South Wales was greater than three times the New South Wales weekly average price of $47/MWh and above $250/MWh. </w:t>
      </w:r>
    </w:p>
    <w:p w:rsidR="00F74FC8" w:rsidRPr="0067180B" w:rsidRDefault="00F74FC8" w:rsidP="00F74FC8">
      <w:pPr>
        <w:pStyle w:val="AERHeading3"/>
      </w:pPr>
      <w:r>
        <w:t>Thursday, 26</w:t>
      </w:r>
      <w:r w:rsidRPr="0067180B">
        <w:t xml:space="preserve"> November </w:t>
      </w:r>
    </w:p>
    <w:p w:rsidR="00F74FC8" w:rsidRPr="0067180B" w:rsidRDefault="00F74FC8" w:rsidP="00F74FC8">
      <w:pPr>
        <w:pStyle w:val="Caption"/>
      </w:pPr>
      <w:r>
        <w:t>Table 3</w:t>
      </w:r>
      <w:r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F74FC8" w:rsidRPr="0067180B" w:rsidTr="00C669A3">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F74FC8" w:rsidRPr="0067180B" w:rsidRDefault="00F74FC8" w:rsidP="00C669A3">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F74FC8" w:rsidRPr="0067180B" w:rsidRDefault="00F74FC8" w:rsidP="00C669A3">
            <w:pPr>
              <w:pStyle w:val="TableHeading"/>
              <w:jc w:val="center"/>
              <w:rPr>
                <w:rFonts w:cs="Arial"/>
                <w:sz w:val="20"/>
                <w:szCs w:val="20"/>
              </w:rPr>
            </w:pPr>
            <w:r w:rsidRPr="0067180B">
              <w:rPr>
                <w:rFonts w:cs="Arial"/>
                <w:sz w:val="20"/>
                <w:szCs w:val="20"/>
              </w:rPr>
              <w:t>Price ($/MWh)</w:t>
            </w:r>
          </w:p>
        </w:tc>
        <w:tc>
          <w:tcPr>
            <w:tcW w:w="1422" w:type="pct"/>
            <w:gridSpan w:val="3"/>
            <w:hideMark/>
          </w:tcPr>
          <w:p w:rsidR="00F74FC8" w:rsidRPr="0067180B" w:rsidRDefault="00F74FC8" w:rsidP="00C669A3">
            <w:pPr>
              <w:pStyle w:val="TableHeading"/>
              <w:jc w:val="center"/>
              <w:rPr>
                <w:rFonts w:cs="Arial"/>
                <w:sz w:val="20"/>
                <w:szCs w:val="20"/>
              </w:rPr>
            </w:pPr>
            <w:r w:rsidRPr="0067180B">
              <w:rPr>
                <w:rFonts w:cs="Arial"/>
                <w:sz w:val="20"/>
                <w:szCs w:val="20"/>
              </w:rPr>
              <w:t>Demand (MW)</w:t>
            </w:r>
          </w:p>
        </w:tc>
        <w:tc>
          <w:tcPr>
            <w:tcW w:w="1429" w:type="pct"/>
            <w:gridSpan w:val="3"/>
            <w:hideMark/>
          </w:tcPr>
          <w:p w:rsidR="00F74FC8" w:rsidRPr="0067180B" w:rsidRDefault="00F74FC8" w:rsidP="00C669A3">
            <w:pPr>
              <w:pStyle w:val="TableHeading"/>
              <w:jc w:val="center"/>
              <w:rPr>
                <w:rFonts w:cs="Arial"/>
                <w:sz w:val="20"/>
                <w:szCs w:val="20"/>
              </w:rPr>
            </w:pPr>
            <w:r w:rsidRPr="0067180B">
              <w:rPr>
                <w:rFonts w:cs="Arial"/>
                <w:sz w:val="20"/>
                <w:szCs w:val="20"/>
              </w:rPr>
              <w:t>Availability (MW)</w:t>
            </w:r>
          </w:p>
        </w:tc>
      </w:tr>
      <w:tr w:rsidR="00F74FC8" w:rsidRPr="0067180B" w:rsidTr="00C669A3">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F74FC8" w:rsidRPr="0067180B" w:rsidRDefault="00F74FC8" w:rsidP="00C669A3">
            <w:pPr>
              <w:pStyle w:val="tableheadingline2"/>
              <w:rPr>
                <w:rFonts w:cs="Arial"/>
                <w:sz w:val="20"/>
                <w:szCs w:val="20"/>
              </w:rPr>
            </w:pPr>
            <w:r w:rsidRPr="0067180B">
              <w:rPr>
                <w:rFonts w:cs="Arial"/>
                <w:sz w:val="20"/>
                <w:szCs w:val="20"/>
              </w:rPr>
              <w:t>12 hr forecast</w:t>
            </w:r>
          </w:p>
        </w:tc>
      </w:tr>
      <w:tr w:rsidR="00F74FC8" w:rsidRPr="0067180B" w:rsidTr="00C669A3">
        <w:trPr>
          <w:trHeight w:val="510"/>
        </w:trPr>
        <w:tc>
          <w:tcPr>
            <w:tcW w:w="533" w:type="pct"/>
            <w:vAlign w:val="center"/>
          </w:tcPr>
          <w:p w:rsidR="00F74FC8" w:rsidRPr="00A17C7C" w:rsidRDefault="00F74FC8" w:rsidP="00C669A3">
            <w:pPr>
              <w:pStyle w:val="NormalWeb"/>
              <w:jc w:val="center"/>
              <w:rPr>
                <w:rFonts w:asciiTheme="minorHAnsi" w:hAnsiTheme="minorHAnsi" w:cstheme="minorHAnsi"/>
                <w:sz w:val="18"/>
                <w:szCs w:val="18"/>
              </w:rPr>
            </w:pPr>
            <w:r>
              <w:rPr>
                <w:rFonts w:asciiTheme="minorHAnsi" w:hAnsiTheme="minorHAnsi" w:cstheme="minorHAnsi"/>
                <w:b/>
                <w:bCs/>
                <w:sz w:val="18"/>
                <w:szCs w:val="18"/>
              </w:rPr>
              <w:t>3</w:t>
            </w:r>
            <w:r w:rsidRPr="00A17C7C">
              <w:rPr>
                <w:rFonts w:asciiTheme="minorHAnsi" w:hAnsiTheme="minorHAnsi" w:cstheme="minorHAnsi"/>
                <w:b/>
                <w:bCs/>
                <w:sz w:val="18"/>
                <w:szCs w:val="18"/>
              </w:rPr>
              <w:t xml:space="preserve"> </w:t>
            </w:r>
            <w:r>
              <w:rPr>
                <w:rFonts w:asciiTheme="minorHAnsi" w:hAnsiTheme="minorHAnsi" w:cstheme="minorHAnsi"/>
                <w:b/>
                <w:bCs/>
                <w:sz w:val="18"/>
                <w:szCs w:val="18"/>
              </w:rPr>
              <w:t>pm</w:t>
            </w:r>
          </w:p>
        </w:tc>
        <w:tc>
          <w:tcPr>
            <w:tcW w:w="611"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264.15</w:t>
            </w:r>
          </w:p>
        </w:tc>
        <w:tc>
          <w:tcPr>
            <w:tcW w:w="502"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42.95</w:t>
            </w:r>
          </w:p>
        </w:tc>
        <w:tc>
          <w:tcPr>
            <w:tcW w:w="502"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47.14</w:t>
            </w:r>
          </w:p>
        </w:tc>
        <w:tc>
          <w:tcPr>
            <w:tcW w:w="418"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11 492</w:t>
            </w:r>
          </w:p>
        </w:tc>
        <w:tc>
          <w:tcPr>
            <w:tcW w:w="502"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11 031</w:t>
            </w:r>
          </w:p>
        </w:tc>
        <w:tc>
          <w:tcPr>
            <w:tcW w:w="502"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10 126</w:t>
            </w:r>
          </w:p>
        </w:tc>
        <w:tc>
          <w:tcPr>
            <w:tcW w:w="425"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13 087</w:t>
            </w:r>
          </w:p>
        </w:tc>
        <w:tc>
          <w:tcPr>
            <w:tcW w:w="502"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13 560</w:t>
            </w:r>
          </w:p>
        </w:tc>
        <w:tc>
          <w:tcPr>
            <w:tcW w:w="502" w:type="pct"/>
            <w:vAlign w:val="center"/>
          </w:tcPr>
          <w:p w:rsidR="00F74FC8" w:rsidRPr="00A17C7C" w:rsidRDefault="00F74FC8" w:rsidP="00C669A3">
            <w:pPr>
              <w:pStyle w:val="NormalWeb"/>
              <w:jc w:val="center"/>
              <w:rPr>
                <w:rFonts w:asciiTheme="minorHAnsi" w:hAnsiTheme="minorHAnsi" w:cstheme="minorHAnsi"/>
                <w:sz w:val="18"/>
              </w:rPr>
            </w:pPr>
            <w:r w:rsidRPr="00A17C7C">
              <w:rPr>
                <w:rFonts w:asciiTheme="minorHAnsi" w:hAnsiTheme="minorHAnsi" w:cstheme="minorHAnsi"/>
                <w:sz w:val="18"/>
                <w:szCs w:val="16"/>
              </w:rPr>
              <w:t>13 524</w:t>
            </w:r>
          </w:p>
        </w:tc>
      </w:tr>
    </w:tbl>
    <w:p w:rsidR="0010743A" w:rsidRDefault="0010743A" w:rsidP="00D541AC">
      <w:pPr>
        <w:pStyle w:val="AERbodytext"/>
      </w:pPr>
      <w:r>
        <w:t xml:space="preserve">Conditions at the time saw demand </w:t>
      </w:r>
      <w:r w:rsidR="00C95B7C">
        <w:t>361 MW</w:t>
      </w:r>
      <w:r>
        <w:t xml:space="preserve"> above forecast</w:t>
      </w:r>
      <w:r w:rsidR="00C95B7C">
        <w:t xml:space="preserve"> four hours ahead and 13</w:t>
      </w:r>
      <w:r w:rsidR="00317D33">
        <w:t>66 MW above that forecast 12 hours ahead.</w:t>
      </w:r>
      <w:r>
        <w:t xml:space="preserve"> </w:t>
      </w:r>
      <w:r w:rsidR="00317D33">
        <w:t>Available</w:t>
      </w:r>
      <w:r>
        <w:t xml:space="preserve"> capacity </w:t>
      </w:r>
      <w:r w:rsidR="00C95B7C">
        <w:t>463 MW</w:t>
      </w:r>
      <w:r>
        <w:t xml:space="preserve"> below forecast</w:t>
      </w:r>
      <w:r w:rsidR="00317D33">
        <w:t xml:space="preserve"> four hours ahead</w:t>
      </w:r>
      <w:r>
        <w:t>.</w:t>
      </w:r>
      <w:r w:rsidR="00EA05DF">
        <w:t xml:space="preserve"> Price</w:t>
      </w:r>
      <w:r w:rsidR="00970C3B">
        <w:t>s</w:t>
      </w:r>
      <w:r w:rsidR="00EA05DF">
        <w:t xml:space="preserve"> were aligned with those in Queensland.</w:t>
      </w:r>
    </w:p>
    <w:p w:rsidR="009E5B65" w:rsidRPr="0010743A" w:rsidRDefault="009E5B65" w:rsidP="009E5B65">
      <w:pPr>
        <w:pStyle w:val="AERHeading3"/>
        <w:jc w:val="both"/>
      </w:pPr>
      <w:r>
        <w:rPr>
          <w:b w:val="0"/>
          <w:color w:val="000000" w:themeColor="text1"/>
          <w:sz w:val="22"/>
        </w:rPr>
        <w:t>For the duration of the 3</w:t>
      </w:r>
      <w:r w:rsidR="00BA0349">
        <w:rPr>
          <w:b w:val="0"/>
          <w:color w:val="000000" w:themeColor="text1"/>
          <w:sz w:val="22"/>
        </w:rPr>
        <w:t> </w:t>
      </w:r>
      <w:bookmarkStart w:id="21" w:name="_GoBack"/>
      <w:bookmarkEnd w:id="21"/>
      <w:r>
        <w:rPr>
          <w:b w:val="0"/>
          <w:color w:val="000000" w:themeColor="text1"/>
          <w:sz w:val="22"/>
        </w:rPr>
        <w:t>pm trading interval</w:t>
      </w:r>
      <w:r w:rsidRPr="00F74FC8">
        <w:rPr>
          <w:b w:val="0"/>
          <w:color w:val="000000" w:themeColor="text1"/>
          <w:sz w:val="22"/>
        </w:rPr>
        <w:t xml:space="preserve"> a constraint managing the outage of the Dapto to Kangaroo Valley line saw a flow forced from New</w:t>
      </w:r>
      <w:r>
        <w:rPr>
          <w:b w:val="0"/>
          <w:color w:val="000000" w:themeColor="text1"/>
          <w:sz w:val="22"/>
        </w:rPr>
        <w:t> </w:t>
      </w:r>
      <w:r w:rsidRPr="00F74FC8">
        <w:rPr>
          <w:b w:val="0"/>
          <w:color w:val="000000" w:themeColor="text1"/>
          <w:sz w:val="22"/>
        </w:rPr>
        <w:t>South</w:t>
      </w:r>
      <w:r>
        <w:rPr>
          <w:b w:val="0"/>
          <w:color w:val="000000" w:themeColor="text1"/>
          <w:sz w:val="22"/>
        </w:rPr>
        <w:t> </w:t>
      </w:r>
      <w:r w:rsidRPr="00F74FC8">
        <w:rPr>
          <w:b w:val="0"/>
          <w:color w:val="000000" w:themeColor="text1"/>
          <w:sz w:val="22"/>
        </w:rPr>
        <w:t>Wales into Victoria across the Vic-NSW interconnector</w:t>
      </w:r>
      <w:r>
        <w:rPr>
          <w:b w:val="0"/>
          <w:color w:val="000000" w:themeColor="text1"/>
          <w:sz w:val="22"/>
        </w:rPr>
        <w:t xml:space="preserve"> from between 200 MW and 850 MW</w:t>
      </w:r>
      <w:r w:rsidRPr="00F74FC8">
        <w:rPr>
          <w:b w:val="0"/>
          <w:color w:val="000000" w:themeColor="text1"/>
          <w:sz w:val="22"/>
        </w:rPr>
        <w:t>. This constraint also constrained down low-priced generation in Southern New South Wales.</w:t>
      </w:r>
    </w:p>
    <w:p w:rsidR="00F74FC8" w:rsidRPr="00DB584A" w:rsidRDefault="00F74FC8" w:rsidP="00F74FC8">
      <w:pPr>
        <w:pStyle w:val="Caption"/>
      </w:pPr>
      <w:r>
        <w:t>Table 4</w:t>
      </w:r>
      <w:r w:rsidRPr="00DB584A">
        <w:t xml:space="preserve">: Rebids for the </w:t>
      </w:r>
      <w:r>
        <w:t>3</w:t>
      </w:r>
      <w:r w:rsidRPr="00DB584A">
        <w:t xml:space="preserve"> pm trading interval</w:t>
      </w:r>
    </w:p>
    <w:tbl>
      <w:tblPr>
        <w:tblStyle w:val="AERTable-Text"/>
        <w:tblW w:w="9471" w:type="dxa"/>
        <w:tblLook w:val="04A0" w:firstRow="1" w:lastRow="0" w:firstColumn="1" w:lastColumn="0" w:noHBand="0" w:noVBand="1"/>
      </w:tblPr>
      <w:tblGrid>
        <w:gridCol w:w="1027"/>
        <w:gridCol w:w="887"/>
        <w:gridCol w:w="1487"/>
        <w:gridCol w:w="1057"/>
        <w:gridCol w:w="917"/>
        <w:gridCol w:w="906"/>
        <w:gridCol w:w="906"/>
        <w:gridCol w:w="2284"/>
      </w:tblGrid>
      <w:tr w:rsidR="00F74FC8" w:rsidRPr="00DB584A" w:rsidTr="005A3226">
        <w:trPr>
          <w:cnfStyle w:val="100000000000" w:firstRow="1" w:lastRow="0" w:firstColumn="0" w:lastColumn="0" w:oddVBand="0" w:evenVBand="0" w:oddHBand="0" w:evenHBand="0" w:firstRowFirstColumn="0" w:firstRowLastColumn="0" w:lastRowFirstColumn="0" w:lastRowLastColumn="0"/>
          <w:trHeight w:val="210"/>
        </w:trPr>
        <w:tc>
          <w:tcPr>
            <w:tcW w:w="1027" w:type="dxa"/>
            <w:hideMark/>
          </w:tcPr>
          <w:p w:rsidR="00F74FC8" w:rsidRPr="00DB584A"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Submitted</w:t>
            </w:r>
            <w:r w:rsidRPr="00DB584A">
              <w:rPr>
                <w:rFonts w:eastAsia="Times New Roman" w:cs="Arial"/>
                <w:b w:val="0"/>
                <w:color w:val="FFFFFF"/>
                <w:sz w:val="18"/>
                <w:szCs w:val="18"/>
                <w:lang w:eastAsia="en-AU"/>
              </w:rPr>
              <w:br/>
              <w:t>time</w:t>
            </w:r>
          </w:p>
        </w:tc>
        <w:tc>
          <w:tcPr>
            <w:tcW w:w="887" w:type="dxa"/>
            <w:hideMark/>
          </w:tcPr>
          <w:p w:rsidR="00F74FC8" w:rsidRPr="00DB584A"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Time</w:t>
            </w:r>
            <w:r w:rsidRPr="00DB584A">
              <w:rPr>
                <w:rFonts w:eastAsia="Times New Roman" w:cs="Arial"/>
                <w:b w:val="0"/>
                <w:color w:val="FFFFFF"/>
                <w:sz w:val="18"/>
                <w:szCs w:val="18"/>
                <w:lang w:eastAsia="en-AU"/>
              </w:rPr>
              <w:br/>
              <w:t>effective</w:t>
            </w:r>
          </w:p>
        </w:tc>
        <w:tc>
          <w:tcPr>
            <w:tcW w:w="1487" w:type="dxa"/>
            <w:hideMark/>
          </w:tcPr>
          <w:p w:rsidR="00F74FC8" w:rsidRPr="00DB584A" w:rsidRDefault="00F74FC8" w:rsidP="00C669A3">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Participant</w:t>
            </w:r>
          </w:p>
        </w:tc>
        <w:tc>
          <w:tcPr>
            <w:tcW w:w="1057" w:type="dxa"/>
            <w:hideMark/>
          </w:tcPr>
          <w:p w:rsidR="00F74FC8" w:rsidRPr="00DB584A" w:rsidRDefault="00F74FC8" w:rsidP="00C669A3">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Station</w:t>
            </w:r>
          </w:p>
        </w:tc>
        <w:tc>
          <w:tcPr>
            <w:tcW w:w="917" w:type="dxa"/>
            <w:hideMark/>
          </w:tcPr>
          <w:p w:rsidR="00F74FC8" w:rsidRPr="00DB584A"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Capacity rebid</w:t>
            </w:r>
            <w:r w:rsidRPr="00DB584A">
              <w:rPr>
                <w:rFonts w:eastAsia="Times New Roman" w:cs="Arial"/>
                <w:b w:val="0"/>
                <w:color w:val="FFFFFF"/>
                <w:sz w:val="18"/>
                <w:szCs w:val="18"/>
                <w:lang w:eastAsia="en-AU"/>
              </w:rPr>
              <w:br/>
              <w:t>(MW)</w:t>
            </w:r>
          </w:p>
        </w:tc>
        <w:tc>
          <w:tcPr>
            <w:tcW w:w="906" w:type="dxa"/>
            <w:hideMark/>
          </w:tcPr>
          <w:p w:rsidR="00F74FC8" w:rsidRPr="00DB584A"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from</w:t>
            </w:r>
            <w:r w:rsidRPr="00DB584A">
              <w:rPr>
                <w:rFonts w:eastAsia="Times New Roman" w:cs="Arial"/>
                <w:b w:val="0"/>
                <w:color w:val="FFFFFF"/>
                <w:sz w:val="18"/>
                <w:szCs w:val="18"/>
                <w:lang w:eastAsia="en-AU"/>
              </w:rPr>
              <w:br/>
              <w:t>($/MWh)</w:t>
            </w:r>
          </w:p>
        </w:tc>
        <w:tc>
          <w:tcPr>
            <w:tcW w:w="906" w:type="dxa"/>
            <w:hideMark/>
          </w:tcPr>
          <w:p w:rsidR="00F74FC8" w:rsidRPr="00DB584A" w:rsidRDefault="00F74FC8"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to</w:t>
            </w:r>
            <w:r w:rsidRPr="00DB584A">
              <w:rPr>
                <w:rFonts w:eastAsia="Times New Roman" w:cs="Arial"/>
                <w:b w:val="0"/>
                <w:color w:val="FFFFFF"/>
                <w:sz w:val="18"/>
                <w:szCs w:val="18"/>
                <w:lang w:eastAsia="en-AU"/>
              </w:rPr>
              <w:br/>
              <w:t>($/MWh)</w:t>
            </w:r>
          </w:p>
        </w:tc>
        <w:tc>
          <w:tcPr>
            <w:tcW w:w="2284" w:type="dxa"/>
            <w:hideMark/>
          </w:tcPr>
          <w:p w:rsidR="00F74FC8" w:rsidRPr="00DB584A" w:rsidRDefault="00F74FC8" w:rsidP="00C669A3">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Rebid reason</w:t>
            </w:r>
          </w:p>
        </w:tc>
      </w:tr>
      <w:tr w:rsidR="00F74FC8" w:rsidRPr="00DB584A" w:rsidTr="005A3226">
        <w:trPr>
          <w:trHeight w:val="582"/>
        </w:trPr>
        <w:tc>
          <w:tcPr>
            <w:tcW w:w="1027" w:type="dxa"/>
          </w:tcPr>
          <w:p w:rsidR="00F74FC8" w:rsidRPr="00DB584A" w:rsidRDefault="00F74FC8" w:rsidP="00C669A3">
            <w:pPr>
              <w:spacing w:before="0" w:line="240" w:lineRule="auto"/>
              <w:textAlignment w:val="center"/>
              <w:rPr>
                <w:rFonts w:eastAsia="Times New Roman" w:cs="Arial"/>
                <w:color w:val="000000"/>
                <w:szCs w:val="18"/>
                <w:lang w:eastAsia="en-AU"/>
              </w:rPr>
            </w:pPr>
            <w:r>
              <w:rPr>
                <w:rFonts w:eastAsia="Times New Roman" w:cs="Arial"/>
                <w:color w:val="000000"/>
                <w:szCs w:val="18"/>
                <w:lang w:eastAsia="en-AU"/>
              </w:rPr>
              <w:t>1.59</w:t>
            </w:r>
            <w:r w:rsidRPr="00DB584A">
              <w:rPr>
                <w:rFonts w:eastAsia="Times New Roman" w:cs="Arial"/>
                <w:color w:val="000000"/>
                <w:szCs w:val="18"/>
                <w:lang w:eastAsia="en-AU"/>
              </w:rPr>
              <w:t xml:space="preserve"> pm </w:t>
            </w:r>
          </w:p>
        </w:tc>
        <w:tc>
          <w:tcPr>
            <w:tcW w:w="887" w:type="dxa"/>
          </w:tcPr>
          <w:p w:rsidR="00F74FC8" w:rsidRPr="00DB584A" w:rsidRDefault="00F74FC8" w:rsidP="00C669A3">
            <w:pPr>
              <w:spacing w:before="0" w:line="240" w:lineRule="auto"/>
              <w:jc w:val="center"/>
              <w:textAlignment w:val="center"/>
              <w:rPr>
                <w:rFonts w:eastAsia="Times New Roman" w:cs="Arial"/>
                <w:color w:val="000000"/>
                <w:szCs w:val="18"/>
                <w:lang w:eastAsia="en-AU"/>
              </w:rPr>
            </w:pPr>
          </w:p>
        </w:tc>
        <w:tc>
          <w:tcPr>
            <w:tcW w:w="1487" w:type="dxa"/>
          </w:tcPr>
          <w:p w:rsidR="00F74FC8" w:rsidRPr="00DB584A" w:rsidRDefault="00F74FC8" w:rsidP="00C669A3">
            <w:pPr>
              <w:spacing w:before="0" w:line="240" w:lineRule="auto"/>
              <w:textAlignment w:val="center"/>
              <w:rPr>
                <w:rFonts w:eastAsia="Times New Roman" w:cs="Arial"/>
                <w:color w:val="000000"/>
                <w:szCs w:val="18"/>
                <w:lang w:eastAsia="en-AU"/>
              </w:rPr>
            </w:pPr>
            <w:r>
              <w:rPr>
                <w:rFonts w:eastAsia="Times New Roman" w:cs="Arial"/>
                <w:color w:val="000000"/>
                <w:szCs w:val="18"/>
                <w:lang w:eastAsia="en-AU"/>
              </w:rPr>
              <w:t>Delta Electricity</w:t>
            </w:r>
          </w:p>
        </w:tc>
        <w:tc>
          <w:tcPr>
            <w:tcW w:w="1057" w:type="dxa"/>
          </w:tcPr>
          <w:p w:rsidR="00F74FC8" w:rsidRPr="00DB584A" w:rsidRDefault="00F74FC8" w:rsidP="00C669A3">
            <w:pPr>
              <w:spacing w:before="0" w:line="240" w:lineRule="auto"/>
              <w:textAlignment w:val="center"/>
              <w:rPr>
                <w:rFonts w:eastAsia="Times New Roman" w:cs="Arial"/>
                <w:color w:val="000000"/>
                <w:szCs w:val="18"/>
                <w:lang w:eastAsia="en-AU"/>
              </w:rPr>
            </w:pPr>
            <w:r>
              <w:rPr>
                <w:rFonts w:eastAsia="Times New Roman" w:cs="Arial"/>
                <w:color w:val="000000"/>
                <w:szCs w:val="18"/>
                <w:lang w:eastAsia="en-AU"/>
              </w:rPr>
              <w:t>Vales Point</w:t>
            </w:r>
          </w:p>
        </w:tc>
        <w:tc>
          <w:tcPr>
            <w:tcW w:w="917" w:type="dxa"/>
          </w:tcPr>
          <w:p w:rsidR="00F74FC8" w:rsidRPr="00DB584A" w:rsidRDefault="00994EE0" w:rsidP="00C669A3">
            <w:pPr>
              <w:spacing w:before="0" w:line="240" w:lineRule="auto"/>
              <w:jc w:val="center"/>
              <w:textAlignment w:val="center"/>
              <w:rPr>
                <w:rFonts w:eastAsia="Times New Roman" w:cs="Arial"/>
                <w:color w:val="000000"/>
                <w:szCs w:val="18"/>
                <w:lang w:eastAsia="en-AU"/>
              </w:rPr>
            </w:pPr>
            <w:r>
              <w:rPr>
                <w:rFonts w:eastAsia="Times New Roman" w:cs="Arial"/>
                <w:color w:val="000000"/>
                <w:szCs w:val="18"/>
                <w:lang w:eastAsia="en-AU"/>
              </w:rPr>
              <w:t>9</w:t>
            </w:r>
            <w:r w:rsidR="00F74FC8" w:rsidRPr="00DB584A">
              <w:rPr>
                <w:rFonts w:eastAsia="Times New Roman" w:cs="Arial"/>
                <w:color w:val="000000"/>
                <w:szCs w:val="18"/>
                <w:lang w:eastAsia="en-AU"/>
              </w:rPr>
              <w:t>0</w:t>
            </w:r>
          </w:p>
        </w:tc>
        <w:tc>
          <w:tcPr>
            <w:tcW w:w="906" w:type="dxa"/>
          </w:tcPr>
          <w:p w:rsidR="00F74FC8" w:rsidRPr="00DB584A" w:rsidRDefault="00994EE0" w:rsidP="00C669A3">
            <w:pPr>
              <w:spacing w:before="0" w:line="240" w:lineRule="auto"/>
              <w:jc w:val="center"/>
              <w:textAlignment w:val="center"/>
              <w:rPr>
                <w:rFonts w:eastAsia="Times New Roman" w:cs="Arial"/>
                <w:color w:val="000000"/>
                <w:szCs w:val="18"/>
                <w:lang w:eastAsia="en-AU"/>
              </w:rPr>
            </w:pPr>
            <w:r>
              <w:rPr>
                <w:rFonts w:eastAsia="Times New Roman" w:cs="Arial"/>
                <w:color w:val="000000"/>
                <w:szCs w:val="18"/>
                <w:lang w:eastAsia="en-AU"/>
              </w:rPr>
              <w:t>&lt;</w:t>
            </w:r>
            <w:r w:rsidR="00F74FC8">
              <w:rPr>
                <w:rFonts w:eastAsia="Times New Roman" w:cs="Arial"/>
                <w:color w:val="000000"/>
                <w:szCs w:val="18"/>
                <w:lang w:eastAsia="en-AU"/>
              </w:rPr>
              <w:t>50</w:t>
            </w:r>
          </w:p>
        </w:tc>
        <w:tc>
          <w:tcPr>
            <w:tcW w:w="906" w:type="dxa"/>
          </w:tcPr>
          <w:p w:rsidR="00F74FC8" w:rsidRPr="00DB584A" w:rsidRDefault="00994EE0" w:rsidP="00C669A3">
            <w:pPr>
              <w:spacing w:before="0" w:line="240" w:lineRule="auto"/>
              <w:jc w:val="center"/>
              <w:textAlignment w:val="center"/>
              <w:rPr>
                <w:rFonts w:eastAsia="Times New Roman" w:cs="Arial"/>
                <w:color w:val="000000"/>
                <w:szCs w:val="18"/>
                <w:lang w:eastAsia="en-AU"/>
              </w:rPr>
            </w:pPr>
            <w:r>
              <w:rPr>
                <w:rFonts w:eastAsia="Times New Roman" w:cs="Arial"/>
                <w:color w:val="000000"/>
                <w:szCs w:val="18"/>
                <w:lang w:eastAsia="en-AU"/>
              </w:rPr>
              <w:t>&gt;290</w:t>
            </w:r>
          </w:p>
        </w:tc>
        <w:tc>
          <w:tcPr>
            <w:tcW w:w="2284" w:type="dxa"/>
          </w:tcPr>
          <w:p w:rsidR="00F74FC8" w:rsidRPr="00DB584A" w:rsidRDefault="00F74FC8" w:rsidP="00C669A3">
            <w:pPr>
              <w:spacing w:before="0" w:line="240" w:lineRule="auto"/>
              <w:textAlignment w:val="center"/>
              <w:rPr>
                <w:rFonts w:eastAsia="Times New Roman" w:cs="Arial"/>
                <w:color w:val="000000"/>
                <w:szCs w:val="18"/>
                <w:lang w:eastAsia="en-AU"/>
              </w:rPr>
            </w:pPr>
            <w:r w:rsidRPr="00994EE0">
              <w:rPr>
                <w:rFonts w:eastAsia="Times New Roman" w:cs="Arial"/>
                <w:color w:val="000000"/>
                <w:szCs w:val="18"/>
                <w:lang w:eastAsia="en-AU"/>
              </w:rPr>
              <w:t>1357A 5MIN PD DEMAND IS 200MW HIGHER THAN HH PD DEMAND AT 1500- SL</w:t>
            </w:r>
          </w:p>
        </w:tc>
      </w:tr>
      <w:tr w:rsidR="005A3226" w:rsidRPr="00DB584A" w:rsidTr="005A3226">
        <w:trPr>
          <w:cnfStyle w:val="000000010000" w:firstRow="0" w:lastRow="0" w:firstColumn="0" w:lastColumn="0" w:oddVBand="0" w:evenVBand="0" w:oddHBand="0" w:evenHBand="1" w:firstRowFirstColumn="0" w:firstRowLastColumn="0" w:lastRowFirstColumn="0" w:lastRowLastColumn="0"/>
          <w:trHeight w:val="582"/>
        </w:trPr>
        <w:tc>
          <w:tcPr>
            <w:tcW w:w="1027" w:type="dxa"/>
          </w:tcPr>
          <w:p w:rsidR="005A3226" w:rsidRPr="00994EE0" w:rsidRDefault="005A3226" w:rsidP="005A3226">
            <w:pPr>
              <w:spacing w:before="0" w:line="240" w:lineRule="auto"/>
              <w:textAlignment w:val="center"/>
              <w:rPr>
                <w:rFonts w:eastAsia="Times New Roman" w:cs="Arial"/>
                <w:color w:val="000000"/>
                <w:sz w:val="18"/>
                <w:szCs w:val="18"/>
                <w:lang w:eastAsia="en-AU"/>
              </w:rPr>
            </w:pPr>
            <w:r w:rsidRPr="00994EE0">
              <w:rPr>
                <w:rFonts w:eastAsia="Times New Roman" w:cs="Arial"/>
                <w:color w:val="000000"/>
                <w:sz w:val="18"/>
                <w:szCs w:val="18"/>
                <w:lang w:eastAsia="en-AU"/>
              </w:rPr>
              <w:t>2.</w:t>
            </w:r>
            <w:r>
              <w:rPr>
                <w:rFonts w:eastAsia="Times New Roman" w:cs="Arial"/>
                <w:color w:val="000000"/>
                <w:sz w:val="18"/>
                <w:szCs w:val="18"/>
                <w:lang w:eastAsia="en-AU"/>
              </w:rPr>
              <w:t>04</w:t>
            </w:r>
            <w:r w:rsidRPr="00994EE0">
              <w:rPr>
                <w:rFonts w:eastAsia="Times New Roman" w:cs="Arial"/>
                <w:color w:val="000000"/>
                <w:sz w:val="18"/>
                <w:szCs w:val="18"/>
                <w:lang w:eastAsia="en-AU"/>
              </w:rPr>
              <w:t xml:space="preserve"> pm </w:t>
            </w:r>
          </w:p>
        </w:tc>
        <w:tc>
          <w:tcPr>
            <w:tcW w:w="887" w:type="dxa"/>
          </w:tcPr>
          <w:p w:rsidR="005A3226" w:rsidRPr="00994EE0" w:rsidRDefault="005A3226" w:rsidP="009E5B65">
            <w:pPr>
              <w:spacing w:before="0" w:line="240" w:lineRule="auto"/>
              <w:jc w:val="center"/>
              <w:textAlignment w:val="center"/>
              <w:rPr>
                <w:rFonts w:eastAsia="Times New Roman" w:cs="Arial"/>
                <w:color w:val="000000"/>
                <w:sz w:val="18"/>
                <w:szCs w:val="18"/>
                <w:lang w:eastAsia="en-AU"/>
              </w:rPr>
            </w:pPr>
          </w:p>
        </w:tc>
        <w:tc>
          <w:tcPr>
            <w:tcW w:w="1487" w:type="dxa"/>
          </w:tcPr>
          <w:p w:rsidR="005A3226" w:rsidRPr="00994EE0" w:rsidRDefault="005A3226" w:rsidP="009E5B65">
            <w:pPr>
              <w:spacing w:before="0" w:line="240" w:lineRule="auto"/>
              <w:textAlignment w:val="center"/>
              <w:rPr>
                <w:rFonts w:eastAsia="Times New Roman" w:cs="Arial"/>
                <w:color w:val="000000"/>
                <w:sz w:val="18"/>
                <w:szCs w:val="18"/>
                <w:lang w:eastAsia="en-AU"/>
              </w:rPr>
            </w:pPr>
            <w:proofErr w:type="spellStart"/>
            <w:r w:rsidRPr="00994EE0">
              <w:rPr>
                <w:rFonts w:eastAsia="Times New Roman" w:cs="Arial"/>
                <w:color w:val="000000"/>
                <w:sz w:val="18"/>
                <w:szCs w:val="18"/>
                <w:lang w:eastAsia="en-AU"/>
              </w:rPr>
              <w:t>EnergyAustralia</w:t>
            </w:r>
            <w:proofErr w:type="spellEnd"/>
          </w:p>
        </w:tc>
        <w:tc>
          <w:tcPr>
            <w:tcW w:w="1057" w:type="dxa"/>
          </w:tcPr>
          <w:p w:rsidR="005A3226" w:rsidRPr="00994EE0" w:rsidRDefault="005A3226" w:rsidP="009E5B65">
            <w:pPr>
              <w:spacing w:before="0" w:line="240" w:lineRule="auto"/>
              <w:textAlignment w:val="center"/>
              <w:rPr>
                <w:rFonts w:eastAsia="Times New Roman" w:cs="Arial"/>
                <w:color w:val="000000"/>
                <w:sz w:val="18"/>
                <w:szCs w:val="18"/>
                <w:lang w:eastAsia="en-AU"/>
              </w:rPr>
            </w:pPr>
            <w:proofErr w:type="spellStart"/>
            <w:r w:rsidRPr="00994EE0">
              <w:rPr>
                <w:rFonts w:eastAsia="Times New Roman" w:cs="Arial"/>
                <w:color w:val="000000"/>
                <w:sz w:val="18"/>
                <w:szCs w:val="18"/>
                <w:lang w:eastAsia="en-AU"/>
              </w:rPr>
              <w:t>Tallawarra</w:t>
            </w:r>
            <w:proofErr w:type="spellEnd"/>
          </w:p>
        </w:tc>
        <w:tc>
          <w:tcPr>
            <w:tcW w:w="917" w:type="dxa"/>
          </w:tcPr>
          <w:p w:rsidR="005A3226" w:rsidRPr="00994EE0" w:rsidRDefault="005A3226" w:rsidP="009E5B65">
            <w:pPr>
              <w:spacing w:before="0" w:line="240" w:lineRule="auto"/>
              <w:jc w:val="center"/>
              <w:textAlignment w:val="center"/>
              <w:rPr>
                <w:rFonts w:eastAsia="Times New Roman" w:cs="Arial"/>
                <w:color w:val="000000"/>
                <w:sz w:val="18"/>
                <w:szCs w:val="18"/>
                <w:lang w:eastAsia="en-AU"/>
              </w:rPr>
            </w:pPr>
            <w:r w:rsidRPr="00994EE0">
              <w:rPr>
                <w:rFonts w:eastAsia="Times New Roman" w:cs="Arial"/>
                <w:color w:val="000000"/>
                <w:sz w:val="18"/>
                <w:szCs w:val="18"/>
                <w:lang w:eastAsia="en-AU"/>
              </w:rPr>
              <w:t>100</w:t>
            </w:r>
          </w:p>
        </w:tc>
        <w:tc>
          <w:tcPr>
            <w:tcW w:w="906" w:type="dxa"/>
          </w:tcPr>
          <w:p w:rsidR="005A3226" w:rsidRPr="00994EE0" w:rsidRDefault="005A3226" w:rsidP="009E5B65">
            <w:pPr>
              <w:spacing w:before="0" w:line="240" w:lineRule="auto"/>
              <w:jc w:val="center"/>
              <w:textAlignment w:val="center"/>
              <w:rPr>
                <w:rFonts w:eastAsia="Times New Roman" w:cs="Arial"/>
                <w:color w:val="000000"/>
                <w:sz w:val="18"/>
                <w:szCs w:val="18"/>
                <w:lang w:eastAsia="en-AU"/>
              </w:rPr>
            </w:pPr>
            <w:r w:rsidRPr="00994EE0">
              <w:rPr>
                <w:rFonts w:eastAsia="Times New Roman" w:cs="Arial"/>
                <w:color w:val="000000"/>
                <w:sz w:val="18"/>
                <w:szCs w:val="18"/>
                <w:lang w:eastAsia="en-AU"/>
              </w:rPr>
              <w:t>30</w:t>
            </w:r>
          </w:p>
        </w:tc>
        <w:tc>
          <w:tcPr>
            <w:tcW w:w="906" w:type="dxa"/>
          </w:tcPr>
          <w:p w:rsidR="005A3226" w:rsidRPr="00994EE0" w:rsidRDefault="005A3226" w:rsidP="009E5B65">
            <w:pPr>
              <w:spacing w:before="0" w:line="240" w:lineRule="auto"/>
              <w:jc w:val="center"/>
              <w:textAlignment w:val="center"/>
              <w:rPr>
                <w:rFonts w:eastAsia="Times New Roman" w:cs="Arial"/>
                <w:color w:val="000000"/>
                <w:sz w:val="18"/>
                <w:szCs w:val="18"/>
                <w:lang w:eastAsia="en-AU"/>
              </w:rPr>
            </w:pPr>
            <w:r w:rsidRPr="00994EE0">
              <w:rPr>
                <w:rFonts w:eastAsia="Times New Roman" w:cs="Arial"/>
                <w:color w:val="000000"/>
                <w:sz w:val="18"/>
                <w:szCs w:val="18"/>
                <w:lang w:eastAsia="en-AU"/>
              </w:rPr>
              <w:t>13</w:t>
            </w:r>
            <w:r>
              <w:rPr>
                <w:rFonts w:eastAsia="Times New Roman" w:cs="Arial"/>
                <w:color w:val="000000"/>
                <w:sz w:val="18"/>
                <w:szCs w:val="18"/>
                <w:lang w:eastAsia="en-AU"/>
              </w:rPr>
              <w:t> </w:t>
            </w:r>
            <w:r w:rsidRPr="00994EE0">
              <w:rPr>
                <w:rFonts w:eastAsia="Times New Roman" w:cs="Arial"/>
                <w:color w:val="000000"/>
                <w:sz w:val="18"/>
                <w:szCs w:val="18"/>
                <w:lang w:eastAsia="en-AU"/>
              </w:rPr>
              <w:t>111</w:t>
            </w:r>
          </w:p>
        </w:tc>
        <w:tc>
          <w:tcPr>
            <w:tcW w:w="2284" w:type="dxa"/>
          </w:tcPr>
          <w:p w:rsidR="005A3226" w:rsidRPr="00994EE0"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14:02 A ADJ BANDS CHG V-NSW IC FLOW/ CON MAN N&gt;&gt;N-DTKV_E</w:t>
            </w:r>
          </w:p>
        </w:tc>
      </w:tr>
      <w:tr w:rsidR="005A3226" w:rsidRPr="00DB584A" w:rsidTr="005A3226">
        <w:trPr>
          <w:trHeight w:val="582"/>
        </w:trPr>
        <w:tc>
          <w:tcPr>
            <w:tcW w:w="1027" w:type="dxa"/>
          </w:tcPr>
          <w:p w:rsidR="005A3226" w:rsidRPr="00994EE0" w:rsidRDefault="005A3226" w:rsidP="00C669A3">
            <w:pPr>
              <w:spacing w:before="0" w:line="240" w:lineRule="auto"/>
              <w:textAlignment w:val="center"/>
              <w:rPr>
                <w:rFonts w:eastAsia="Times New Roman" w:cs="Arial"/>
                <w:color w:val="000000"/>
                <w:szCs w:val="18"/>
                <w:lang w:eastAsia="en-AU"/>
              </w:rPr>
            </w:pPr>
            <w:r w:rsidRPr="00994EE0">
              <w:rPr>
                <w:rFonts w:eastAsia="Times New Roman" w:cs="Arial"/>
                <w:color w:val="000000"/>
                <w:szCs w:val="18"/>
                <w:lang w:eastAsia="en-AU"/>
              </w:rPr>
              <w:t xml:space="preserve">2.26 pm </w:t>
            </w:r>
          </w:p>
        </w:tc>
        <w:tc>
          <w:tcPr>
            <w:tcW w:w="887"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2.35 pm</w:t>
            </w:r>
          </w:p>
        </w:tc>
        <w:tc>
          <w:tcPr>
            <w:tcW w:w="1487" w:type="dxa"/>
          </w:tcPr>
          <w:p w:rsidR="005A3226" w:rsidRPr="00994EE0" w:rsidRDefault="005A3226" w:rsidP="00C669A3">
            <w:pPr>
              <w:spacing w:before="0" w:line="240" w:lineRule="auto"/>
              <w:textAlignment w:val="center"/>
              <w:rPr>
                <w:rFonts w:eastAsia="Times New Roman" w:cs="Arial"/>
                <w:color w:val="000000"/>
                <w:szCs w:val="18"/>
                <w:lang w:eastAsia="en-AU"/>
              </w:rPr>
            </w:pPr>
            <w:proofErr w:type="spellStart"/>
            <w:r w:rsidRPr="00994EE0">
              <w:rPr>
                <w:rFonts w:eastAsia="Times New Roman" w:cs="Arial"/>
                <w:color w:val="000000"/>
                <w:szCs w:val="18"/>
                <w:lang w:eastAsia="en-AU"/>
              </w:rPr>
              <w:t>EnergyAustralia</w:t>
            </w:r>
            <w:proofErr w:type="spellEnd"/>
          </w:p>
        </w:tc>
        <w:tc>
          <w:tcPr>
            <w:tcW w:w="1057" w:type="dxa"/>
          </w:tcPr>
          <w:p w:rsidR="005A3226" w:rsidRPr="00994EE0" w:rsidRDefault="005A3226" w:rsidP="00C669A3">
            <w:pPr>
              <w:spacing w:before="0" w:line="240" w:lineRule="auto"/>
              <w:textAlignment w:val="center"/>
              <w:rPr>
                <w:rFonts w:eastAsia="Times New Roman" w:cs="Arial"/>
                <w:color w:val="000000"/>
                <w:szCs w:val="18"/>
                <w:lang w:eastAsia="en-AU"/>
              </w:rPr>
            </w:pPr>
            <w:proofErr w:type="spellStart"/>
            <w:r w:rsidRPr="00994EE0">
              <w:rPr>
                <w:rFonts w:eastAsia="Times New Roman" w:cs="Arial"/>
                <w:color w:val="000000"/>
                <w:szCs w:val="18"/>
                <w:lang w:eastAsia="en-AU"/>
              </w:rPr>
              <w:t>Tallawarra</w:t>
            </w:r>
            <w:proofErr w:type="spellEnd"/>
          </w:p>
        </w:tc>
        <w:tc>
          <w:tcPr>
            <w:tcW w:w="917"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100</w:t>
            </w:r>
          </w:p>
        </w:tc>
        <w:tc>
          <w:tcPr>
            <w:tcW w:w="906"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30</w:t>
            </w:r>
          </w:p>
        </w:tc>
        <w:tc>
          <w:tcPr>
            <w:tcW w:w="906"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13</w:t>
            </w:r>
            <w:r>
              <w:rPr>
                <w:rFonts w:eastAsia="Times New Roman" w:cs="Arial"/>
                <w:color w:val="000000"/>
                <w:szCs w:val="18"/>
                <w:lang w:eastAsia="en-AU"/>
              </w:rPr>
              <w:t> </w:t>
            </w:r>
            <w:r w:rsidRPr="00994EE0">
              <w:rPr>
                <w:rFonts w:eastAsia="Times New Roman" w:cs="Arial"/>
                <w:color w:val="000000"/>
                <w:szCs w:val="18"/>
                <w:lang w:eastAsia="en-AU"/>
              </w:rPr>
              <w:t>111</w:t>
            </w:r>
          </w:p>
        </w:tc>
        <w:tc>
          <w:tcPr>
            <w:tcW w:w="2284" w:type="dxa"/>
          </w:tcPr>
          <w:p w:rsidR="005A3226" w:rsidRPr="00DB584A" w:rsidRDefault="005A3226" w:rsidP="00C669A3">
            <w:pPr>
              <w:spacing w:before="0" w:line="240" w:lineRule="auto"/>
              <w:textAlignment w:val="center"/>
              <w:rPr>
                <w:rFonts w:eastAsia="Times New Roman" w:cs="Arial"/>
                <w:color w:val="000000"/>
                <w:szCs w:val="18"/>
                <w:lang w:eastAsia="en-AU"/>
              </w:rPr>
            </w:pPr>
            <w:r w:rsidRPr="00994EE0">
              <w:rPr>
                <w:rFonts w:eastAsia="Times New Roman" w:cs="Arial"/>
                <w:color w:val="000000"/>
                <w:szCs w:val="18"/>
                <w:lang w:eastAsia="en-AU"/>
              </w:rPr>
              <w:t>14:25 A ADJ BANDS NSW $/DEM &gt; 30MPD FCST 11316/11223 81.09/49.95</w:t>
            </w:r>
          </w:p>
        </w:tc>
      </w:tr>
      <w:tr w:rsidR="005A3226" w:rsidRPr="00DB584A" w:rsidTr="005A3226">
        <w:trPr>
          <w:cnfStyle w:val="000000010000" w:firstRow="0" w:lastRow="0" w:firstColumn="0" w:lastColumn="0" w:oddVBand="0" w:evenVBand="0" w:oddHBand="0" w:evenHBand="1" w:firstRowFirstColumn="0" w:firstRowLastColumn="0" w:lastRowFirstColumn="0" w:lastRowLastColumn="0"/>
          <w:trHeight w:val="582"/>
        </w:trPr>
        <w:tc>
          <w:tcPr>
            <w:tcW w:w="1027"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 xml:space="preserve">2.34 pm </w:t>
            </w:r>
          </w:p>
        </w:tc>
        <w:tc>
          <w:tcPr>
            <w:tcW w:w="887"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2.45 pm</w:t>
            </w:r>
          </w:p>
        </w:tc>
        <w:tc>
          <w:tcPr>
            <w:tcW w:w="1487"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AGL Energy</w:t>
            </w:r>
          </w:p>
        </w:tc>
        <w:tc>
          <w:tcPr>
            <w:tcW w:w="1057"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Liddell</w:t>
            </w:r>
          </w:p>
        </w:tc>
        <w:tc>
          <w:tcPr>
            <w:tcW w:w="917"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-70</w:t>
            </w:r>
          </w:p>
        </w:tc>
        <w:tc>
          <w:tcPr>
            <w:tcW w:w="906"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&lt;50</w:t>
            </w:r>
          </w:p>
        </w:tc>
        <w:tc>
          <w:tcPr>
            <w:tcW w:w="906"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N/A</w:t>
            </w:r>
          </w:p>
        </w:tc>
        <w:tc>
          <w:tcPr>
            <w:tcW w:w="2284"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1430~P~010 UNEXPECTED/PLANT LIMITS~PLANT ISSUES 380MW REQUIRED</w:t>
            </w:r>
          </w:p>
        </w:tc>
      </w:tr>
      <w:tr w:rsidR="005A3226" w:rsidRPr="00DB584A" w:rsidTr="005A3226">
        <w:trPr>
          <w:trHeight w:val="582"/>
        </w:trPr>
        <w:tc>
          <w:tcPr>
            <w:tcW w:w="1027" w:type="dxa"/>
          </w:tcPr>
          <w:p w:rsidR="005A3226" w:rsidRPr="00994EE0" w:rsidRDefault="005A3226" w:rsidP="00C669A3">
            <w:pPr>
              <w:spacing w:before="0" w:line="240" w:lineRule="auto"/>
              <w:textAlignment w:val="center"/>
              <w:rPr>
                <w:rFonts w:eastAsia="Times New Roman" w:cs="Arial"/>
                <w:color w:val="000000"/>
                <w:szCs w:val="18"/>
                <w:lang w:eastAsia="en-AU"/>
              </w:rPr>
            </w:pPr>
            <w:r w:rsidRPr="00994EE0">
              <w:rPr>
                <w:rFonts w:eastAsia="Times New Roman" w:cs="Arial"/>
                <w:color w:val="000000"/>
                <w:szCs w:val="18"/>
                <w:lang w:eastAsia="en-AU"/>
              </w:rPr>
              <w:t xml:space="preserve">2.46 pm </w:t>
            </w:r>
          </w:p>
        </w:tc>
        <w:tc>
          <w:tcPr>
            <w:tcW w:w="887"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2.55 pm</w:t>
            </w:r>
          </w:p>
        </w:tc>
        <w:tc>
          <w:tcPr>
            <w:tcW w:w="1487" w:type="dxa"/>
          </w:tcPr>
          <w:p w:rsidR="005A3226" w:rsidRPr="00994EE0" w:rsidRDefault="005A3226" w:rsidP="00C669A3">
            <w:pPr>
              <w:spacing w:before="0" w:line="240" w:lineRule="auto"/>
              <w:textAlignment w:val="center"/>
              <w:rPr>
                <w:rFonts w:eastAsia="Times New Roman" w:cs="Arial"/>
                <w:color w:val="000000"/>
                <w:szCs w:val="18"/>
                <w:lang w:eastAsia="en-AU"/>
              </w:rPr>
            </w:pPr>
            <w:proofErr w:type="spellStart"/>
            <w:r w:rsidRPr="00994EE0">
              <w:rPr>
                <w:rFonts w:eastAsia="Times New Roman" w:cs="Arial"/>
                <w:color w:val="000000"/>
                <w:szCs w:val="18"/>
                <w:lang w:eastAsia="en-AU"/>
              </w:rPr>
              <w:t>EnergyAustralia</w:t>
            </w:r>
            <w:proofErr w:type="spellEnd"/>
          </w:p>
        </w:tc>
        <w:tc>
          <w:tcPr>
            <w:tcW w:w="1057" w:type="dxa"/>
          </w:tcPr>
          <w:p w:rsidR="005A3226" w:rsidRPr="00994EE0" w:rsidRDefault="005A3226" w:rsidP="00C669A3">
            <w:pPr>
              <w:spacing w:before="0" w:line="240" w:lineRule="auto"/>
              <w:textAlignment w:val="center"/>
              <w:rPr>
                <w:rFonts w:eastAsia="Times New Roman" w:cs="Arial"/>
                <w:color w:val="000000"/>
                <w:szCs w:val="18"/>
                <w:lang w:eastAsia="en-AU"/>
              </w:rPr>
            </w:pPr>
            <w:r w:rsidRPr="00994EE0">
              <w:rPr>
                <w:rFonts w:eastAsia="Times New Roman" w:cs="Arial"/>
                <w:color w:val="000000"/>
                <w:szCs w:val="18"/>
                <w:lang w:eastAsia="en-AU"/>
              </w:rPr>
              <w:t>Mt Piper</w:t>
            </w:r>
          </w:p>
        </w:tc>
        <w:tc>
          <w:tcPr>
            <w:tcW w:w="917"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140</w:t>
            </w:r>
          </w:p>
        </w:tc>
        <w:tc>
          <w:tcPr>
            <w:tcW w:w="906"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35</w:t>
            </w:r>
          </w:p>
        </w:tc>
        <w:tc>
          <w:tcPr>
            <w:tcW w:w="906" w:type="dxa"/>
          </w:tcPr>
          <w:p w:rsidR="005A3226" w:rsidRPr="00994EE0" w:rsidRDefault="005A3226" w:rsidP="00C669A3">
            <w:pPr>
              <w:spacing w:before="0" w:line="240" w:lineRule="auto"/>
              <w:jc w:val="center"/>
              <w:textAlignment w:val="center"/>
              <w:rPr>
                <w:rFonts w:eastAsia="Times New Roman" w:cs="Arial"/>
                <w:color w:val="000000"/>
                <w:szCs w:val="18"/>
                <w:lang w:eastAsia="en-AU"/>
              </w:rPr>
            </w:pPr>
            <w:r w:rsidRPr="00994EE0">
              <w:rPr>
                <w:rFonts w:eastAsia="Times New Roman" w:cs="Arial"/>
                <w:color w:val="000000"/>
                <w:szCs w:val="18"/>
                <w:lang w:eastAsia="en-AU"/>
              </w:rPr>
              <w:t>13</w:t>
            </w:r>
            <w:r>
              <w:rPr>
                <w:rFonts w:eastAsia="Times New Roman" w:cs="Arial"/>
                <w:color w:val="000000"/>
                <w:szCs w:val="18"/>
                <w:lang w:eastAsia="en-AU"/>
              </w:rPr>
              <w:t> </w:t>
            </w:r>
            <w:r w:rsidRPr="00994EE0">
              <w:rPr>
                <w:rFonts w:eastAsia="Times New Roman" w:cs="Arial"/>
                <w:color w:val="000000"/>
                <w:szCs w:val="18"/>
                <w:lang w:eastAsia="en-AU"/>
              </w:rPr>
              <w:t>405</w:t>
            </w:r>
          </w:p>
        </w:tc>
        <w:tc>
          <w:tcPr>
            <w:tcW w:w="2284" w:type="dxa"/>
          </w:tcPr>
          <w:p w:rsidR="005A3226" w:rsidRPr="00DB584A" w:rsidRDefault="005A3226" w:rsidP="00C669A3">
            <w:pPr>
              <w:spacing w:before="0" w:line="240" w:lineRule="auto"/>
              <w:textAlignment w:val="center"/>
              <w:rPr>
                <w:rFonts w:eastAsia="Times New Roman" w:cs="Arial"/>
                <w:color w:val="000000"/>
                <w:szCs w:val="18"/>
                <w:lang w:eastAsia="en-AU"/>
              </w:rPr>
            </w:pPr>
            <w:r w:rsidRPr="00994EE0">
              <w:rPr>
                <w:rFonts w:eastAsia="Times New Roman" w:cs="Arial"/>
                <w:color w:val="000000"/>
                <w:szCs w:val="18"/>
                <w:lang w:eastAsia="en-AU"/>
              </w:rPr>
              <w:t>14:43 A ADJ BANDS MAT CHG $NSW PD5 FCST FR 1500: 1445.21 @1540</w:t>
            </w:r>
          </w:p>
        </w:tc>
      </w:tr>
      <w:tr w:rsidR="005A3226" w:rsidRPr="00DB584A" w:rsidTr="005A3226">
        <w:trPr>
          <w:cnfStyle w:val="000000010000" w:firstRow="0" w:lastRow="0" w:firstColumn="0" w:lastColumn="0" w:oddVBand="0" w:evenVBand="0" w:oddHBand="0" w:evenHBand="1" w:firstRowFirstColumn="0" w:firstRowLastColumn="0" w:lastRowFirstColumn="0" w:lastRowLastColumn="0"/>
          <w:trHeight w:val="582"/>
        </w:trPr>
        <w:tc>
          <w:tcPr>
            <w:tcW w:w="1027"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2.53 pm</w:t>
            </w:r>
          </w:p>
        </w:tc>
        <w:tc>
          <w:tcPr>
            <w:tcW w:w="887"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3 pm</w:t>
            </w:r>
          </w:p>
        </w:tc>
        <w:tc>
          <w:tcPr>
            <w:tcW w:w="1487"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Snowy Hydro</w:t>
            </w:r>
          </w:p>
        </w:tc>
        <w:tc>
          <w:tcPr>
            <w:tcW w:w="1057"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Tumut</w:t>
            </w:r>
          </w:p>
        </w:tc>
        <w:tc>
          <w:tcPr>
            <w:tcW w:w="917"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-240</w:t>
            </w:r>
          </w:p>
        </w:tc>
        <w:tc>
          <w:tcPr>
            <w:tcW w:w="906"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-1000</w:t>
            </w:r>
          </w:p>
        </w:tc>
        <w:tc>
          <w:tcPr>
            <w:tcW w:w="906" w:type="dxa"/>
          </w:tcPr>
          <w:p w:rsidR="005A3226" w:rsidRPr="005A3226" w:rsidRDefault="005A3226" w:rsidP="00C669A3">
            <w:pPr>
              <w:spacing w:before="0" w:line="240" w:lineRule="auto"/>
              <w:jc w:val="center"/>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N/A</w:t>
            </w:r>
          </w:p>
        </w:tc>
        <w:tc>
          <w:tcPr>
            <w:tcW w:w="2284" w:type="dxa"/>
          </w:tcPr>
          <w:p w:rsidR="005A3226" w:rsidRPr="005A3226" w:rsidRDefault="005A3226" w:rsidP="00C669A3">
            <w:pPr>
              <w:spacing w:before="0" w:line="240" w:lineRule="auto"/>
              <w:textAlignment w:val="center"/>
              <w:rPr>
                <w:rFonts w:eastAsia="Times New Roman" w:cs="Arial"/>
                <w:color w:val="000000"/>
                <w:sz w:val="18"/>
                <w:szCs w:val="18"/>
                <w:lang w:eastAsia="en-AU"/>
              </w:rPr>
            </w:pPr>
            <w:r w:rsidRPr="005A3226">
              <w:rPr>
                <w:rFonts w:eastAsia="Times New Roman" w:cs="Arial"/>
                <w:color w:val="000000"/>
                <w:sz w:val="18"/>
                <w:szCs w:val="18"/>
                <w:lang w:eastAsia="en-AU"/>
              </w:rPr>
              <w:t>14:53:P PLANT OUTAGE: T3 U5</w:t>
            </w:r>
          </w:p>
        </w:tc>
      </w:tr>
    </w:tbl>
    <w:p w:rsidR="00F74FC8" w:rsidRPr="00F74FC8" w:rsidRDefault="00970C3B" w:rsidP="00F74FC8">
      <w:pPr>
        <w:pStyle w:val="AERHeading3"/>
        <w:jc w:val="both"/>
        <w:rPr>
          <w:b w:val="0"/>
          <w:color w:val="000000" w:themeColor="text1"/>
          <w:sz w:val="22"/>
        </w:rPr>
      </w:pPr>
      <w:r>
        <w:rPr>
          <w:b w:val="0"/>
          <w:color w:val="000000" w:themeColor="text1"/>
          <w:sz w:val="22"/>
        </w:rPr>
        <w:lastRenderedPageBreak/>
        <w:t>As a result of the above rebidding and higher than forecast demand</w:t>
      </w:r>
      <w:r w:rsidR="00EA05DF">
        <w:rPr>
          <w:b w:val="0"/>
          <w:color w:val="000000" w:themeColor="text1"/>
          <w:sz w:val="22"/>
        </w:rPr>
        <w:t xml:space="preserve"> all but the 2.40 pm </w:t>
      </w:r>
      <w:r>
        <w:rPr>
          <w:b w:val="0"/>
          <w:color w:val="000000" w:themeColor="text1"/>
          <w:sz w:val="22"/>
        </w:rPr>
        <w:t xml:space="preserve">dispatch interval </w:t>
      </w:r>
      <w:r w:rsidR="00EA05DF">
        <w:rPr>
          <w:b w:val="0"/>
          <w:color w:val="000000" w:themeColor="text1"/>
          <w:sz w:val="22"/>
        </w:rPr>
        <w:t>price was around $300/MWh.</w:t>
      </w:r>
    </w:p>
    <w:p w:rsidR="00855A23" w:rsidRPr="0067180B" w:rsidRDefault="00855A23" w:rsidP="00855A23">
      <w:pPr>
        <w:pStyle w:val="AERHeading3"/>
      </w:pPr>
      <w:r>
        <w:t>Queensland</w:t>
      </w:r>
    </w:p>
    <w:p w:rsidR="00855A23" w:rsidRDefault="00855A23" w:rsidP="00855A23">
      <w:pPr>
        <w:pStyle w:val="AERHeading3"/>
        <w:rPr>
          <w:b w:val="0"/>
          <w:bCs w:val="0"/>
          <w:color w:val="auto"/>
          <w:sz w:val="22"/>
          <w:lang w:eastAsia="en-AU"/>
        </w:rPr>
      </w:pPr>
      <w:r w:rsidRPr="00855A23">
        <w:rPr>
          <w:b w:val="0"/>
          <w:bCs w:val="0"/>
          <w:color w:val="auto"/>
          <w:sz w:val="22"/>
          <w:lang w:eastAsia="en-AU"/>
        </w:rPr>
        <w:t xml:space="preserve">There were two occasions where the spot price in Queensland was greater than three times the Queensland weekly average price of $52/MWh and above $250/MWh. </w:t>
      </w:r>
    </w:p>
    <w:p w:rsidR="00A17C7C" w:rsidRPr="0067180B" w:rsidRDefault="009E5B65" w:rsidP="00A17C7C">
      <w:pPr>
        <w:pStyle w:val="AERHeading3"/>
      </w:pPr>
      <w:r>
        <w:t>Thursday, 26</w:t>
      </w:r>
      <w:r w:rsidR="00A17C7C" w:rsidRPr="0067180B">
        <w:t xml:space="preserve"> November </w:t>
      </w:r>
    </w:p>
    <w:p w:rsidR="00A17C7C" w:rsidRPr="0067180B" w:rsidRDefault="00F74FC8" w:rsidP="00A17C7C">
      <w:pPr>
        <w:pStyle w:val="Caption"/>
      </w:pPr>
      <w:r>
        <w:t>Table 5</w:t>
      </w:r>
      <w:r w:rsidR="00A17C7C"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A17C7C" w:rsidRPr="0067180B" w:rsidRDefault="00A17C7C" w:rsidP="002C624D">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Price ($/MWh)</w:t>
            </w:r>
          </w:p>
        </w:tc>
        <w:tc>
          <w:tcPr>
            <w:tcW w:w="1422"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Demand (MW)</w:t>
            </w:r>
          </w:p>
        </w:tc>
        <w:tc>
          <w:tcPr>
            <w:tcW w:w="1429"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Availability (MW)</w:t>
            </w:r>
          </w:p>
        </w:tc>
      </w:tr>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r>
      <w:tr w:rsidR="00A17C7C" w:rsidRPr="0067180B" w:rsidTr="002C624D">
        <w:trPr>
          <w:trHeight w:val="510"/>
        </w:trPr>
        <w:tc>
          <w:tcPr>
            <w:tcW w:w="533" w:type="pct"/>
            <w:vAlign w:val="center"/>
          </w:tcPr>
          <w:p w:rsidR="00A17C7C" w:rsidRPr="00A17C7C" w:rsidRDefault="00A17C7C">
            <w:pPr>
              <w:pStyle w:val="NormalWeb"/>
              <w:jc w:val="center"/>
              <w:rPr>
                <w:rFonts w:asciiTheme="minorHAnsi" w:hAnsiTheme="minorHAnsi" w:cstheme="minorHAnsi"/>
                <w:sz w:val="18"/>
                <w:szCs w:val="18"/>
              </w:rPr>
            </w:pPr>
            <w:r>
              <w:rPr>
                <w:rFonts w:asciiTheme="minorHAnsi" w:hAnsiTheme="minorHAnsi" w:cstheme="minorHAnsi"/>
                <w:b/>
                <w:bCs/>
                <w:sz w:val="18"/>
                <w:szCs w:val="18"/>
              </w:rPr>
              <w:t>3</w:t>
            </w:r>
            <w:r w:rsidRPr="00A17C7C">
              <w:rPr>
                <w:rFonts w:asciiTheme="minorHAnsi" w:hAnsiTheme="minorHAnsi" w:cstheme="minorHAnsi"/>
                <w:b/>
                <w:bCs/>
                <w:sz w:val="18"/>
                <w:szCs w:val="18"/>
              </w:rPr>
              <w:t xml:space="preserve"> </w:t>
            </w:r>
            <w:r>
              <w:rPr>
                <w:rFonts w:asciiTheme="minorHAnsi" w:hAnsiTheme="minorHAnsi" w:cstheme="minorHAnsi"/>
                <w:b/>
                <w:bCs/>
                <w:sz w:val="18"/>
                <w:szCs w:val="18"/>
              </w:rPr>
              <w:t>pm</w:t>
            </w:r>
          </w:p>
        </w:tc>
        <w:tc>
          <w:tcPr>
            <w:tcW w:w="611"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259.82</w:t>
            </w:r>
          </w:p>
        </w:tc>
        <w:tc>
          <w:tcPr>
            <w:tcW w:w="502"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43.82</w:t>
            </w:r>
          </w:p>
        </w:tc>
        <w:tc>
          <w:tcPr>
            <w:tcW w:w="502"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49.51</w:t>
            </w:r>
          </w:p>
        </w:tc>
        <w:tc>
          <w:tcPr>
            <w:tcW w:w="418"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7889</w:t>
            </w:r>
          </w:p>
        </w:tc>
        <w:tc>
          <w:tcPr>
            <w:tcW w:w="502"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7870</w:t>
            </w:r>
          </w:p>
        </w:tc>
        <w:tc>
          <w:tcPr>
            <w:tcW w:w="502"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8009</w:t>
            </w:r>
          </w:p>
        </w:tc>
        <w:tc>
          <w:tcPr>
            <w:tcW w:w="425"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9634</w:t>
            </w:r>
          </w:p>
        </w:tc>
        <w:tc>
          <w:tcPr>
            <w:tcW w:w="502"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10 045</w:t>
            </w:r>
          </w:p>
        </w:tc>
        <w:tc>
          <w:tcPr>
            <w:tcW w:w="502" w:type="pct"/>
            <w:vAlign w:val="center"/>
          </w:tcPr>
          <w:p w:rsidR="00A17C7C" w:rsidRPr="00A17C7C" w:rsidRDefault="00A17C7C">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10 063</w:t>
            </w:r>
          </w:p>
        </w:tc>
      </w:tr>
    </w:tbl>
    <w:p w:rsidR="00EA05DF" w:rsidRDefault="007D0944" w:rsidP="00EA05DF">
      <w:pPr>
        <w:pStyle w:val="AERbodytext"/>
      </w:pPr>
      <w:r>
        <w:t xml:space="preserve">Conditions at the time saw demand close </w:t>
      </w:r>
      <w:r w:rsidR="00EA05DF">
        <w:t xml:space="preserve">to </w:t>
      </w:r>
      <w:r>
        <w:t xml:space="preserve">forecast </w:t>
      </w:r>
      <w:r w:rsidR="000B2488">
        <w:t xml:space="preserve">but </w:t>
      </w:r>
      <w:r w:rsidR="00EA05DF">
        <w:t>a</w:t>
      </w:r>
      <w:r>
        <w:t xml:space="preserve">vailable capacity was </w:t>
      </w:r>
      <w:r w:rsidR="00EA05DF">
        <w:t xml:space="preserve">411 MW </w:t>
      </w:r>
      <w:r>
        <w:t>below forecast</w:t>
      </w:r>
      <w:r w:rsidR="00EA05DF">
        <w:t xml:space="preserve"> four hours ahead</w:t>
      </w:r>
      <w:r w:rsidRPr="00F74FC8">
        <w:t>.</w:t>
      </w:r>
      <w:r w:rsidR="00F74FC8" w:rsidRPr="00F74FC8">
        <w:t xml:space="preserve"> </w:t>
      </w:r>
      <w:r w:rsidR="00EA05DF">
        <w:t>The price was</w:t>
      </w:r>
      <w:r w:rsidR="00EA05DF" w:rsidRPr="00F74FC8">
        <w:t xml:space="preserve"> aligned </w:t>
      </w:r>
      <w:r w:rsidR="00970C3B">
        <w:t xml:space="preserve">with that in </w:t>
      </w:r>
      <w:r w:rsidR="00EA05DF" w:rsidRPr="00F74FC8">
        <w:t>New South Wales.</w:t>
      </w:r>
    </w:p>
    <w:p w:rsidR="002C624D" w:rsidRPr="00DB584A" w:rsidRDefault="00F74FC8" w:rsidP="002C624D">
      <w:pPr>
        <w:pStyle w:val="Caption"/>
      </w:pPr>
      <w:r>
        <w:t>Table 6</w:t>
      </w:r>
      <w:r w:rsidR="002C624D" w:rsidRPr="00DB584A">
        <w:t xml:space="preserve">: Rebids for the </w:t>
      </w:r>
      <w:r w:rsidR="00DB584A" w:rsidRPr="00DB584A">
        <w:t>3</w:t>
      </w:r>
      <w:r w:rsidR="002C624D" w:rsidRPr="00DB584A">
        <w:t> pm trading interval</w:t>
      </w:r>
    </w:p>
    <w:tbl>
      <w:tblPr>
        <w:tblStyle w:val="AERTable-Text"/>
        <w:tblW w:w="9412" w:type="dxa"/>
        <w:tblLook w:val="04A0" w:firstRow="1" w:lastRow="0" w:firstColumn="1" w:lastColumn="0" w:noHBand="0" w:noVBand="1"/>
      </w:tblPr>
      <w:tblGrid>
        <w:gridCol w:w="1077"/>
        <w:gridCol w:w="933"/>
        <w:gridCol w:w="1465"/>
        <w:gridCol w:w="1167"/>
        <w:gridCol w:w="967"/>
        <w:gridCol w:w="906"/>
        <w:gridCol w:w="906"/>
        <w:gridCol w:w="1991"/>
      </w:tblGrid>
      <w:tr w:rsidR="002C624D" w:rsidRPr="00DB584A" w:rsidTr="00DB584A">
        <w:trPr>
          <w:cnfStyle w:val="100000000000" w:firstRow="1" w:lastRow="0" w:firstColumn="0" w:lastColumn="0" w:oddVBand="0" w:evenVBand="0" w:oddHBand="0" w:evenHBand="0" w:firstRowFirstColumn="0" w:firstRowLastColumn="0" w:lastRowFirstColumn="0" w:lastRowLastColumn="0"/>
          <w:trHeight w:val="210"/>
        </w:trPr>
        <w:tc>
          <w:tcPr>
            <w:tcW w:w="1077" w:type="dxa"/>
            <w:hideMark/>
          </w:tcPr>
          <w:p w:rsidR="002C624D" w:rsidRPr="00DB584A" w:rsidRDefault="002C624D" w:rsidP="002C624D">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Submitted</w:t>
            </w:r>
            <w:r w:rsidRPr="00DB584A">
              <w:rPr>
                <w:rFonts w:eastAsia="Times New Roman" w:cs="Arial"/>
                <w:b w:val="0"/>
                <w:color w:val="FFFFFF"/>
                <w:sz w:val="18"/>
                <w:szCs w:val="18"/>
                <w:lang w:eastAsia="en-AU"/>
              </w:rPr>
              <w:br/>
              <w:t>time</w:t>
            </w:r>
          </w:p>
        </w:tc>
        <w:tc>
          <w:tcPr>
            <w:tcW w:w="933" w:type="dxa"/>
            <w:hideMark/>
          </w:tcPr>
          <w:p w:rsidR="002C624D" w:rsidRPr="00DB584A" w:rsidRDefault="002C624D" w:rsidP="002C624D">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Time</w:t>
            </w:r>
            <w:r w:rsidRPr="00DB584A">
              <w:rPr>
                <w:rFonts w:eastAsia="Times New Roman" w:cs="Arial"/>
                <w:b w:val="0"/>
                <w:color w:val="FFFFFF"/>
                <w:sz w:val="18"/>
                <w:szCs w:val="18"/>
                <w:lang w:eastAsia="en-AU"/>
              </w:rPr>
              <w:br/>
              <w:t>effective</w:t>
            </w:r>
          </w:p>
        </w:tc>
        <w:tc>
          <w:tcPr>
            <w:tcW w:w="1465" w:type="dxa"/>
            <w:hideMark/>
          </w:tcPr>
          <w:p w:rsidR="002C624D" w:rsidRPr="00DB584A" w:rsidRDefault="002C624D" w:rsidP="002C624D">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Participant</w:t>
            </w:r>
          </w:p>
        </w:tc>
        <w:tc>
          <w:tcPr>
            <w:tcW w:w="1167" w:type="dxa"/>
            <w:hideMark/>
          </w:tcPr>
          <w:p w:rsidR="002C624D" w:rsidRPr="00DB584A" w:rsidRDefault="002C624D" w:rsidP="002C624D">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Station</w:t>
            </w:r>
          </w:p>
        </w:tc>
        <w:tc>
          <w:tcPr>
            <w:tcW w:w="967" w:type="dxa"/>
            <w:hideMark/>
          </w:tcPr>
          <w:p w:rsidR="002C624D" w:rsidRPr="00DB584A" w:rsidRDefault="002C624D" w:rsidP="002C624D">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Capacity rebid</w:t>
            </w:r>
            <w:r w:rsidRPr="00DB584A">
              <w:rPr>
                <w:rFonts w:eastAsia="Times New Roman" w:cs="Arial"/>
                <w:b w:val="0"/>
                <w:color w:val="FFFFFF"/>
                <w:sz w:val="18"/>
                <w:szCs w:val="18"/>
                <w:lang w:eastAsia="en-AU"/>
              </w:rPr>
              <w:br/>
              <w:t>(MW)</w:t>
            </w:r>
          </w:p>
        </w:tc>
        <w:tc>
          <w:tcPr>
            <w:tcW w:w="906" w:type="dxa"/>
            <w:hideMark/>
          </w:tcPr>
          <w:p w:rsidR="002C624D" w:rsidRPr="00DB584A" w:rsidRDefault="002C624D" w:rsidP="002C624D">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from</w:t>
            </w:r>
            <w:r w:rsidRPr="00DB584A">
              <w:rPr>
                <w:rFonts w:eastAsia="Times New Roman" w:cs="Arial"/>
                <w:b w:val="0"/>
                <w:color w:val="FFFFFF"/>
                <w:sz w:val="18"/>
                <w:szCs w:val="18"/>
                <w:lang w:eastAsia="en-AU"/>
              </w:rPr>
              <w:br/>
              <w:t>($/MWh)</w:t>
            </w:r>
          </w:p>
        </w:tc>
        <w:tc>
          <w:tcPr>
            <w:tcW w:w="906" w:type="dxa"/>
            <w:hideMark/>
          </w:tcPr>
          <w:p w:rsidR="002C624D" w:rsidRPr="00DB584A" w:rsidRDefault="002C624D" w:rsidP="002C624D">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to</w:t>
            </w:r>
            <w:r w:rsidRPr="00DB584A">
              <w:rPr>
                <w:rFonts w:eastAsia="Times New Roman" w:cs="Arial"/>
                <w:b w:val="0"/>
                <w:color w:val="FFFFFF"/>
                <w:sz w:val="18"/>
                <w:szCs w:val="18"/>
                <w:lang w:eastAsia="en-AU"/>
              </w:rPr>
              <w:br/>
              <w:t>($/MWh)</w:t>
            </w:r>
          </w:p>
        </w:tc>
        <w:tc>
          <w:tcPr>
            <w:tcW w:w="1991" w:type="dxa"/>
            <w:hideMark/>
          </w:tcPr>
          <w:p w:rsidR="002C624D" w:rsidRPr="00DB584A" w:rsidRDefault="002C624D" w:rsidP="002C624D">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Rebid reason</w:t>
            </w:r>
          </w:p>
        </w:tc>
      </w:tr>
      <w:tr w:rsidR="007D0944" w:rsidRPr="00DB584A" w:rsidTr="00DB584A">
        <w:trPr>
          <w:trHeight w:val="582"/>
        </w:trPr>
        <w:tc>
          <w:tcPr>
            <w:tcW w:w="1077" w:type="dxa"/>
          </w:tcPr>
          <w:p w:rsidR="007D0944" w:rsidRPr="00EA05DF" w:rsidRDefault="007D0944" w:rsidP="002C624D">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2.03 pm</w:t>
            </w:r>
          </w:p>
        </w:tc>
        <w:tc>
          <w:tcPr>
            <w:tcW w:w="933" w:type="dxa"/>
          </w:tcPr>
          <w:p w:rsidR="007D0944" w:rsidRPr="00EA05DF" w:rsidRDefault="007D0944" w:rsidP="002C624D">
            <w:pPr>
              <w:spacing w:before="0" w:line="240" w:lineRule="auto"/>
              <w:jc w:val="center"/>
              <w:textAlignment w:val="center"/>
              <w:rPr>
                <w:rFonts w:eastAsia="Times New Roman" w:cs="Arial"/>
                <w:color w:val="000000"/>
                <w:szCs w:val="18"/>
                <w:lang w:eastAsia="en-AU"/>
              </w:rPr>
            </w:pPr>
          </w:p>
        </w:tc>
        <w:tc>
          <w:tcPr>
            <w:tcW w:w="1465" w:type="dxa"/>
          </w:tcPr>
          <w:p w:rsidR="007D0944" w:rsidRPr="00EA05DF" w:rsidRDefault="007D0944" w:rsidP="00DB584A">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CS Energy</w:t>
            </w:r>
          </w:p>
        </w:tc>
        <w:tc>
          <w:tcPr>
            <w:tcW w:w="1167" w:type="dxa"/>
          </w:tcPr>
          <w:p w:rsidR="007D0944" w:rsidRPr="00EA05DF" w:rsidRDefault="007D0944" w:rsidP="002C624D">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Gladstone</w:t>
            </w:r>
          </w:p>
        </w:tc>
        <w:tc>
          <w:tcPr>
            <w:tcW w:w="967" w:type="dxa"/>
          </w:tcPr>
          <w:p w:rsidR="007D0944" w:rsidRPr="00EA05DF" w:rsidRDefault="00EA05DF" w:rsidP="002C624D">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w:t>
            </w:r>
            <w:r w:rsidR="007D0944" w:rsidRPr="00EA05DF">
              <w:rPr>
                <w:rFonts w:eastAsia="Times New Roman" w:cs="Arial"/>
                <w:color w:val="000000"/>
                <w:szCs w:val="18"/>
                <w:lang w:eastAsia="en-AU"/>
              </w:rPr>
              <w:t>170</w:t>
            </w:r>
          </w:p>
        </w:tc>
        <w:tc>
          <w:tcPr>
            <w:tcW w:w="906" w:type="dxa"/>
          </w:tcPr>
          <w:p w:rsidR="007D0944" w:rsidRPr="00EA05DF" w:rsidRDefault="007D0944" w:rsidP="002C624D">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&lt;34</w:t>
            </w:r>
          </w:p>
        </w:tc>
        <w:tc>
          <w:tcPr>
            <w:tcW w:w="906" w:type="dxa"/>
          </w:tcPr>
          <w:p w:rsidR="007D0944" w:rsidRPr="00EA05DF" w:rsidRDefault="007D0944" w:rsidP="002C624D">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N/A</w:t>
            </w:r>
          </w:p>
        </w:tc>
        <w:tc>
          <w:tcPr>
            <w:tcW w:w="1991" w:type="dxa"/>
          </w:tcPr>
          <w:p w:rsidR="007D0944" w:rsidRPr="00EA05DF" w:rsidRDefault="007D0944" w:rsidP="002C624D">
            <w:pPr>
              <w:spacing w:before="0" w:line="240" w:lineRule="auto"/>
              <w:textAlignment w:val="center"/>
              <w:rPr>
                <w:rFonts w:cs="Arial"/>
                <w:szCs w:val="18"/>
              </w:rPr>
            </w:pPr>
            <w:r w:rsidRPr="00EA05DF">
              <w:rPr>
                <w:rFonts w:cs="Arial"/>
                <w:szCs w:val="18"/>
              </w:rPr>
              <w:t>1402P OIL LINE LEAK UNIT RAMPING OFF LINE-SL</w:t>
            </w:r>
          </w:p>
        </w:tc>
      </w:tr>
      <w:tr w:rsidR="002C624D" w:rsidRPr="00DB584A" w:rsidTr="00DB584A">
        <w:trPr>
          <w:cnfStyle w:val="000000010000" w:firstRow="0" w:lastRow="0" w:firstColumn="0" w:lastColumn="0" w:oddVBand="0" w:evenVBand="0" w:oddHBand="0" w:evenHBand="1" w:firstRowFirstColumn="0" w:firstRowLastColumn="0" w:lastRowFirstColumn="0" w:lastRowLastColumn="0"/>
          <w:trHeight w:val="582"/>
        </w:trPr>
        <w:tc>
          <w:tcPr>
            <w:tcW w:w="1077" w:type="dxa"/>
          </w:tcPr>
          <w:p w:rsidR="002C624D" w:rsidRPr="00EA05DF" w:rsidRDefault="00DB584A" w:rsidP="002C624D">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2.17</w:t>
            </w:r>
            <w:r w:rsidR="002C624D" w:rsidRPr="00EA05DF">
              <w:rPr>
                <w:rFonts w:eastAsia="Times New Roman" w:cs="Arial"/>
                <w:color w:val="000000"/>
                <w:sz w:val="18"/>
                <w:szCs w:val="18"/>
                <w:lang w:eastAsia="en-AU"/>
              </w:rPr>
              <w:t xml:space="preserve"> pm </w:t>
            </w:r>
          </w:p>
        </w:tc>
        <w:tc>
          <w:tcPr>
            <w:tcW w:w="933" w:type="dxa"/>
          </w:tcPr>
          <w:p w:rsidR="002C624D" w:rsidRPr="00EA05DF" w:rsidRDefault="002C624D" w:rsidP="002C624D">
            <w:pPr>
              <w:spacing w:before="0" w:line="240" w:lineRule="auto"/>
              <w:jc w:val="center"/>
              <w:textAlignment w:val="center"/>
              <w:rPr>
                <w:rFonts w:eastAsia="Times New Roman" w:cs="Arial"/>
                <w:color w:val="000000"/>
                <w:sz w:val="18"/>
                <w:szCs w:val="18"/>
                <w:lang w:eastAsia="en-AU"/>
              </w:rPr>
            </w:pPr>
          </w:p>
        </w:tc>
        <w:tc>
          <w:tcPr>
            <w:tcW w:w="1465" w:type="dxa"/>
          </w:tcPr>
          <w:p w:rsidR="002C624D" w:rsidRPr="00EA05DF" w:rsidRDefault="002C624D" w:rsidP="00DB584A">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E</w:t>
            </w:r>
            <w:r w:rsidR="00DB584A" w:rsidRPr="00EA05DF">
              <w:rPr>
                <w:rFonts w:eastAsia="Times New Roman" w:cs="Arial"/>
                <w:color w:val="000000"/>
                <w:sz w:val="18"/>
                <w:szCs w:val="18"/>
                <w:lang w:eastAsia="en-AU"/>
              </w:rPr>
              <w:t>RM Power</w:t>
            </w:r>
          </w:p>
        </w:tc>
        <w:tc>
          <w:tcPr>
            <w:tcW w:w="1167" w:type="dxa"/>
          </w:tcPr>
          <w:p w:rsidR="002C624D" w:rsidRPr="00EA05DF" w:rsidRDefault="00DB584A" w:rsidP="002C624D">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Oakey</w:t>
            </w:r>
          </w:p>
        </w:tc>
        <w:tc>
          <w:tcPr>
            <w:tcW w:w="967" w:type="dxa"/>
          </w:tcPr>
          <w:p w:rsidR="002C624D" w:rsidRPr="00EA05DF" w:rsidRDefault="00DB584A" w:rsidP="002C624D">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55</w:t>
            </w:r>
          </w:p>
        </w:tc>
        <w:tc>
          <w:tcPr>
            <w:tcW w:w="906" w:type="dxa"/>
          </w:tcPr>
          <w:p w:rsidR="002C624D" w:rsidRPr="00EA05DF" w:rsidRDefault="00DB584A" w:rsidP="002C624D">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0</w:t>
            </w:r>
          </w:p>
        </w:tc>
        <w:tc>
          <w:tcPr>
            <w:tcW w:w="906" w:type="dxa"/>
          </w:tcPr>
          <w:p w:rsidR="002C624D" w:rsidRPr="00EA05DF" w:rsidRDefault="00DB584A" w:rsidP="002C624D">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&gt;295</w:t>
            </w:r>
          </w:p>
        </w:tc>
        <w:tc>
          <w:tcPr>
            <w:tcW w:w="1991" w:type="dxa"/>
          </w:tcPr>
          <w:p w:rsidR="002C624D" w:rsidRPr="00EA05DF" w:rsidRDefault="00DB584A" w:rsidP="002C624D">
            <w:pPr>
              <w:spacing w:before="0" w:line="240" w:lineRule="auto"/>
              <w:textAlignment w:val="center"/>
              <w:rPr>
                <w:rFonts w:eastAsia="Times New Roman" w:cs="Arial"/>
                <w:color w:val="000000"/>
                <w:sz w:val="18"/>
                <w:szCs w:val="18"/>
                <w:lang w:eastAsia="en-AU"/>
              </w:rPr>
            </w:pPr>
            <w:r w:rsidRPr="00EA05DF">
              <w:rPr>
                <w:rFonts w:cs="Arial"/>
                <w:sz w:val="18"/>
                <w:szCs w:val="18"/>
              </w:rPr>
              <w:t>1407F CHANGE IN CONTRACT POSITION-</w:t>
            </w:r>
          </w:p>
        </w:tc>
      </w:tr>
    </w:tbl>
    <w:p w:rsidR="00EA05DF" w:rsidRDefault="00EA05DF" w:rsidP="00EA05DF">
      <w:pPr>
        <w:pStyle w:val="AERbodytext"/>
      </w:pPr>
      <w:proofErr w:type="gramStart"/>
      <w:r>
        <w:t>The above rebids as well as the rebidding in New South Wales saw all but the 2.40 pm dispatch price at around $300/MWh.</w:t>
      </w:r>
      <w:proofErr w:type="gramEnd"/>
    </w:p>
    <w:p w:rsidR="00970C3B" w:rsidRPr="0067180B" w:rsidRDefault="00970C3B" w:rsidP="00970C3B">
      <w:pPr>
        <w:pStyle w:val="Caption"/>
      </w:pPr>
      <w:r>
        <w:t xml:space="preserve">Table </w:t>
      </w:r>
      <w:r w:rsidR="00966015">
        <w:t>7</w:t>
      </w:r>
      <w:r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970C3B" w:rsidRPr="0067180B" w:rsidTr="000B2488">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970C3B" w:rsidRPr="0067180B" w:rsidRDefault="00970C3B" w:rsidP="000B2488">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970C3B" w:rsidRPr="0067180B" w:rsidRDefault="00970C3B" w:rsidP="000B2488">
            <w:pPr>
              <w:pStyle w:val="TableHeading"/>
              <w:jc w:val="center"/>
              <w:rPr>
                <w:rFonts w:cs="Arial"/>
                <w:sz w:val="20"/>
                <w:szCs w:val="20"/>
              </w:rPr>
            </w:pPr>
            <w:r w:rsidRPr="0067180B">
              <w:rPr>
                <w:rFonts w:cs="Arial"/>
                <w:sz w:val="20"/>
                <w:szCs w:val="20"/>
              </w:rPr>
              <w:t>Price ($/MWh)</w:t>
            </w:r>
          </w:p>
        </w:tc>
        <w:tc>
          <w:tcPr>
            <w:tcW w:w="1422" w:type="pct"/>
            <w:gridSpan w:val="3"/>
            <w:hideMark/>
          </w:tcPr>
          <w:p w:rsidR="00970C3B" w:rsidRPr="0067180B" w:rsidRDefault="00970C3B" w:rsidP="000B2488">
            <w:pPr>
              <w:pStyle w:val="TableHeading"/>
              <w:jc w:val="center"/>
              <w:rPr>
                <w:rFonts w:cs="Arial"/>
                <w:sz w:val="20"/>
                <w:szCs w:val="20"/>
              </w:rPr>
            </w:pPr>
            <w:r w:rsidRPr="0067180B">
              <w:rPr>
                <w:rFonts w:cs="Arial"/>
                <w:sz w:val="20"/>
                <w:szCs w:val="20"/>
              </w:rPr>
              <w:t>Demand (MW)</w:t>
            </w:r>
          </w:p>
        </w:tc>
        <w:tc>
          <w:tcPr>
            <w:tcW w:w="1429" w:type="pct"/>
            <w:gridSpan w:val="3"/>
            <w:hideMark/>
          </w:tcPr>
          <w:p w:rsidR="00970C3B" w:rsidRPr="0067180B" w:rsidRDefault="00970C3B" w:rsidP="000B2488">
            <w:pPr>
              <w:pStyle w:val="TableHeading"/>
              <w:jc w:val="center"/>
              <w:rPr>
                <w:rFonts w:cs="Arial"/>
                <w:sz w:val="20"/>
                <w:szCs w:val="20"/>
              </w:rPr>
            </w:pPr>
            <w:r w:rsidRPr="0067180B">
              <w:rPr>
                <w:rFonts w:cs="Arial"/>
                <w:sz w:val="20"/>
                <w:szCs w:val="20"/>
              </w:rPr>
              <w:t>Availability (MW)</w:t>
            </w:r>
          </w:p>
        </w:tc>
      </w:tr>
      <w:tr w:rsidR="00970C3B" w:rsidRPr="0067180B" w:rsidTr="000B2488">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970C3B" w:rsidRPr="0067180B" w:rsidRDefault="00970C3B" w:rsidP="000B2488">
            <w:pPr>
              <w:pStyle w:val="tableheadingline2"/>
              <w:rPr>
                <w:rFonts w:cs="Arial"/>
                <w:sz w:val="20"/>
                <w:szCs w:val="20"/>
              </w:rPr>
            </w:pPr>
            <w:r w:rsidRPr="0067180B">
              <w:rPr>
                <w:rFonts w:cs="Arial"/>
                <w:sz w:val="20"/>
                <w:szCs w:val="20"/>
              </w:rPr>
              <w:t>12 hr forecast</w:t>
            </w:r>
          </w:p>
        </w:tc>
      </w:tr>
      <w:tr w:rsidR="00970C3B" w:rsidRPr="0067180B" w:rsidTr="000B2488">
        <w:trPr>
          <w:trHeight w:val="510"/>
        </w:trPr>
        <w:tc>
          <w:tcPr>
            <w:tcW w:w="533" w:type="pct"/>
            <w:vAlign w:val="center"/>
          </w:tcPr>
          <w:p w:rsidR="00970C3B" w:rsidRPr="00A17C7C" w:rsidRDefault="00970C3B" w:rsidP="000B2488">
            <w:pPr>
              <w:pStyle w:val="NormalWeb"/>
              <w:jc w:val="center"/>
              <w:rPr>
                <w:rFonts w:asciiTheme="minorHAnsi" w:hAnsiTheme="minorHAnsi" w:cstheme="minorHAnsi"/>
                <w:sz w:val="18"/>
                <w:szCs w:val="18"/>
              </w:rPr>
            </w:pPr>
            <w:r>
              <w:rPr>
                <w:rFonts w:asciiTheme="minorHAnsi" w:hAnsiTheme="minorHAnsi" w:cstheme="minorHAnsi"/>
                <w:b/>
                <w:bCs/>
                <w:sz w:val="18"/>
                <w:szCs w:val="18"/>
              </w:rPr>
              <w:t>5</w:t>
            </w:r>
            <w:r w:rsidRPr="00A17C7C">
              <w:rPr>
                <w:rFonts w:asciiTheme="minorHAnsi" w:hAnsiTheme="minorHAnsi" w:cstheme="minorHAnsi"/>
                <w:b/>
                <w:bCs/>
                <w:sz w:val="18"/>
                <w:szCs w:val="18"/>
              </w:rPr>
              <w:t xml:space="preserve"> </w:t>
            </w:r>
            <w:r>
              <w:rPr>
                <w:rFonts w:asciiTheme="minorHAnsi" w:hAnsiTheme="minorHAnsi" w:cstheme="minorHAnsi"/>
                <w:b/>
                <w:bCs/>
                <w:sz w:val="18"/>
                <w:szCs w:val="18"/>
              </w:rPr>
              <w:t>pm</w:t>
            </w:r>
          </w:p>
        </w:tc>
        <w:tc>
          <w:tcPr>
            <w:tcW w:w="611"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282.49</w:t>
            </w:r>
          </w:p>
        </w:tc>
        <w:tc>
          <w:tcPr>
            <w:tcW w:w="502"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44.18</w:t>
            </w:r>
          </w:p>
        </w:tc>
        <w:tc>
          <w:tcPr>
            <w:tcW w:w="502"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49.51</w:t>
            </w:r>
          </w:p>
        </w:tc>
        <w:tc>
          <w:tcPr>
            <w:tcW w:w="418"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8372</w:t>
            </w:r>
          </w:p>
        </w:tc>
        <w:tc>
          <w:tcPr>
            <w:tcW w:w="502"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8235</w:t>
            </w:r>
          </w:p>
        </w:tc>
        <w:tc>
          <w:tcPr>
            <w:tcW w:w="502"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8349</w:t>
            </w:r>
          </w:p>
        </w:tc>
        <w:tc>
          <w:tcPr>
            <w:tcW w:w="425"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9658</w:t>
            </w:r>
          </w:p>
        </w:tc>
        <w:tc>
          <w:tcPr>
            <w:tcW w:w="502"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9975</w:t>
            </w:r>
          </w:p>
        </w:tc>
        <w:tc>
          <w:tcPr>
            <w:tcW w:w="502" w:type="pct"/>
            <w:vAlign w:val="center"/>
          </w:tcPr>
          <w:p w:rsidR="00970C3B" w:rsidRPr="00A17C7C" w:rsidRDefault="00970C3B" w:rsidP="000B2488">
            <w:pPr>
              <w:pStyle w:val="NormalWeb"/>
              <w:jc w:val="center"/>
              <w:rPr>
                <w:rFonts w:asciiTheme="minorHAnsi" w:hAnsiTheme="minorHAnsi" w:cstheme="minorHAnsi"/>
                <w:sz w:val="18"/>
                <w:szCs w:val="18"/>
              </w:rPr>
            </w:pPr>
            <w:r w:rsidRPr="00A17C7C">
              <w:rPr>
                <w:rFonts w:asciiTheme="minorHAnsi" w:hAnsiTheme="minorHAnsi" w:cstheme="minorHAnsi"/>
                <w:sz w:val="18"/>
                <w:szCs w:val="18"/>
              </w:rPr>
              <w:t>10 060</w:t>
            </w:r>
          </w:p>
        </w:tc>
      </w:tr>
    </w:tbl>
    <w:p w:rsidR="00970C3B" w:rsidRDefault="00970C3B" w:rsidP="00EA05DF">
      <w:pPr>
        <w:pStyle w:val="AERbodytext"/>
      </w:pPr>
      <w:r w:rsidRPr="00124D78">
        <w:rPr>
          <w:rFonts w:cs="Times New Roman"/>
          <w:bCs/>
          <w:szCs w:val="20"/>
        </w:rPr>
        <w:t xml:space="preserve">Conditions at the time saw demand close to forecast </w:t>
      </w:r>
      <w:r w:rsidR="000B2488" w:rsidRPr="00124D78">
        <w:rPr>
          <w:rFonts w:cs="Times New Roman"/>
          <w:bCs/>
          <w:szCs w:val="20"/>
        </w:rPr>
        <w:t>but</w:t>
      </w:r>
      <w:r w:rsidRPr="00124D78">
        <w:rPr>
          <w:rFonts w:cs="Times New Roman"/>
          <w:bCs/>
          <w:szCs w:val="20"/>
        </w:rPr>
        <w:t xml:space="preserve"> available capacity around 300 MW</w:t>
      </w:r>
      <w:r>
        <w:t xml:space="preserve"> lower than forecast. A dynamic constraint avoiding the overload of the Liddell to Muswellbrook line was limiting imports into Queensland to around 100 MW.</w:t>
      </w:r>
    </w:p>
    <w:p w:rsidR="00DB584A" w:rsidRPr="00DB584A" w:rsidRDefault="004B1D5B" w:rsidP="00DB584A">
      <w:pPr>
        <w:pStyle w:val="Caption"/>
      </w:pPr>
      <w:r>
        <w:t xml:space="preserve">Table </w:t>
      </w:r>
      <w:r w:rsidR="00966015">
        <w:t>8</w:t>
      </w:r>
      <w:r w:rsidR="00DB584A" w:rsidRPr="00DB584A">
        <w:t>: Rebids for the 5 pm trading interval</w:t>
      </w:r>
    </w:p>
    <w:tbl>
      <w:tblPr>
        <w:tblStyle w:val="AERTable-Text"/>
        <w:tblW w:w="9412" w:type="dxa"/>
        <w:tblLook w:val="04A0" w:firstRow="1" w:lastRow="0" w:firstColumn="1" w:lastColumn="0" w:noHBand="0" w:noVBand="1"/>
      </w:tblPr>
      <w:tblGrid>
        <w:gridCol w:w="1077"/>
        <w:gridCol w:w="933"/>
        <w:gridCol w:w="1465"/>
        <w:gridCol w:w="1167"/>
        <w:gridCol w:w="967"/>
        <w:gridCol w:w="906"/>
        <w:gridCol w:w="906"/>
        <w:gridCol w:w="1991"/>
      </w:tblGrid>
      <w:tr w:rsidR="00DB584A" w:rsidRPr="00DB584A" w:rsidTr="006F08CF">
        <w:trPr>
          <w:cnfStyle w:val="100000000000" w:firstRow="1" w:lastRow="0" w:firstColumn="0" w:lastColumn="0" w:oddVBand="0" w:evenVBand="0" w:oddHBand="0" w:evenHBand="0" w:firstRowFirstColumn="0" w:firstRowLastColumn="0" w:lastRowFirstColumn="0" w:lastRowLastColumn="0"/>
          <w:trHeight w:val="210"/>
          <w:tblHeader/>
        </w:trPr>
        <w:tc>
          <w:tcPr>
            <w:tcW w:w="1077" w:type="dxa"/>
            <w:hideMark/>
          </w:tcPr>
          <w:p w:rsidR="00DB584A" w:rsidRPr="00DB584A" w:rsidRDefault="00DB584A"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Submitted</w:t>
            </w:r>
            <w:r w:rsidRPr="00DB584A">
              <w:rPr>
                <w:rFonts w:eastAsia="Times New Roman" w:cs="Arial"/>
                <w:b w:val="0"/>
                <w:color w:val="FFFFFF"/>
                <w:sz w:val="18"/>
                <w:szCs w:val="18"/>
                <w:lang w:eastAsia="en-AU"/>
              </w:rPr>
              <w:br/>
              <w:t>time</w:t>
            </w:r>
          </w:p>
        </w:tc>
        <w:tc>
          <w:tcPr>
            <w:tcW w:w="933" w:type="dxa"/>
            <w:hideMark/>
          </w:tcPr>
          <w:p w:rsidR="00DB584A" w:rsidRPr="00DB584A" w:rsidRDefault="00DB584A"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Time</w:t>
            </w:r>
            <w:r w:rsidRPr="00DB584A">
              <w:rPr>
                <w:rFonts w:eastAsia="Times New Roman" w:cs="Arial"/>
                <w:b w:val="0"/>
                <w:color w:val="FFFFFF"/>
                <w:sz w:val="18"/>
                <w:szCs w:val="18"/>
                <w:lang w:eastAsia="en-AU"/>
              </w:rPr>
              <w:br/>
              <w:t>effective</w:t>
            </w:r>
          </w:p>
        </w:tc>
        <w:tc>
          <w:tcPr>
            <w:tcW w:w="1465" w:type="dxa"/>
            <w:hideMark/>
          </w:tcPr>
          <w:p w:rsidR="00DB584A" w:rsidRPr="00DB584A" w:rsidRDefault="00DB584A" w:rsidP="00C669A3">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Participant</w:t>
            </w:r>
          </w:p>
        </w:tc>
        <w:tc>
          <w:tcPr>
            <w:tcW w:w="1167" w:type="dxa"/>
            <w:hideMark/>
          </w:tcPr>
          <w:p w:rsidR="00DB584A" w:rsidRPr="00DB584A" w:rsidRDefault="00DB584A" w:rsidP="00C669A3">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Station</w:t>
            </w:r>
          </w:p>
        </w:tc>
        <w:tc>
          <w:tcPr>
            <w:tcW w:w="967" w:type="dxa"/>
            <w:hideMark/>
          </w:tcPr>
          <w:p w:rsidR="00DB584A" w:rsidRPr="00DB584A" w:rsidRDefault="00DB584A"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Capacity rebid</w:t>
            </w:r>
            <w:r w:rsidRPr="00DB584A">
              <w:rPr>
                <w:rFonts w:eastAsia="Times New Roman" w:cs="Arial"/>
                <w:b w:val="0"/>
                <w:color w:val="FFFFFF"/>
                <w:sz w:val="18"/>
                <w:szCs w:val="18"/>
                <w:lang w:eastAsia="en-AU"/>
              </w:rPr>
              <w:br/>
              <w:t>(MW)</w:t>
            </w:r>
          </w:p>
        </w:tc>
        <w:tc>
          <w:tcPr>
            <w:tcW w:w="906" w:type="dxa"/>
            <w:hideMark/>
          </w:tcPr>
          <w:p w:rsidR="00DB584A" w:rsidRPr="00DB584A" w:rsidRDefault="00DB584A"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from</w:t>
            </w:r>
            <w:r w:rsidRPr="00DB584A">
              <w:rPr>
                <w:rFonts w:eastAsia="Times New Roman" w:cs="Arial"/>
                <w:b w:val="0"/>
                <w:color w:val="FFFFFF"/>
                <w:sz w:val="18"/>
                <w:szCs w:val="18"/>
                <w:lang w:eastAsia="en-AU"/>
              </w:rPr>
              <w:br/>
              <w:t>($/MWh)</w:t>
            </w:r>
          </w:p>
        </w:tc>
        <w:tc>
          <w:tcPr>
            <w:tcW w:w="906" w:type="dxa"/>
            <w:hideMark/>
          </w:tcPr>
          <w:p w:rsidR="00DB584A" w:rsidRPr="00DB584A" w:rsidRDefault="00DB584A" w:rsidP="00C669A3">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to</w:t>
            </w:r>
            <w:r w:rsidRPr="00DB584A">
              <w:rPr>
                <w:rFonts w:eastAsia="Times New Roman" w:cs="Arial"/>
                <w:b w:val="0"/>
                <w:color w:val="FFFFFF"/>
                <w:sz w:val="18"/>
                <w:szCs w:val="18"/>
                <w:lang w:eastAsia="en-AU"/>
              </w:rPr>
              <w:br/>
              <w:t>($/MWh)</w:t>
            </w:r>
          </w:p>
        </w:tc>
        <w:tc>
          <w:tcPr>
            <w:tcW w:w="1991" w:type="dxa"/>
            <w:hideMark/>
          </w:tcPr>
          <w:p w:rsidR="00DB584A" w:rsidRPr="00DB584A" w:rsidRDefault="00DB584A" w:rsidP="00C669A3">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Rebid reason</w:t>
            </w:r>
          </w:p>
        </w:tc>
      </w:tr>
      <w:tr w:rsidR="00DB584A" w:rsidRPr="00DB584A" w:rsidTr="00DB584A">
        <w:trPr>
          <w:trHeight w:val="582"/>
        </w:trPr>
        <w:tc>
          <w:tcPr>
            <w:tcW w:w="1077"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 xml:space="preserve">1.53 pm </w:t>
            </w:r>
          </w:p>
        </w:tc>
        <w:tc>
          <w:tcPr>
            <w:tcW w:w="933" w:type="dxa"/>
          </w:tcPr>
          <w:p w:rsidR="00DB584A" w:rsidRPr="00EA05DF" w:rsidRDefault="00DB584A" w:rsidP="00C669A3">
            <w:pPr>
              <w:spacing w:before="0" w:line="240" w:lineRule="auto"/>
              <w:jc w:val="center"/>
              <w:textAlignment w:val="center"/>
              <w:rPr>
                <w:rFonts w:eastAsia="Times New Roman" w:cs="Arial"/>
                <w:color w:val="000000"/>
                <w:szCs w:val="18"/>
                <w:lang w:eastAsia="en-AU"/>
              </w:rPr>
            </w:pPr>
          </w:p>
        </w:tc>
        <w:tc>
          <w:tcPr>
            <w:tcW w:w="1465"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CS Energy</w:t>
            </w:r>
          </w:p>
        </w:tc>
        <w:tc>
          <w:tcPr>
            <w:tcW w:w="1167"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Gladstone</w:t>
            </w:r>
          </w:p>
        </w:tc>
        <w:tc>
          <w:tcPr>
            <w:tcW w:w="967" w:type="dxa"/>
          </w:tcPr>
          <w:p w:rsidR="00DB584A" w:rsidRPr="00EA05DF" w:rsidRDefault="00EA05DF"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w:t>
            </w:r>
            <w:r w:rsidR="00DB584A" w:rsidRPr="00EA05DF">
              <w:rPr>
                <w:rFonts w:eastAsia="Times New Roman" w:cs="Arial"/>
                <w:color w:val="000000"/>
                <w:szCs w:val="18"/>
                <w:lang w:eastAsia="en-AU"/>
              </w:rPr>
              <w:t>250</w:t>
            </w:r>
          </w:p>
        </w:tc>
        <w:tc>
          <w:tcPr>
            <w:tcW w:w="906" w:type="dxa"/>
          </w:tcPr>
          <w:p w:rsidR="00DB584A" w:rsidRPr="00EA05DF" w:rsidRDefault="00DB584A"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&lt;75</w:t>
            </w:r>
          </w:p>
        </w:tc>
        <w:tc>
          <w:tcPr>
            <w:tcW w:w="906" w:type="dxa"/>
          </w:tcPr>
          <w:p w:rsidR="00DB584A" w:rsidRPr="00EA05DF" w:rsidRDefault="00DB584A"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N/A</w:t>
            </w:r>
          </w:p>
        </w:tc>
        <w:tc>
          <w:tcPr>
            <w:tcW w:w="1991"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cs="Arial"/>
                <w:szCs w:val="18"/>
              </w:rPr>
              <w:t>1352P OIL LINE LEAK UNIT RAMPING OFF LINE-SL</w:t>
            </w:r>
          </w:p>
        </w:tc>
      </w:tr>
      <w:tr w:rsidR="00DB584A" w:rsidRPr="00DB584A" w:rsidTr="00DB584A">
        <w:trPr>
          <w:cnfStyle w:val="000000010000" w:firstRow="0" w:lastRow="0" w:firstColumn="0" w:lastColumn="0" w:oddVBand="0" w:evenVBand="0" w:oddHBand="0" w:evenHBand="1" w:firstRowFirstColumn="0" w:firstRowLastColumn="0" w:lastRowFirstColumn="0" w:lastRowLastColumn="0"/>
          <w:trHeight w:val="582"/>
        </w:trPr>
        <w:tc>
          <w:tcPr>
            <w:tcW w:w="1077" w:type="dxa"/>
          </w:tcPr>
          <w:p w:rsidR="00DB584A" w:rsidRPr="00EA05DF" w:rsidRDefault="00DB584A" w:rsidP="00C669A3">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lastRenderedPageBreak/>
              <w:t xml:space="preserve">2.17 pm </w:t>
            </w:r>
          </w:p>
        </w:tc>
        <w:tc>
          <w:tcPr>
            <w:tcW w:w="933" w:type="dxa"/>
          </w:tcPr>
          <w:p w:rsidR="00DB584A" w:rsidRPr="00EA05DF" w:rsidRDefault="00DB584A" w:rsidP="00C669A3">
            <w:pPr>
              <w:spacing w:before="0" w:line="240" w:lineRule="auto"/>
              <w:jc w:val="center"/>
              <w:textAlignment w:val="center"/>
              <w:rPr>
                <w:rFonts w:eastAsia="Times New Roman" w:cs="Arial"/>
                <w:color w:val="000000"/>
                <w:sz w:val="18"/>
                <w:szCs w:val="18"/>
                <w:lang w:eastAsia="en-AU"/>
              </w:rPr>
            </w:pPr>
          </w:p>
        </w:tc>
        <w:tc>
          <w:tcPr>
            <w:tcW w:w="1465" w:type="dxa"/>
          </w:tcPr>
          <w:p w:rsidR="00DB584A" w:rsidRPr="00EA05DF" w:rsidRDefault="00DB584A" w:rsidP="00C669A3">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ERM Power</w:t>
            </w:r>
          </w:p>
        </w:tc>
        <w:tc>
          <w:tcPr>
            <w:tcW w:w="1167" w:type="dxa"/>
          </w:tcPr>
          <w:p w:rsidR="00DB584A" w:rsidRPr="00EA05DF" w:rsidRDefault="00DB584A" w:rsidP="00C669A3">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Oakey</w:t>
            </w:r>
          </w:p>
        </w:tc>
        <w:tc>
          <w:tcPr>
            <w:tcW w:w="967" w:type="dxa"/>
          </w:tcPr>
          <w:p w:rsidR="00DB584A" w:rsidRPr="00EA05DF" w:rsidRDefault="00DB584A" w:rsidP="00C669A3">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60</w:t>
            </w:r>
          </w:p>
        </w:tc>
        <w:tc>
          <w:tcPr>
            <w:tcW w:w="906" w:type="dxa"/>
          </w:tcPr>
          <w:p w:rsidR="00DB584A" w:rsidRPr="00EA05DF" w:rsidRDefault="00DB584A" w:rsidP="00C669A3">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0</w:t>
            </w:r>
          </w:p>
        </w:tc>
        <w:tc>
          <w:tcPr>
            <w:tcW w:w="906" w:type="dxa"/>
          </w:tcPr>
          <w:p w:rsidR="00DB584A" w:rsidRPr="00EA05DF" w:rsidRDefault="00DB584A" w:rsidP="00C669A3">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12</w:t>
            </w:r>
            <w:r w:rsidR="00EA05DF" w:rsidRPr="00EA05DF">
              <w:rPr>
                <w:rFonts w:eastAsia="Times New Roman" w:cs="Arial"/>
                <w:color w:val="000000"/>
                <w:sz w:val="18"/>
                <w:szCs w:val="18"/>
                <w:lang w:eastAsia="en-AU"/>
              </w:rPr>
              <w:t> </w:t>
            </w:r>
            <w:r w:rsidRPr="00EA05DF">
              <w:rPr>
                <w:rFonts w:eastAsia="Times New Roman" w:cs="Arial"/>
                <w:color w:val="000000"/>
                <w:sz w:val="18"/>
                <w:szCs w:val="18"/>
                <w:lang w:eastAsia="en-AU"/>
              </w:rPr>
              <w:t>899</w:t>
            </w:r>
          </w:p>
        </w:tc>
        <w:tc>
          <w:tcPr>
            <w:tcW w:w="1991" w:type="dxa"/>
          </w:tcPr>
          <w:p w:rsidR="00DB584A" w:rsidRPr="00EA05DF" w:rsidRDefault="00DB584A" w:rsidP="00C669A3">
            <w:pPr>
              <w:spacing w:before="0" w:line="240" w:lineRule="auto"/>
              <w:textAlignment w:val="center"/>
              <w:rPr>
                <w:rFonts w:eastAsia="Times New Roman" w:cs="Arial"/>
                <w:color w:val="000000"/>
                <w:sz w:val="18"/>
                <w:szCs w:val="18"/>
                <w:lang w:eastAsia="en-AU"/>
              </w:rPr>
            </w:pPr>
            <w:r w:rsidRPr="00EA05DF">
              <w:rPr>
                <w:rFonts w:cs="Arial"/>
                <w:sz w:val="18"/>
                <w:szCs w:val="18"/>
              </w:rPr>
              <w:t>1407F CHANGE IN CONTRACT POSITION-</w:t>
            </w:r>
          </w:p>
        </w:tc>
      </w:tr>
      <w:tr w:rsidR="00DB584A" w:rsidRPr="00DB584A" w:rsidTr="00DB584A">
        <w:trPr>
          <w:trHeight w:val="582"/>
        </w:trPr>
        <w:tc>
          <w:tcPr>
            <w:tcW w:w="1077"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 xml:space="preserve">4.03 pm </w:t>
            </w:r>
          </w:p>
        </w:tc>
        <w:tc>
          <w:tcPr>
            <w:tcW w:w="933" w:type="dxa"/>
          </w:tcPr>
          <w:p w:rsidR="00DB584A" w:rsidRPr="00EA05DF" w:rsidRDefault="00DB584A" w:rsidP="00C669A3">
            <w:pPr>
              <w:spacing w:before="0" w:line="240" w:lineRule="auto"/>
              <w:jc w:val="center"/>
              <w:textAlignment w:val="center"/>
              <w:rPr>
                <w:rFonts w:eastAsia="Times New Roman" w:cs="Arial"/>
                <w:color w:val="000000"/>
                <w:szCs w:val="18"/>
                <w:lang w:eastAsia="en-AU"/>
              </w:rPr>
            </w:pPr>
          </w:p>
        </w:tc>
        <w:tc>
          <w:tcPr>
            <w:tcW w:w="1465"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ERM Power</w:t>
            </w:r>
          </w:p>
        </w:tc>
        <w:tc>
          <w:tcPr>
            <w:tcW w:w="1167"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Oakey</w:t>
            </w:r>
          </w:p>
        </w:tc>
        <w:tc>
          <w:tcPr>
            <w:tcW w:w="967" w:type="dxa"/>
          </w:tcPr>
          <w:p w:rsidR="00DB584A" w:rsidRPr="00EA05DF" w:rsidRDefault="00DB584A"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100</w:t>
            </w:r>
          </w:p>
        </w:tc>
        <w:tc>
          <w:tcPr>
            <w:tcW w:w="906" w:type="dxa"/>
          </w:tcPr>
          <w:p w:rsidR="00DB584A" w:rsidRPr="00EA05DF" w:rsidRDefault="00DB584A"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&lt;0</w:t>
            </w:r>
          </w:p>
        </w:tc>
        <w:tc>
          <w:tcPr>
            <w:tcW w:w="906" w:type="dxa"/>
          </w:tcPr>
          <w:p w:rsidR="00DB584A" w:rsidRPr="00EA05DF" w:rsidRDefault="00DB584A"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350</w:t>
            </w:r>
          </w:p>
        </w:tc>
        <w:tc>
          <w:tcPr>
            <w:tcW w:w="1991" w:type="dxa"/>
          </w:tcPr>
          <w:p w:rsidR="00DB584A" w:rsidRPr="00EA05DF" w:rsidRDefault="00DB584A" w:rsidP="00C669A3">
            <w:pPr>
              <w:spacing w:before="0" w:line="240" w:lineRule="auto"/>
              <w:textAlignment w:val="center"/>
              <w:rPr>
                <w:rFonts w:eastAsia="Times New Roman" w:cs="Arial"/>
                <w:color w:val="000000"/>
                <w:szCs w:val="18"/>
                <w:lang w:eastAsia="en-AU"/>
              </w:rPr>
            </w:pPr>
            <w:r w:rsidRPr="00EA05DF">
              <w:rPr>
                <w:rFonts w:cs="Arial"/>
                <w:szCs w:val="18"/>
              </w:rPr>
              <w:t>1602A CHANGE IN NSW DEMAND 5M DISPATCH 11351MW VS 30M PD 11618MW</w:t>
            </w:r>
          </w:p>
        </w:tc>
      </w:tr>
      <w:tr w:rsidR="00DB584A" w:rsidRPr="00DB584A" w:rsidTr="00DB584A">
        <w:trPr>
          <w:cnfStyle w:val="000000010000" w:firstRow="0" w:lastRow="0" w:firstColumn="0" w:lastColumn="0" w:oddVBand="0" w:evenVBand="0" w:oddHBand="0" w:evenHBand="1" w:firstRowFirstColumn="0" w:firstRowLastColumn="0" w:lastRowFirstColumn="0" w:lastRowLastColumn="0"/>
          <w:trHeight w:val="582"/>
        </w:trPr>
        <w:tc>
          <w:tcPr>
            <w:tcW w:w="1077" w:type="dxa"/>
          </w:tcPr>
          <w:p w:rsidR="00DB584A" w:rsidRPr="00EA05DF" w:rsidRDefault="00DB584A" w:rsidP="00C669A3">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4.48 pm</w:t>
            </w:r>
          </w:p>
        </w:tc>
        <w:tc>
          <w:tcPr>
            <w:tcW w:w="933" w:type="dxa"/>
          </w:tcPr>
          <w:p w:rsidR="00DB584A" w:rsidRPr="00EA05DF" w:rsidRDefault="00DB584A" w:rsidP="00C669A3">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4.55 pm</w:t>
            </w:r>
          </w:p>
        </w:tc>
        <w:tc>
          <w:tcPr>
            <w:tcW w:w="1465" w:type="dxa"/>
          </w:tcPr>
          <w:p w:rsidR="00DB584A" w:rsidRPr="00EA05DF" w:rsidRDefault="00DB584A" w:rsidP="00C669A3">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 xml:space="preserve">Callide </w:t>
            </w:r>
          </w:p>
        </w:tc>
        <w:tc>
          <w:tcPr>
            <w:tcW w:w="1167" w:type="dxa"/>
          </w:tcPr>
          <w:p w:rsidR="00DB584A" w:rsidRPr="00EA05DF" w:rsidRDefault="00DB584A" w:rsidP="00C669A3">
            <w:pPr>
              <w:spacing w:before="0" w:line="240" w:lineRule="auto"/>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Callide C</w:t>
            </w:r>
          </w:p>
        </w:tc>
        <w:tc>
          <w:tcPr>
            <w:tcW w:w="967" w:type="dxa"/>
          </w:tcPr>
          <w:p w:rsidR="00DB584A" w:rsidRPr="00EA05DF" w:rsidRDefault="00DB584A" w:rsidP="00C669A3">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80</w:t>
            </w:r>
          </w:p>
        </w:tc>
        <w:tc>
          <w:tcPr>
            <w:tcW w:w="906" w:type="dxa"/>
          </w:tcPr>
          <w:p w:rsidR="00DB584A" w:rsidRPr="00EA05DF" w:rsidRDefault="004B1D5B" w:rsidP="00C669A3">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17</w:t>
            </w:r>
          </w:p>
        </w:tc>
        <w:tc>
          <w:tcPr>
            <w:tcW w:w="906" w:type="dxa"/>
          </w:tcPr>
          <w:p w:rsidR="00DB584A" w:rsidRPr="00EA05DF" w:rsidRDefault="00EA05DF" w:rsidP="00C669A3">
            <w:pPr>
              <w:spacing w:before="0" w:line="240" w:lineRule="auto"/>
              <w:jc w:val="center"/>
              <w:textAlignment w:val="center"/>
              <w:rPr>
                <w:rFonts w:eastAsia="Times New Roman" w:cs="Arial"/>
                <w:color w:val="000000"/>
                <w:sz w:val="18"/>
                <w:szCs w:val="18"/>
                <w:lang w:eastAsia="en-AU"/>
              </w:rPr>
            </w:pPr>
            <w:r w:rsidRPr="00EA05DF">
              <w:rPr>
                <w:rFonts w:eastAsia="Times New Roman" w:cs="Arial"/>
                <w:color w:val="000000"/>
                <w:sz w:val="18"/>
                <w:szCs w:val="18"/>
                <w:lang w:eastAsia="en-AU"/>
              </w:rPr>
              <w:t>13 800</w:t>
            </w:r>
          </w:p>
        </w:tc>
        <w:tc>
          <w:tcPr>
            <w:tcW w:w="1991" w:type="dxa"/>
          </w:tcPr>
          <w:p w:rsidR="00DB584A" w:rsidRPr="00EA05DF" w:rsidRDefault="004B1D5B" w:rsidP="00C669A3">
            <w:pPr>
              <w:spacing w:before="0" w:line="240" w:lineRule="auto"/>
              <w:textAlignment w:val="center"/>
              <w:rPr>
                <w:rFonts w:cs="Arial"/>
                <w:sz w:val="18"/>
                <w:szCs w:val="18"/>
              </w:rPr>
            </w:pPr>
            <w:r w:rsidRPr="00EA05DF">
              <w:rPr>
                <w:rFonts w:cs="Arial"/>
                <w:sz w:val="18"/>
                <w:szCs w:val="18"/>
              </w:rPr>
              <w:t>1647A CHANGE IN 5MIN PD DEMAND - SL</w:t>
            </w:r>
          </w:p>
        </w:tc>
      </w:tr>
      <w:tr w:rsidR="004B1D5B" w:rsidRPr="00DB584A" w:rsidTr="00DB584A">
        <w:trPr>
          <w:trHeight w:val="582"/>
        </w:trPr>
        <w:tc>
          <w:tcPr>
            <w:tcW w:w="1077" w:type="dxa"/>
          </w:tcPr>
          <w:p w:rsidR="004B1D5B" w:rsidRPr="00EA05DF" w:rsidRDefault="004B1D5B"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4.51 pm</w:t>
            </w:r>
          </w:p>
        </w:tc>
        <w:tc>
          <w:tcPr>
            <w:tcW w:w="933" w:type="dxa"/>
          </w:tcPr>
          <w:p w:rsidR="004B1D5B" w:rsidRPr="00EA05DF" w:rsidRDefault="004B1D5B"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5 pm</w:t>
            </w:r>
          </w:p>
        </w:tc>
        <w:tc>
          <w:tcPr>
            <w:tcW w:w="1465" w:type="dxa"/>
          </w:tcPr>
          <w:p w:rsidR="004B1D5B" w:rsidRPr="00EA05DF" w:rsidRDefault="004B1D5B"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Millmerran</w:t>
            </w:r>
          </w:p>
        </w:tc>
        <w:tc>
          <w:tcPr>
            <w:tcW w:w="1167" w:type="dxa"/>
          </w:tcPr>
          <w:p w:rsidR="004B1D5B" w:rsidRPr="00EA05DF" w:rsidRDefault="004B1D5B" w:rsidP="00C669A3">
            <w:pPr>
              <w:spacing w:before="0" w:line="240" w:lineRule="auto"/>
              <w:textAlignment w:val="center"/>
              <w:rPr>
                <w:rFonts w:eastAsia="Times New Roman" w:cs="Arial"/>
                <w:color w:val="000000"/>
                <w:szCs w:val="18"/>
                <w:lang w:eastAsia="en-AU"/>
              </w:rPr>
            </w:pPr>
            <w:r w:rsidRPr="00EA05DF">
              <w:rPr>
                <w:rFonts w:eastAsia="Times New Roman" w:cs="Arial"/>
                <w:color w:val="000000"/>
                <w:szCs w:val="18"/>
                <w:lang w:eastAsia="en-AU"/>
              </w:rPr>
              <w:t>Millmerran</w:t>
            </w:r>
          </w:p>
        </w:tc>
        <w:tc>
          <w:tcPr>
            <w:tcW w:w="967" w:type="dxa"/>
          </w:tcPr>
          <w:p w:rsidR="004B1D5B" w:rsidRPr="00EA05DF" w:rsidRDefault="004B1D5B"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105</w:t>
            </w:r>
          </w:p>
        </w:tc>
        <w:tc>
          <w:tcPr>
            <w:tcW w:w="906" w:type="dxa"/>
          </w:tcPr>
          <w:p w:rsidR="004B1D5B" w:rsidRPr="00EA05DF" w:rsidRDefault="004B1D5B"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7</w:t>
            </w:r>
          </w:p>
        </w:tc>
        <w:tc>
          <w:tcPr>
            <w:tcW w:w="906" w:type="dxa"/>
          </w:tcPr>
          <w:p w:rsidR="004B1D5B" w:rsidRPr="00EA05DF" w:rsidRDefault="00EA05DF" w:rsidP="00C669A3">
            <w:pPr>
              <w:spacing w:before="0" w:line="240" w:lineRule="auto"/>
              <w:jc w:val="center"/>
              <w:textAlignment w:val="center"/>
              <w:rPr>
                <w:rFonts w:eastAsia="Times New Roman" w:cs="Arial"/>
                <w:color w:val="000000"/>
                <w:szCs w:val="18"/>
                <w:lang w:eastAsia="en-AU"/>
              </w:rPr>
            </w:pPr>
            <w:r w:rsidRPr="00EA05DF">
              <w:rPr>
                <w:rFonts w:eastAsia="Times New Roman" w:cs="Arial"/>
                <w:color w:val="000000"/>
                <w:szCs w:val="18"/>
                <w:lang w:eastAsia="en-AU"/>
              </w:rPr>
              <w:t>13 800</w:t>
            </w:r>
          </w:p>
        </w:tc>
        <w:tc>
          <w:tcPr>
            <w:tcW w:w="1991" w:type="dxa"/>
          </w:tcPr>
          <w:p w:rsidR="004B1D5B" w:rsidRPr="00EA05DF" w:rsidRDefault="004B1D5B" w:rsidP="00C669A3">
            <w:pPr>
              <w:spacing w:before="0" w:line="240" w:lineRule="auto"/>
              <w:textAlignment w:val="center"/>
              <w:rPr>
                <w:rFonts w:cs="Arial"/>
                <w:szCs w:val="18"/>
              </w:rPr>
            </w:pPr>
            <w:r w:rsidRPr="00EA05DF">
              <w:rPr>
                <w:rFonts w:cs="Arial"/>
                <w:szCs w:val="18"/>
              </w:rPr>
              <w:t>16:49A 87 MW CHANGE IN 5MIN PD DEMAND FOR DI 17:00 RUNS 1645/50</w:t>
            </w:r>
          </w:p>
        </w:tc>
      </w:tr>
    </w:tbl>
    <w:p w:rsidR="00855A23" w:rsidRPr="00FF0161" w:rsidRDefault="006F08CF" w:rsidP="00855A23">
      <w:pPr>
        <w:pStyle w:val="AERHeading3"/>
        <w:rPr>
          <w:b w:val="0"/>
          <w:color w:val="auto"/>
          <w:sz w:val="22"/>
        </w:rPr>
      </w:pPr>
      <w:r>
        <w:rPr>
          <w:b w:val="0"/>
          <w:color w:val="auto"/>
          <w:sz w:val="22"/>
        </w:rPr>
        <w:t>The above rebidding and limited imports into Queensland resulted in the dispatch prices between $200/MWh and $300/MWh for the entire trading interval.</w:t>
      </w:r>
    </w:p>
    <w:p w:rsidR="0067180B" w:rsidRPr="0067180B" w:rsidRDefault="00855A23" w:rsidP="0067180B">
      <w:pPr>
        <w:pStyle w:val="AERHeading3"/>
      </w:pPr>
      <w:r>
        <w:t>Tasmania</w:t>
      </w:r>
    </w:p>
    <w:p w:rsidR="00855A23" w:rsidRDefault="00855A23" w:rsidP="0067180B">
      <w:pPr>
        <w:pStyle w:val="AERHeading3"/>
        <w:rPr>
          <w:b w:val="0"/>
          <w:bCs w:val="0"/>
          <w:color w:val="auto"/>
          <w:sz w:val="22"/>
          <w:lang w:eastAsia="en-AU"/>
        </w:rPr>
      </w:pPr>
      <w:r w:rsidRPr="00855A23">
        <w:rPr>
          <w:b w:val="0"/>
          <w:bCs w:val="0"/>
          <w:color w:val="auto"/>
          <w:sz w:val="22"/>
          <w:lang w:eastAsia="en-AU"/>
        </w:rPr>
        <w:t>There were three occasions where the spot price in Tasmania was greater than three times the Tasmania weekly average price of $92/MWh and above $250/MWh.</w:t>
      </w:r>
    </w:p>
    <w:p w:rsidR="00A17C7C" w:rsidRPr="0067180B" w:rsidRDefault="00A17C7C" w:rsidP="00A17C7C">
      <w:pPr>
        <w:pStyle w:val="AERHeading3"/>
      </w:pPr>
      <w:r>
        <w:t>Tuesday, 24</w:t>
      </w:r>
      <w:r w:rsidRPr="0067180B">
        <w:t xml:space="preserve"> November </w:t>
      </w:r>
    </w:p>
    <w:p w:rsidR="00A17C7C" w:rsidRPr="0067180B" w:rsidRDefault="00051568" w:rsidP="00A17C7C">
      <w:pPr>
        <w:pStyle w:val="Caption"/>
      </w:pPr>
      <w:r>
        <w:t xml:space="preserve">Table </w:t>
      </w:r>
      <w:r w:rsidR="00966015">
        <w:t>9</w:t>
      </w:r>
      <w:r w:rsidR="00A17C7C"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A17C7C" w:rsidRPr="0067180B" w:rsidRDefault="00A17C7C" w:rsidP="002C624D">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Price ($/MWh)</w:t>
            </w:r>
          </w:p>
        </w:tc>
        <w:tc>
          <w:tcPr>
            <w:tcW w:w="1422"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Demand (MW)</w:t>
            </w:r>
          </w:p>
        </w:tc>
        <w:tc>
          <w:tcPr>
            <w:tcW w:w="1429"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Availability (MW)</w:t>
            </w:r>
          </w:p>
        </w:tc>
      </w:tr>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r>
      <w:tr w:rsidR="00A17C7C" w:rsidRPr="0067180B" w:rsidTr="002C624D">
        <w:trPr>
          <w:trHeight w:val="510"/>
        </w:trPr>
        <w:tc>
          <w:tcPr>
            <w:tcW w:w="533" w:type="pct"/>
            <w:vAlign w:val="center"/>
          </w:tcPr>
          <w:p w:rsidR="00A17C7C" w:rsidRPr="00A17C7C" w:rsidRDefault="00366B2C">
            <w:pPr>
              <w:pStyle w:val="NormalWeb"/>
              <w:jc w:val="center"/>
              <w:rPr>
                <w:rFonts w:asciiTheme="minorHAnsi" w:hAnsiTheme="minorHAnsi" w:cstheme="minorHAnsi"/>
                <w:sz w:val="18"/>
              </w:rPr>
            </w:pPr>
            <w:r>
              <w:rPr>
                <w:rFonts w:asciiTheme="minorHAnsi" w:hAnsiTheme="minorHAnsi" w:cstheme="minorHAnsi"/>
                <w:b/>
                <w:bCs/>
                <w:sz w:val="18"/>
                <w:szCs w:val="16"/>
              </w:rPr>
              <w:t>6.</w:t>
            </w:r>
            <w:r w:rsidR="00A17C7C" w:rsidRPr="00A17C7C">
              <w:rPr>
                <w:rFonts w:asciiTheme="minorHAnsi" w:hAnsiTheme="minorHAnsi" w:cstheme="minorHAnsi"/>
                <w:b/>
                <w:bCs/>
                <w:sz w:val="18"/>
                <w:szCs w:val="16"/>
              </w:rPr>
              <w:t xml:space="preserve">30 </w:t>
            </w:r>
            <w:r w:rsidR="00A17C7C">
              <w:rPr>
                <w:rFonts w:asciiTheme="minorHAnsi" w:hAnsiTheme="minorHAnsi" w:cstheme="minorHAnsi"/>
                <w:b/>
                <w:bCs/>
                <w:sz w:val="18"/>
                <w:szCs w:val="16"/>
              </w:rPr>
              <w:t>am</w:t>
            </w:r>
          </w:p>
        </w:tc>
        <w:tc>
          <w:tcPr>
            <w:tcW w:w="611"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310.58</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87.42</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88.30</w:t>
            </w:r>
          </w:p>
        </w:tc>
        <w:tc>
          <w:tcPr>
            <w:tcW w:w="418"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1150</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1172</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1164</w:t>
            </w:r>
          </w:p>
        </w:tc>
        <w:tc>
          <w:tcPr>
            <w:tcW w:w="425"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2179</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2181</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2182</w:t>
            </w:r>
          </w:p>
        </w:tc>
      </w:tr>
    </w:tbl>
    <w:p w:rsidR="00381A48" w:rsidRDefault="00381A48" w:rsidP="00366B2C">
      <w:pPr>
        <w:pStyle w:val="AERHeading3"/>
        <w:jc w:val="both"/>
        <w:rPr>
          <w:b w:val="0"/>
          <w:color w:val="auto"/>
          <w:sz w:val="22"/>
        </w:rPr>
      </w:pPr>
      <w:r>
        <w:rPr>
          <w:b w:val="0"/>
          <w:color w:val="auto"/>
          <w:sz w:val="22"/>
        </w:rPr>
        <w:t>Conditions at the time saw demand and available capacity close to forecast.</w:t>
      </w:r>
    </w:p>
    <w:p w:rsidR="00967F08" w:rsidRDefault="00381A48" w:rsidP="00366B2C">
      <w:pPr>
        <w:pStyle w:val="AERHeading3"/>
        <w:jc w:val="both"/>
        <w:rPr>
          <w:rFonts w:cs="Arial"/>
          <w:b w:val="0"/>
          <w:color w:val="auto"/>
          <w:sz w:val="22"/>
          <w:szCs w:val="22"/>
        </w:rPr>
      </w:pPr>
      <w:r>
        <w:rPr>
          <w:b w:val="0"/>
          <w:color w:val="auto"/>
          <w:sz w:val="22"/>
        </w:rPr>
        <w:t xml:space="preserve">At </w:t>
      </w:r>
      <w:r w:rsidR="001973F9">
        <w:rPr>
          <w:b w:val="0"/>
          <w:color w:val="auto"/>
          <w:sz w:val="22"/>
        </w:rPr>
        <w:t>5.49</w:t>
      </w:r>
      <w:r w:rsidR="00366B2C">
        <w:rPr>
          <w:b w:val="0"/>
          <w:color w:val="auto"/>
          <w:sz w:val="22"/>
        </w:rPr>
        <w:t> </w:t>
      </w:r>
      <w:r>
        <w:rPr>
          <w:b w:val="0"/>
          <w:color w:val="auto"/>
          <w:sz w:val="22"/>
        </w:rPr>
        <w:t>pm, Hydro Tasmania rebid 481</w:t>
      </w:r>
      <w:r w:rsidR="00366B2C">
        <w:rPr>
          <w:b w:val="0"/>
          <w:color w:val="auto"/>
          <w:sz w:val="22"/>
        </w:rPr>
        <w:t> </w:t>
      </w:r>
      <w:r>
        <w:rPr>
          <w:b w:val="0"/>
          <w:color w:val="auto"/>
          <w:sz w:val="22"/>
        </w:rPr>
        <w:t xml:space="preserve">MW of capacity across their portfolio from less than $96/MWh to $347/MWh. The </w:t>
      </w:r>
      <w:r w:rsidR="001973F9">
        <w:rPr>
          <w:b w:val="0"/>
          <w:color w:val="auto"/>
          <w:sz w:val="22"/>
        </w:rPr>
        <w:t>reason given was</w:t>
      </w:r>
      <w:r w:rsidRPr="00381A48">
        <w:rPr>
          <w:b w:val="0"/>
          <w:color w:val="auto"/>
          <w:sz w:val="22"/>
          <w:szCs w:val="22"/>
        </w:rPr>
        <w:t xml:space="preserve"> </w:t>
      </w:r>
      <w:r w:rsidRPr="00381A48">
        <w:rPr>
          <w:rFonts w:cs="Arial"/>
          <w:b w:val="0"/>
          <w:color w:val="auto"/>
          <w:sz w:val="22"/>
          <w:szCs w:val="22"/>
        </w:rPr>
        <w:t xml:space="preserve">“0550A </w:t>
      </w:r>
      <w:proofErr w:type="spellStart"/>
      <w:r w:rsidR="00366B2C">
        <w:rPr>
          <w:rFonts w:cs="Arial"/>
          <w:b w:val="0"/>
          <w:color w:val="auto"/>
          <w:sz w:val="22"/>
          <w:szCs w:val="22"/>
        </w:rPr>
        <w:t>B</w:t>
      </w:r>
      <w:r w:rsidR="00366B2C" w:rsidRPr="00381A48">
        <w:rPr>
          <w:rFonts w:cs="Arial"/>
          <w:b w:val="0"/>
          <w:color w:val="auto"/>
          <w:sz w:val="22"/>
          <w:szCs w:val="22"/>
        </w:rPr>
        <w:t>asslink</w:t>
      </w:r>
      <w:proofErr w:type="spellEnd"/>
      <w:r w:rsidR="00366B2C" w:rsidRPr="00381A48">
        <w:rPr>
          <w:rFonts w:cs="Arial"/>
          <w:b w:val="0"/>
          <w:color w:val="auto"/>
          <w:sz w:val="22"/>
          <w:szCs w:val="22"/>
        </w:rPr>
        <w:t xml:space="preserve"> flow different from forecast</w:t>
      </w:r>
      <w:r w:rsidRPr="00381A48">
        <w:rPr>
          <w:rFonts w:cs="Arial"/>
          <w:b w:val="0"/>
          <w:color w:val="auto"/>
          <w:sz w:val="22"/>
          <w:szCs w:val="22"/>
        </w:rPr>
        <w:t>”.</w:t>
      </w:r>
      <w:r>
        <w:rPr>
          <w:rFonts w:cs="Arial"/>
          <w:b w:val="0"/>
          <w:color w:val="auto"/>
          <w:sz w:val="22"/>
          <w:szCs w:val="22"/>
        </w:rPr>
        <w:t xml:space="preserve"> </w:t>
      </w:r>
    </w:p>
    <w:p w:rsidR="00A17C7C" w:rsidRDefault="00381A48" w:rsidP="00366B2C">
      <w:pPr>
        <w:pStyle w:val="AERHeading3"/>
        <w:jc w:val="both"/>
        <w:rPr>
          <w:rFonts w:cs="Arial"/>
          <w:b w:val="0"/>
          <w:color w:val="auto"/>
          <w:sz w:val="22"/>
          <w:szCs w:val="22"/>
        </w:rPr>
      </w:pPr>
      <w:r>
        <w:rPr>
          <w:rFonts w:cs="Arial"/>
          <w:b w:val="0"/>
          <w:color w:val="auto"/>
          <w:sz w:val="22"/>
          <w:szCs w:val="22"/>
        </w:rPr>
        <w:t>At 5.58</w:t>
      </w:r>
      <w:r w:rsidR="00366B2C">
        <w:rPr>
          <w:rFonts w:cs="Arial"/>
          <w:b w:val="0"/>
          <w:color w:val="auto"/>
          <w:sz w:val="22"/>
          <w:szCs w:val="22"/>
        </w:rPr>
        <w:t> </w:t>
      </w:r>
      <w:r>
        <w:rPr>
          <w:rFonts w:cs="Arial"/>
          <w:b w:val="0"/>
          <w:color w:val="auto"/>
          <w:sz w:val="22"/>
          <w:szCs w:val="22"/>
        </w:rPr>
        <w:t>pm, effective from 6.10</w:t>
      </w:r>
      <w:r w:rsidR="00366B2C">
        <w:rPr>
          <w:rFonts w:cs="Arial"/>
          <w:b w:val="0"/>
          <w:color w:val="auto"/>
          <w:sz w:val="22"/>
          <w:szCs w:val="22"/>
        </w:rPr>
        <w:t> </w:t>
      </w:r>
      <w:r>
        <w:rPr>
          <w:rFonts w:cs="Arial"/>
          <w:b w:val="0"/>
          <w:color w:val="auto"/>
          <w:sz w:val="22"/>
          <w:szCs w:val="22"/>
        </w:rPr>
        <w:t xml:space="preserve">pm, Hydro Tasmania rebid 150 MW of capacity at Poatina from $115/MWh to prices </w:t>
      </w:r>
      <w:r w:rsidRPr="00381A48">
        <w:rPr>
          <w:rFonts w:cs="Arial"/>
          <w:b w:val="0"/>
          <w:color w:val="auto"/>
          <w:sz w:val="22"/>
          <w:szCs w:val="22"/>
        </w:rPr>
        <w:t xml:space="preserve">greater than $347/MWh. The reason given was “0600A </w:t>
      </w:r>
      <w:r w:rsidR="00366B2C">
        <w:rPr>
          <w:rFonts w:cs="Arial"/>
          <w:b w:val="0"/>
          <w:color w:val="auto"/>
          <w:sz w:val="22"/>
          <w:szCs w:val="22"/>
        </w:rPr>
        <w:t>act</w:t>
      </w:r>
      <w:r w:rsidRPr="00381A48">
        <w:rPr>
          <w:rFonts w:cs="Arial"/>
          <w:b w:val="0"/>
          <w:color w:val="auto"/>
          <w:sz w:val="22"/>
          <w:szCs w:val="22"/>
        </w:rPr>
        <w:t xml:space="preserve">. </w:t>
      </w:r>
      <w:r w:rsidR="00366B2C">
        <w:rPr>
          <w:rFonts w:cs="Arial"/>
          <w:b w:val="0"/>
          <w:color w:val="auto"/>
          <w:sz w:val="22"/>
          <w:szCs w:val="22"/>
        </w:rPr>
        <w:t>V</w:t>
      </w:r>
      <w:r w:rsidR="00366B2C" w:rsidRPr="00381A48">
        <w:rPr>
          <w:rFonts w:cs="Arial"/>
          <w:b w:val="0"/>
          <w:color w:val="auto"/>
          <w:sz w:val="22"/>
          <w:szCs w:val="22"/>
        </w:rPr>
        <w:t>ic price higher than forecast</w:t>
      </w:r>
      <w:r w:rsidRPr="00381A48">
        <w:rPr>
          <w:rFonts w:cs="Arial"/>
          <w:b w:val="0"/>
          <w:color w:val="auto"/>
          <w:sz w:val="22"/>
          <w:szCs w:val="22"/>
        </w:rPr>
        <w:t>.”</w:t>
      </w:r>
      <w:r>
        <w:rPr>
          <w:rFonts w:cs="Arial"/>
          <w:b w:val="0"/>
          <w:color w:val="auto"/>
          <w:sz w:val="22"/>
          <w:szCs w:val="22"/>
        </w:rPr>
        <w:t xml:space="preserve"> </w:t>
      </w:r>
    </w:p>
    <w:p w:rsidR="00124D78" w:rsidRDefault="00381A48" w:rsidP="00366B2C">
      <w:pPr>
        <w:pStyle w:val="AERHeading3"/>
        <w:jc w:val="both"/>
        <w:rPr>
          <w:rFonts w:cs="Arial"/>
          <w:b w:val="0"/>
          <w:color w:val="auto"/>
          <w:sz w:val="22"/>
          <w:szCs w:val="22"/>
        </w:rPr>
      </w:pPr>
      <w:r>
        <w:rPr>
          <w:rFonts w:cs="Arial"/>
          <w:b w:val="0"/>
          <w:color w:val="auto"/>
          <w:sz w:val="22"/>
          <w:szCs w:val="22"/>
        </w:rPr>
        <w:t xml:space="preserve">The above rebidding </w:t>
      </w:r>
      <w:r w:rsidR="003B7346">
        <w:rPr>
          <w:rFonts w:cs="Arial"/>
          <w:b w:val="0"/>
          <w:color w:val="auto"/>
          <w:sz w:val="22"/>
          <w:szCs w:val="22"/>
        </w:rPr>
        <w:t xml:space="preserve">coupled with demand increasing towards the morning peak </w:t>
      </w:r>
      <w:r>
        <w:rPr>
          <w:rFonts w:cs="Arial"/>
          <w:b w:val="0"/>
          <w:color w:val="auto"/>
          <w:sz w:val="22"/>
          <w:szCs w:val="22"/>
        </w:rPr>
        <w:t>saw the 6.10</w:t>
      </w:r>
      <w:r w:rsidR="00BA0349">
        <w:rPr>
          <w:rFonts w:cs="Arial"/>
          <w:b w:val="0"/>
          <w:color w:val="auto"/>
          <w:sz w:val="22"/>
          <w:szCs w:val="22"/>
        </w:rPr>
        <w:t> </w:t>
      </w:r>
      <w:r>
        <w:rPr>
          <w:rFonts w:cs="Arial"/>
          <w:b w:val="0"/>
          <w:color w:val="auto"/>
          <w:sz w:val="22"/>
          <w:szCs w:val="22"/>
        </w:rPr>
        <w:t xml:space="preserve">pm dispatch price rise to $347/MWh and </w:t>
      </w:r>
      <w:r w:rsidR="003B7346">
        <w:rPr>
          <w:rFonts w:cs="Arial"/>
          <w:b w:val="0"/>
          <w:color w:val="auto"/>
          <w:sz w:val="22"/>
          <w:szCs w:val="22"/>
        </w:rPr>
        <w:t>remain</w:t>
      </w:r>
      <w:r>
        <w:rPr>
          <w:rFonts w:cs="Arial"/>
          <w:b w:val="0"/>
          <w:color w:val="auto"/>
          <w:sz w:val="22"/>
          <w:szCs w:val="22"/>
        </w:rPr>
        <w:t xml:space="preserve"> there for the rest of the trading interval, resulting in a $311/MWh spot price.</w:t>
      </w:r>
    </w:p>
    <w:p w:rsidR="00124D78" w:rsidRDefault="00124D78" w:rsidP="00124D78">
      <w:pPr>
        <w:rPr>
          <w:rFonts w:eastAsia="Times New Roman"/>
        </w:rPr>
      </w:pPr>
      <w:r>
        <w:br w:type="page"/>
      </w:r>
    </w:p>
    <w:p w:rsidR="00A17C7C" w:rsidRPr="0067180B" w:rsidRDefault="00366B2C" w:rsidP="00A17C7C">
      <w:pPr>
        <w:pStyle w:val="AERHeading3"/>
      </w:pPr>
      <w:r>
        <w:lastRenderedPageBreak/>
        <w:t>Wednesday, 25</w:t>
      </w:r>
      <w:r w:rsidR="00A17C7C" w:rsidRPr="0067180B">
        <w:t xml:space="preserve"> November </w:t>
      </w:r>
    </w:p>
    <w:p w:rsidR="00A17C7C" w:rsidRPr="0067180B" w:rsidRDefault="00051568" w:rsidP="00A17C7C">
      <w:pPr>
        <w:pStyle w:val="Caption"/>
      </w:pPr>
      <w:r>
        <w:t xml:space="preserve">Table </w:t>
      </w:r>
      <w:r w:rsidR="00966015">
        <w:t>10</w:t>
      </w:r>
      <w:r w:rsidR="00A17C7C"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A17C7C" w:rsidRPr="0067180B" w:rsidRDefault="00A17C7C" w:rsidP="002C624D">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Price ($/MWh)</w:t>
            </w:r>
          </w:p>
        </w:tc>
        <w:tc>
          <w:tcPr>
            <w:tcW w:w="1422"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Demand (MW)</w:t>
            </w:r>
          </w:p>
        </w:tc>
        <w:tc>
          <w:tcPr>
            <w:tcW w:w="1429"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Availability (MW)</w:t>
            </w:r>
          </w:p>
        </w:tc>
      </w:tr>
      <w:tr w:rsidR="00A17C7C" w:rsidRPr="0067180B" w:rsidTr="002C624D">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r>
      <w:tr w:rsidR="00A17C7C" w:rsidRPr="0067180B" w:rsidTr="002C624D">
        <w:trPr>
          <w:trHeight w:val="510"/>
        </w:trPr>
        <w:tc>
          <w:tcPr>
            <w:tcW w:w="533" w:type="pct"/>
            <w:vAlign w:val="center"/>
          </w:tcPr>
          <w:p w:rsidR="00A17C7C" w:rsidRPr="00A17C7C" w:rsidRDefault="00A17C7C" w:rsidP="00863BE5">
            <w:pPr>
              <w:pStyle w:val="NormalWeb"/>
              <w:jc w:val="center"/>
              <w:rPr>
                <w:rFonts w:asciiTheme="minorHAnsi" w:hAnsiTheme="minorHAnsi" w:cstheme="minorHAnsi"/>
                <w:sz w:val="18"/>
              </w:rPr>
            </w:pPr>
            <w:r w:rsidRPr="00A17C7C">
              <w:rPr>
                <w:rFonts w:asciiTheme="minorHAnsi" w:hAnsiTheme="minorHAnsi" w:cstheme="minorHAnsi"/>
                <w:b/>
                <w:bCs/>
                <w:sz w:val="18"/>
                <w:szCs w:val="16"/>
              </w:rPr>
              <w:t>2</w:t>
            </w:r>
            <w:r w:rsidR="00863BE5">
              <w:rPr>
                <w:rFonts w:asciiTheme="minorHAnsi" w:hAnsiTheme="minorHAnsi" w:cstheme="minorHAnsi"/>
                <w:b/>
                <w:bCs/>
                <w:sz w:val="18"/>
                <w:szCs w:val="16"/>
              </w:rPr>
              <w:t>.</w:t>
            </w:r>
            <w:r w:rsidRPr="00A17C7C">
              <w:rPr>
                <w:rFonts w:asciiTheme="minorHAnsi" w:hAnsiTheme="minorHAnsi" w:cstheme="minorHAnsi"/>
                <w:b/>
                <w:bCs/>
                <w:sz w:val="18"/>
                <w:szCs w:val="16"/>
              </w:rPr>
              <w:t xml:space="preserve">30 </w:t>
            </w:r>
            <w:r>
              <w:rPr>
                <w:rFonts w:asciiTheme="minorHAnsi" w:hAnsiTheme="minorHAnsi" w:cstheme="minorHAnsi"/>
                <w:b/>
                <w:bCs/>
                <w:sz w:val="18"/>
                <w:szCs w:val="16"/>
              </w:rPr>
              <w:t>pm</w:t>
            </w:r>
          </w:p>
        </w:tc>
        <w:tc>
          <w:tcPr>
            <w:tcW w:w="611"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347.01</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85.33</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85.33</w:t>
            </w:r>
          </w:p>
        </w:tc>
        <w:tc>
          <w:tcPr>
            <w:tcW w:w="418"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1100</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1064</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1041</w:t>
            </w:r>
          </w:p>
        </w:tc>
        <w:tc>
          <w:tcPr>
            <w:tcW w:w="425"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2027</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2145</w:t>
            </w:r>
          </w:p>
        </w:tc>
        <w:tc>
          <w:tcPr>
            <w:tcW w:w="502" w:type="pct"/>
            <w:vAlign w:val="center"/>
          </w:tcPr>
          <w:p w:rsidR="00A17C7C" w:rsidRPr="00A17C7C" w:rsidRDefault="00A17C7C">
            <w:pPr>
              <w:pStyle w:val="NormalWeb"/>
              <w:jc w:val="center"/>
              <w:rPr>
                <w:rFonts w:asciiTheme="minorHAnsi" w:hAnsiTheme="minorHAnsi" w:cstheme="minorHAnsi"/>
                <w:sz w:val="18"/>
              </w:rPr>
            </w:pPr>
            <w:r w:rsidRPr="00A17C7C">
              <w:rPr>
                <w:rFonts w:asciiTheme="minorHAnsi" w:hAnsiTheme="minorHAnsi" w:cstheme="minorHAnsi"/>
                <w:sz w:val="18"/>
                <w:szCs w:val="16"/>
              </w:rPr>
              <w:t>2160</w:t>
            </w:r>
          </w:p>
        </w:tc>
      </w:tr>
    </w:tbl>
    <w:p w:rsidR="00967F08" w:rsidRDefault="00967F08" w:rsidP="00A17C7C">
      <w:pPr>
        <w:pStyle w:val="AERHeading3"/>
        <w:rPr>
          <w:b w:val="0"/>
          <w:color w:val="auto"/>
          <w:sz w:val="22"/>
        </w:rPr>
      </w:pPr>
      <w:r>
        <w:rPr>
          <w:b w:val="0"/>
          <w:color w:val="auto"/>
          <w:sz w:val="22"/>
        </w:rPr>
        <w:t>Conditions at the time saw demand close to forecast, and available capacity slightly below forecast.</w:t>
      </w:r>
    </w:p>
    <w:p w:rsidR="00863BE5" w:rsidRPr="00DB584A" w:rsidRDefault="00863BE5" w:rsidP="00863BE5">
      <w:pPr>
        <w:pStyle w:val="Caption"/>
      </w:pPr>
      <w:r>
        <w:t xml:space="preserve">Table </w:t>
      </w:r>
      <w:r w:rsidR="00966015">
        <w:t>11</w:t>
      </w:r>
      <w:r w:rsidRPr="00DB584A">
        <w:t xml:space="preserve">: Rebids for the </w:t>
      </w:r>
      <w:r>
        <w:t>2.30</w:t>
      </w:r>
      <w:r w:rsidRPr="00DB584A">
        <w:t xml:space="preserve"> pm trading interval</w:t>
      </w:r>
    </w:p>
    <w:tbl>
      <w:tblPr>
        <w:tblStyle w:val="AERTable-Text"/>
        <w:tblW w:w="9412" w:type="dxa"/>
        <w:tblLook w:val="04A0" w:firstRow="1" w:lastRow="0" w:firstColumn="1" w:lastColumn="0" w:noHBand="0" w:noVBand="1"/>
      </w:tblPr>
      <w:tblGrid>
        <w:gridCol w:w="1077"/>
        <w:gridCol w:w="933"/>
        <w:gridCol w:w="1465"/>
        <w:gridCol w:w="1167"/>
        <w:gridCol w:w="967"/>
        <w:gridCol w:w="906"/>
        <w:gridCol w:w="906"/>
        <w:gridCol w:w="1991"/>
      </w:tblGrid>
      <w:tr w:rsidR="00863BE5" w:rsidRPr="00DB584A" w:rsidTr="000B2488">
        <w:trPr>
          <w:cnfStyle w:val="100000000000" w:firstRow="1" w:lastRow="0" w:firstColumn="0" w:lastColumn="0" w:oddVBand="0" w:evenVBand="0" w:oddHBand="0" w:evenHBand="0" w:firstRowFirstColumn="0" w:firstRowLastColumn="0" w:lastRowFirstColumn="0" w:lastRowLastColumn="0"/>
          <w:trHeight w:val="210"/>
          <w:tblHeader/>
        </w:trPr>
        <w:tc>
          <w:tcPr>
            <w:tcW w:w="1077" w:type="dxa"/>
            <w:hideMark/>
          </w:tcPr>
          <w:p w:rsidR="00863BE5" w:rsidRPr="00DB584A" w:rsidRDefault="00863BE5"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Submitted</w:t>
            </w:r>
            <w:r w:rsidRPr="00DB584A">
              <w:rPr>
                <w:rFonts w:eastAsia="Times New Roman" w:cs="Arial"/>
                <w:b w:val="0"/>
                <w:color w:val="FFFFFF"/>
                <w:sz w:val="18"/>
                <w:szCs w:val="18"/>
                <w:lang w:eastAsia="en-AU"/>
              </w:rPr>
              <w:br/>
              <w:t>time</w:t>
            </w:r>
          </w:p>
        </w:tc>
        <w:tc>
          <w:tcPr>
            <w:tcW w:w="933" w:type="dxa"/>
            <w:hideMark/>
          </w:tcPr>
          <w:p w:rsidR="00863BE5" w:rsidRPr="00DB584A" w:rsidRDefault="00863BE5"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Time</w:t>
            </w:r>
            <w:r w:rsidRPr="00DB584A">
              <w:rPr>
                <w:rFonts w:eastAsia="Times New Roman" w:cs="Arial"/>
                <w:b w:val="0"/>
                <w:color w:val="FFFFFF"/>
                <w:sz w:val="18"/>
                <w:szCs w:val="18"/>
                <w:lang w:eastAsia="en-AU"/>
              </w:rPr>
              <w:br/>
              <w:t>effective</w:t>
            </w:r>
          </w:p>
        </w:tc>
        <w:tc>
          <w:tcPr>
            <w:tcW w:w="1465" w:type="dxa"/>
            <w:hideMark/>
          </w:tcPr>
          <w:p w:rsidR="00863BE5" w:rsidRPr="00DB584A" w:rsidRDefault="00863BE5" w:rsidP="000B2488">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Participant</w:t>
            </w:r>
          </w:p>
        </w:tc>
        <w:tc>
          <w:tcPr>
            <w:tcW w:w="1167" w:type="dxa"/>
            <w:hideMark/>
          </w:tcPr>
          <w:p w:rsidR="00863BE5" w:rsidRPr="00DB584A" w:rsidRDefault="00863BE5" w:rsidP="000B2488">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Station</w:t>
            </w:r>
          </w:p>
        </w:tc>
        <w:tc>
          <w:tcPr>
            <w:tcW w:w="967" w:type="dxa"/>
            <w:hideMark/>
          </w:tcPr>
          <w:p w:rsidR="00863BE5" w:rsidRPr="00DB584A" w:rsidRDefault="00863BE5"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Capacity rebid</w:t>
            </w:r>
            <w:r w:rsidRPr="00DB584A">
              <w:rPr>
                <w:rFonts w:eastAsia="Times New Roman" w:cs="Arial"/>
                <w:b w:val="0"/>
                <w:color w:val="FFFFFF"/>
                <w:sz w:val="18"/>
                <w:szCs w:val="18"/>
                <w:lang w:eastAsia="en-AU"/>
              </w:rPr>
              <w:br/>
              <w:t>(MW)</w:t>
            </w:r>
          </w:p>
        </w:tc>
        <w:tc>
          <w:tcPr>
            <w:tcW w:w="906" w:type="dxa"/>
            <w:hideMark/>
          </w:tcPr>
          <w:p w:rsidR="00863BE5" w:rsidRPr="00DB584A" w:rsidRDefault="00863BE5"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from</w:t>
            </w:r>
            <w:r w:rsidRPr="00DB584A">
              <w:rPr>
                <w:rFonts w:eastAsia="Times New Roman" w:cs="Arial"/>
                <w:b w:val="0"/>
                <w:color w:val="FFFFFF"/>
                <w:sz w:val="18"/>
                <w:szCs w:val="18"/>
                <w:lang w:eastAsia="en-AU"/>
              </w:rPr>
              <w:br/>
              <w:t>($/MWh)</w:t>
            </w:r>
          </w:p>
        </w:tc>
        <w:tc>
          <w:tcPr>
            <w:tcW w:w="906" w:type="dxa"/>
            <w:hideMark/>
          </w:tcPr>
          <w:p w:rsidR="00863BE5" w:rsidRPr="00DB584A" w:rsidRDefault="00863BE5"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to</w:t>
            </w:r>
            <w:r w:rsidRPr="00DB584A">
              <w:rPr>
                <w:rFonts w:eastAsia="Times New Roman" w:cs="Arial"/>
                <w:b w:val="0"/>
                <w:color w:val="FFFFFF"/>
                <w:sz w:val="18"/>
                <w:szCs w:val="18"/>
                <w:lang w:eastAsia="en-AU"/>
              </w:rPr>
              <w:br/>
              <w:t>($/MWh)</w:t>
            </w:r>
          </w:p>
        </w:tc>
        <w:tc>
          <w:tcPr>
            <w:tcW w:w="1991" w:type="dxa"/>
            <w:hideMark/>
          </w:tcPr>
          <w:p w:rsidR="00863BE5" w:rsidRPr="00DB584A" w:rsidRDefault="00863BE5" w:rsidP="000B2488">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Rebid reason</w:t>
            </w:r>
          </w:p>
        </w:tc>
      </w:tr>
      <w:tr w:rsidR="00863BE5" w:rsidRPr="00DB584A" w:rsidTr="000B2488">
        <w:trPr>
          <w:trHeight w:val="582"/>
        </w:trPr>
        <w:tc>
          <w:tcPr>
            <w:tcW w:w="1077" w:type="dxa"/>
          </w:tcPr>
          <w:p w:rsidR="00863BE5" w:rsidRPr="00863BE5" w:rsidRDefault="00863BE5" w:rsidP="00863BE5">
            <w:pPr>
              <w:spacing w:before="0" w:line="240" w:lineRule="auto"/>
              <w:textAlignment w:val="center"/>
              <w:rPr>
                <w:rFonts w:eastAsia="Times New Roman" w:cs="Arial"/>
                <w:color w:val="000000"/>
                <w:szCs w:val="18"/>
                <w:lang w:eastAsia="en-AU"/>
              </w:rPr>
            </w:pPr>
            <w:r w:rsidRPr="00863BE5">
              <w:rPr>
                <w:rFonts w:eastAsia="Times New Roman" w:cs="Arial"/>
                <w:color w:val="000000"/>
                <w:szCs w:val="18"/>
                <w:lang w:eastAsia="en-AU"/>
              </w:rPr>
              <w:t xml:space="preserve">1.14 pm </w:t>
            </w:r>
          </w:p>
        </w:tc>
        <w:tc>
          <w:tcPr>
            <w:tcW w:w="933" w:type="dxa"/>
          </w:tcPr>
          <w:p w:rsidR="00863BE5" w:rsidRPr="00863BE5" w:rsidRDefault="00863BE5" w:rsidP="000B2488">
            <w:pPr>
              <w:spacing w:before="0" w:line="240" w:lineRule="auto"/>
              <w:jc w:val="center"/>
              <w:textAlignment w:val="center"/>
              <w:rPr>
                <w:rFonts w:eastAsia="Times New Roman" w:cs="Arial"/>
                <w:color w:val="000000"/>
                <w:szCs w:val="18"/>
                <w:lang w:eastAsia="en-AU"/>
              </w:rPr>
            </w:pPr>
          </w:p>
        </w:tc>
        <w:tc>
          <w:tcPr>
            <w:tcW w:w="1465" w:type="dxa"/>
          </w:tcPr>
          <w:p w:rsidR="00863BE5" w:rsidRPr="00863BE5" w:rsidRDefault="00863BE5" w:rsidP="000B2488">
            <w:pPr>
              <w:spacing w:before="0" w:line="240" w:lineRule="auto"/>
              <w:textAlignment w:val="center"/>
              <w:rPr>
                <w:rFonts w:eastAsia="Times New Roman" w:cs="Arial"/>
                <w:color w:val="000000"/>
                <w:szCs w:val="18"/>
                <w:lang w:eastAsia="en-AU"/>
              </w:rPr>
            </w:pPr>
            <w:r w:rsidRPr="00863BE5">
              <w:rPr>
                <w:rFonts w:eastAsia="Times New Roman" w:cs="Arial"/>
                <w:color w:val="000000"/>
                <w:szCs w:val="18"/>
                <w:lang w:eastAsia="en-AU"/>
              </w:rPr>
              <w:t xml:space="preserve">Hydro </w:t>
            </w:r>
            <w:proofErr w:type="spellStart"/>
            <w:r w:rsidRPr="00863BE5">
              <w:rPr>
                <w:rFonts w:eastAsia="Times New Roman" w:cs="Arial"/>
                <w:color w:val="000000"/>
                <w:szCs w:val="18"/>
                <w:lang w:eastAsia="en-AU"/>
              </w:rPr>
              <w:t>Tas</w:t>
            </w:r>
            <w:proofErr w:type="spellEnd"/>
          </w:p>
        </w:tc>
        <w:tc>
          <w:tcPr>
            <w:tcW w:w="1167" w:type="dxa"/>
          </w:tcPr>
          <w:p w:rsidR="00863BE5" w:rsidRPr="00863BE5" w:rsidRDefault="00863BE5" w:rsidP="000B2488">
            <w:pPr>
              <w:spacing w:before="0" w:line="240" w:lineRule="auto"/>
              <w:textAlignment w:val="center"/>
              <w:rPr>
                <w:rFonts w:eastAsia="Times New Roman" w:cs="Arial"/>
                <w:color w:val="000000"/>
                <w:szCs w:val="18"/>
                <w:lang w:eastAsia="en-AU"/>
              </w:rPr>
            </w:pPr>
            <w:r w:rsidRPr="00863BE5">
              <w:rPr>
                <w:rFonts w:eastAsia="Times New Roman" w:cs="Arial"/>
                <w:color w:val="000000"/>
                <w:szCs w:val="18"/>
                <w:lang w:eastAsia="en-AU"/>
              </w:rPr>
              <w:t>Portfolio</w:t>
            </w:r>
          </w:p>
        </w:tc>
        <w:tc>
          <w:tcPr>
            <w:tcW w:w="967" w:type="dxa"/>
          </w:tcPr>
          <w:p w:rsidR="00863BE5" w:rsidRPr="00863BE5" w:rsidRDefault="00863BE5" w:rsidP="000B2488">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239</w:t>
            </w:r>
          </w:p>
        </w:tc>
        <w:tc>
          <w:tcPr>
            <w:tcW w:w="906" w:type="dxa"/>
          </w:tcPr>
          <w:p w:rsidR="00863BE5" w:rsidRPr="00863BE5" w:rsidRDefault="00863BE5" w:rsidP="00863BE5">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&lt;115</w:t>
            </w:r>
          </w:p>
        </w:tc>
        <w:tc>
          <w:tcPr>
            <w:tcW w:w="906" w:type="dxa"/>
          </w:tcPr>
          <w:p w:rsidR="00863BE5" w:rsidRPr="00863BE5" w:rsidRDefault="00863BE5" w:rsidP="000B2488">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347</w:t>
            </w:r>
          </w:p>
        </w:tc>
        <w:tc>
          <w:tcPr>
            <w:tcW w:w="1991" w:type="dxa"/>
          </w:tcPr>
          <w:p w:rsidR="00863BE5" w:rsidRPr="00863BE5" w:rsidRDefault="00863BE5" w:rsidP="000B2488">
            <w:pPr>
              <w:spacing w:before="0" w:line="240" w:lineRule="auto"/>
              <w:textAlignment w:val="center"/>
              <w:rPr>
                <w:rFonts w:eastAsia="Times New Roman" w:cs="Arial"/>
                <w:color w:val="000000"/>
                <w:szCs w:val="18"/>
                <w:lang w:eastAsia="en-AU"/>
              </w:rPr>
            </w:pPr>
            <w:r w:rsidRPr="00863BE5">
              <w:rPr>
                <w:rFonts w:cs="Arial"/>
                <w:szCs w:val="18"/>
              </w:rPr>
              <w:t>1315A PRICE &gt; FORECAST: VIC</w:t>
            </w:r>
          </w:p>
        </w:tc>
      </w:tr>
      <w:tr w:rsidR="00863BE5" w:rsidRPr="00DB584A" w:rsidTr="000B2488">
        <w:trPr>
          <w:cnfStyle w:val="000000010000" w:firstRow="0" w:lastRow="0" w:firstColumn="0" w:lastColumn="0" w:oddVBand="0" w:evenVBand="0" w:oddHBand="0" w:evenHBand="1" w:firstRowFirstColumn="0" w:firstRowLastColumn="0" w:lastRowFirstColumn="0" w:lastRowLastColumn="0"/>
          <w:trHeight w:val="582"/>
        </w:trPr>
        <w:tc>
          <w:tcPr>
            <w:tcW w:w="1077" w:type="dxa"/>
          </w:tcPr>
          <w:p w:rsidR="00863BE5" w:rsidRPr="00863BE5" w:rsidRDefault="00863BE5" w:rsidP="000B2488">
            <w:pPr>
              <w:spacing w:before="0" w:line="240" w:lineRule="auto"/>
              <w:textAlignment w:val="center"/>
              <w:rPr>
                <w:rFonts w:eastAsia="Times New Roman" w:cs="Arial"/>
                <w:color w:val="000000"/>
                <w:sz w:val="18"/>
                <w:szCs w:val="18"/>
                <w:lang w:eastAsia="en-AU"/>
              </w:rPr>
            </w:pPr>
            <w:r w:rsidRPr="00863BE5">
              <w:rPr>
                <w:rFonts w:eastAsia="Times New Roman" w:cs="Arial"/>
                <w:color w:val="000000"/>
                <w:sz w:val="18"/>
                <w:szCs w:val="18"/>
                <w:lang w:eastAsia="en-AU"/>
              </w:rPr>
              <w:t xml:space="preserve">1.41 pm </w:t>
            </w:r>
          </w:p>
        </w:tc>
        <w:tc>
          <w:tcPr>
            <w:tcW w:w="933" w:type="dxa"/>
          </w:tcPr>
          <w:p w:rsidR="00863BE5" w:rsidRPr="00863BE5" w:rsidRDefault="00863BE5" w:rsidP="000B2488">
            <w:pPr>
              <w:spacing w:before="0" w:line="240" w:lineRule="auto"/>
              <w:jc w:val="center"/>
              <w:textAlignment w:val="center"/>
              <w:rPr>
                <w:rFonts w:eastAsia="Times New Roman" w:cs="Arial"/>
                <w:color w:val="000000"/>
                <w:sz w:val="18"/>
                <w:szCs w:val="18"/>
                <w:lang w:eastAsia="en-AU"/>
              </w:rPr>
            </w:pPr>
          </w:p>
        </w:tc>
        <w:tc>
          <w:tcPr>
            <w:tcW w:w="1465" w:type="dxa"/>
          </w:tcPr>
          <w:p w:rsidR="00863BE5" w:rsidRPr="00863BE5" w:rsidRDefault="00863BE5" w:rsidP="000B2488">
            <w:pPr>
              <w:spacing w:before="0" w:line="240" w:lineRule="auto"/>
              <w:textAlignment w:val="center"/>
              <w:rPr>
                <w:rFonts w:eastAsia="Times New Roman" w:cs="Arial"/>
                <w:color w:val="000000"/>
                <w:sz w:val="18"/>
                <w:szCs w:val="18"/>
                <w:lang w:eastAsia="en-AU"/>
              </w:rPr>
            </w:pPr>
            <w:r w:rsidRPr="00863BE5">
              <w:rPr>
                <w:rFonts w:eastAsia="Times New Roman" w:cs="Arial"/>
                <w:color w:val="000000"/>
                <w:sz w:val="18"/>
                <w:szCs w:val="18"/>
                <w:lang w:eastAsia="en-AU"/>
              </w:rPr>
              <w:t xml:space="preserve">Hydro </w:t>
            </w:r>
            <w:proofErr w:type="spellStart"/>
            <w:r w:rsidRPr="00863BE5">
              <w:rPr>
                <w:rFonts w:eastAsia="Times New Roman" w:cs="Arial"/>
                <w:color w:val="000000"/>
                <w:sz w:val="18"/>
                <w:szCs w:val="18"/>
                <w:lang w:eastAsia="en-AU"/>
              </w:rPr>
              <w:t>Tas</w:t>
            </w:r>
            <w:proofErr w:type="spellEnd"/>
          </w:p>
        </w:tc>
        <w:tc>
          <w:tcPr>
            <w:tcW w:w="1167" w:type="dxa"/>
          </w:tcPr>
          <w:p w:rsidR="00863BE5" w:rsidRPr="00863BE5" w:rsidRDefault="00863BE5" w:rsidP="000B2488">
            <w:pPr>
              <w:spacing w:before="0" w:line="240" w:lineRule="auto"/>
              <w:textAlignment w:val="center"/>
              <w:rPr>
                <w:rFonts w:eastAsia="Times New Roman" w:cs="Arial"/>
                <w:color w:val="000000"/>
                <w:sz w:val="18"/>
                <w:szCs w:val="18"/>
                <w:lang w:eastAsia="en-AU"/>
              </w:rPr>
            </w:pPr>
            <w:r w:rsidRPr="00863BE5">
              <w:rPr>
                <w:rFonts w:eastAsia="Times New Roman" w:cs="Arial"/>
                <w:color w:val="000000"/>
                <w:sz w:val="18"/>
                <w:szCs w:val="18"/>
                <w:lang w:eastAsia="en-AU"/>
              </w:rPr>
              <w:t>Cethana</w:t>
            </w:r>
          </w:p>
        </w:tc>
        <w:tc>
          <w:tcPr>
            <w:tcW w:w="967" w:type="dxa"/>
          </w:tcPr>
          <w:p w:rsidR="00863BE5" w:rsidRPr="00863BE5" w:rsidRDefault="00863BE5" w:rsidP="00863BE5">
            <w:pPr>
              <w:spacing w:before="0" w:line="240" w:lineRule="auto"/>
              <w:jc w:val="center"/>
              <w:textAlignment w:val="center"/>
              <w:rPr>
                <w:rFonts w:eastAsia="Times New Roman" w:cs="Arial"/>
                <w:color w:val="000000"/>
                <w:sz w:val="18"/>
                <w:szCs w:val="18"/>
                <w:lang w:eastAsia="en-AU"/>
              </w:rPr>
            </w:pPr>
            <w:r w:rsidRPr="00863BE5">
              <w:rPr>
                <w:rFonts w:eastAsia="Times New Roman" w:cs="Arial"/>
                <w:color w:val="000000"/>
                <w:sz w:val="18"/>
                <w:szCs w:val="18"/>
                <w:lang w:eastAsia="en-AU"/>
              </w:rPr>
              <w:t>-93</w:t>
            </w:r>
          </w:p>
        </w:tc>
        <w:tc>
          <w:tcPr>
            <w:tcW w:w="906" w:type="dxa"/>
          </w:tcPr>
          <w:p w:rsidR="00863BE5" w:rsidRPr="00863BE5" w:rsidRDefault="00863BE5" w:rsidP="00863BE5">
            <w:pPr>
              <w:spacing w:before="0" w:line="240" w:lineRule="auto"/>
              <w:jc w:val="center"/>
              <w:textAlignment w:val="center"/>
              <w:rPr>
                <w:rFonts w:eastAsia="Times New Roman" w:cs="Arial"/>
                <w:color w:val="000000"/>
                <w:sz w:val="18"/>
                <w:szCs w:val="18"/>
                <w:lang w:eastAsia="en-AU"/>
              </w:rPr>
            </w:pPr>
            <w:r w:rsidRPr="00863BE5">
              <w:rPr>
                <w:rFonts w:eastAsia="Times New Roman" w:cs="Arial"/>
                <w:color w:val="000000"/>
                <w:sz w:val="18"/>
                <w:szCs w:val="18"/>
                <w:lang w:eastAsia="en-AU"/>
              </w:rPr>
              <w:t>&lt;347</w:t>
            </w:r>
          </w:p>
        </w:tc>
        <w:tc>
          <w:tcPr>
            <w:tcW w:w="906" w:type="dxa"/>
          </w:tcPr>
          <w:p w:rsidR="00863BE5" w:rsidRPr="00863BE5" w:rsidRDefault="00863BE5" w:rsidP="000B2488">
            <w:pPr>
              <w:spacing w:before="0" w:line="240" w:lineRule="auto"/>
              <w:jc w:val="center"/>
              <w:textAlignment w:val="center"/>
              <w:rPr>
                <w:rFonts w:eastAsia="Times New Roman" w:cs="Arial"/>
                <w:color w:val="000000"/>
                <w:sz w:val="18"/>
                <w:szCs w:val="18"/>
                <w:lang w:eastAsia="en-AU"/>
              </w:rPr>
            </w:pPr>
            <w:r w:rsidRPr="00863BE5">
              <w:rPr>
                <w:rFonts w:eastAsia="Times New Roman" w:cs="Arial"/>
                <w:color w:val="000000"/>
                <w:sz w:val="18"/>
                <w:szCs w:val="18"/>
                <w:lang w:eastAsia="en-AU"/>
              </w:rPr>
              <w:t>N/A</w:t>
            </w:r>
          </w:p>
        </w:tc>
        <w:tc>
          <w:tcPr>
            <w:tcW w:w="1991" w:type="dxa"/>
          </w:tcPr>
          <w:p w:rsidR="00863BE5" w:rsidRPr="00863BE5" w:rsidRDefault="00863BE5" w:rsidP="000B2488">
            <w:pPr>
              <w:spacing w:before="0" w:line="240" w:lineRule="auto"/>
              <w:textAlignment w:val="center"/>
              <w:rPr>
                <w:rFonts w:eastAsia="Times New Roman" w:cs="Arial"/>
                <w:color w:val="000000"/>
                <w:sz w:val="18"/>
                <w:szCs w:val="18"/>
                <w:lang w:eastAsia="en-AU"/>
              </w:rPr>
            </w:pPr>
            <w:r w:rsidRPr="00863BE5">
              <w:rPr>
                <w:rFonts w:cs="Arial"/>
                <w:sz w:val="18"/>
                <w:szCs w:val="18"/>
              </w:rPr>
              <w:t>1340P PLANT FAILURE</w:t>
            </w:r>
          </w:p>
        </w:tc>
      </w:tr>
      <w:tr w:rsidR="00863BE5" w:rsidRPr="00DB584A" w:rsidTr="000B2488">
        <w:trPr>
          <w:trHeight w:val="582"/>
        </w:trPr>
        <w:tc>
          <w:tcPr>
            <w:tcW w:w="1077" w:type="dxa"/>
          </w:tcPr>
          <w:p w:rsidR="00863BE5" w:rsidRPr="00863BE5" w:rsidRDefault="00863BE5" w:rsidP="000B2488">
            <w:pPr>
              <w:spacing w:before="0" w:line="240" w:lineRule="auto"/>
              <w:textAlignment w:val="center"/>
              <w:rPr>
                <w:rFonts w:eastAsia="Times New Roman" w:cs="Arial"/>
                <w:color w:val="000000"/>
                <w:szCs w:val="18"/>
                <w:lang w:eastAsia="en-AU"/>
              </w:rPr>
            </w:pPr>
            <w:r w:rsidRPr="00863BE5">
              <w:rPr>
                <w:rFonts w:eastAsia="Times New Roman" w:cs="Arial"/>
                <w:color w:val="000000"/>
                <w:szCs w:val="18"/>
                <w:lang w:eastAsia="en-AU"/>
              </w:rPr>
              <w:t xml:space="preserve">1.55 pm </w:t>
            </w:r>
          </w:p>
        </w:tc>
        <w:tc>
          <w:tcPr>
            <w:tcW w:w="933" w:type="dxa"/>
          </w:tcPr>
          <w:p w:rsidR="00863BE5" w:rsidRPr="00863BE5" w:rsidRDefault="00863BE5" w:rsidP="000B2488">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2.05 pm</w:t>
            </w:r>
          </w:p>
        </w:tc>
        <w:tc>
          <w:tcPr>
            <w:tcW w:w="1465" w:type="dxa"/>
          </w:tcPr>
          <w:p w:rsidR="00863BE5" w:rsidRPr="00863BE5" w:rsidRDefault="00863BE5" w:rsidP="000B2488">
            <w:pPr>
              <w:spacing w:before="0" w:line="240" w:lineRule="auto"/>
              <w:textAlignment w:val="center"/>
              <w:rPr>
                <w:rFonts w:eastAsia="Times New Roman" w:cs="Arial"/>
                <w:color w:val="000000"/>
                <w:szCs w:val="18"/>
                <w:lang w:eastAsia="en-AU"/>
              </w:rPr>
            </w:pPr>
            <w:r w:rsidRPr="00863BE5">
              <w:rPr>
                <w:rFonts w:eastAsia="Times New Roman" w:cs="Arial"/>
                <w:color w:val="000000"/>
                <w:szCs w:val="18"/>
                <w:lang w:eastAsia="en-AU"/>
              </w:rPr>
              <w:t xml:space="preserve">Hydro </w:t>
            </w:r>
            <w:proofErr w:type="spellStart"/>
            <w:r w:rsidRPr="00863BE5">
              <w:rPr>
                <w:rFonts w:eastAsia="Times New Roman" w:cs="Arial"/>
                <w:color w:val="000000"/>
                <w:szCs w:val="18"/>
                <w:lang w:eastAsia="en-AU"/>
              </w:rPr>
              <w:t>Tas</w:t>
            </w:r>
            <w:proofErr w:type="spellEnd"/>
          </w:p>
        </w:tc>
        <w:tc>
          <w:tcPr>
            <w:tcW w:w="1167" w:type="dxa"/>
          </w:tcPr>
          <w:p w:rsidR="00863BE5" w:rsidRPr="00863BE5" w:rsidRDefault="00863BE5" w:rsidP="000B2488">
            <w:pPr>
              <w:spacing w:before="0" w:line="240" w:lineRule="auto"/>
              <w:textAlignment w:val="center"/>
              <w:rPr>
                <w:rFonts w:eastAsia="Times New Roman" w:cs="Arial"/>
                <w:color w:val="000000"/>
                <w:szCs w:val="18"/>
                <w:lang w:eastAsia="en-AU"/>
              </w:rPr>
            </w:pPr>
            <w:r w:rsidRPr="00863BE5">
              <w:rPr>
                <w:rFonts w:eastAsia="Times New Roman" w:cs="Arial"/>
                <w:color w:val="000000"/>
                <w:szCs w:val="18"/>
                <w:lang w:eastAsia="en-AU"/>
              </w:rPr>
              <w:t>Portfolio</w:t>
            </w:r>
          </w:p>
        </w:tc>
        <w:tc>
          <w:tcPr>
            <w:tcW w:w="967" w:type="dxa"/>
          </w:tcPr>
          <w:p w:rsidR="00863BE5" w:rsidRPr="00863BE5" w:rsidRDefault="00863BE5" w:rsidP="000B2488">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402</w:t>
            </w:r>
          </w:p>
        </w:tc>
        <w:tc>
          <w:tcPr>
            <w:tcW w:w="906" w:type="dxa"/>
          </w:tcPr>
          <w:p w:rsidR="00863BE5" w:rsidRPr="00863BE5" w:rsidRDefault="00863BE5" w:rsidP="000B2488">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115</w:t>
            </w:r>
          </w:p>
        </w:tc>
        <w:tc>
          <w:tcPr>
            <w:tcW w:w="906" w:type="dxa"/>
          </w:tcPr>
          <w:p w:rsidR="00863BE5" w:rsidRPr="00863BE5" w:rsidRDefault="00863BE5" w:rsidP="00863BE5">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&gt;347</w:t>
            </w:r>
          </w:p>
        </w:tc>
        <w:tc>
          <w:tcPr>
            <w:tcW w:w="1991" w:type="dxa"/>
          </w:tcPr>
          <w:p w:rsidR="00863BE5" w:rsidRPr="00863BE5" w:rsidRDefault="00863BE5" w:rsidP="000B2488">
            <w:pPr>
              <w:spacing w:before="0" w:line="240" w:lineRule="auto"/>
              <w:textAlignment w:val="center"/>
              <w:rPr>
                <w:rFonts w:eastAsia="Times New Roman" w:cs="Arial"/>
                <w:color w:val="000000"/>
                <w:szCs w:val="18"/>
                <w:lang w:eastAsia="en-AU"/>
              </w:rPr>
            </w:pPr>
            <w:r w:rsidRPr="00863BE5">
              <w:rPr>
                <w:rFonts w:cs="Arial"/>
                <w:szCs w:val="18"/>
              </w:rPr>
              <w:t>1355A PRICE &gt; FORECAST: VIC</w:t>
            </w:r>
          </w:p>
        </w:tc>
      </w:tr>
    </w:tbl>
    <w:p w:rsidR="00863BE5" w:rsidRDefault="00863BE5" w:rsidP="00A17C7C">
      <w:pPr>
        <w:pStyle w:val="AERHeading3"/>
        <w:rPr>
          <w:b w:val="0"/>
          <w:color w:val="auto"/>
          <w:sz w:val="22"/>
        </w:rPr>
      </w:pPr>
      <w:r>
        <w:rPr>
          <w:b w:val="0"/>
          <w:color w:val="auto"/>
          <w:sz w:val="22"/>
        </w:rPr>
        <w:t>From 2.05 pm the dispatch price increase to $347/MWh and stayed there for the entire trading interval.</w:t>
      </w:r>
    </w:p>
    <w:p w:rsidR="00A17C7C" w:rsidRPr="0067180B" w:rsidRDefault="00A17C7C" w:rsidP="00A17C7C">
      <w:pPr>
        <w:pStyle w:val="AERHeading3"/>
      </w:pPr>
      <w:r>
        <w:t>Thursday, 26</w:t>
      </w:r>
      <w:r w:rsidRPr="0067180B">
        <w:t xml:space="preserve"> November </w:t>
      </w:r>
    </w:p>
    <w:p w:rsidR="00A17C7C" w:rsidRPr="0067180B" w:rsidRDefault="00051568" w:rsidP="00A17C7C">
      <w:pPr>
        <w:pStyle w:val="Caption"/>
      </w:pPr>
      <w:r>
        <w:t>Table 1</w:t>
      </w:r>
      <w:r w:rsidR="00966015">
        <w:t>2</w:t>
      </w:r>
      <w:r w:rsidR="00A17C7C" w:rsidRPr="0067180B">
        <w:t>: Price, Demand and Availability</w:t>
      </w:r>
    </w:p>
    <w:tbl>
      <w:tblPr>
        <w:tblStyle w:val="AERTable-Text"/>
        <w:tblW w:w="5000" w:type="pct"/>
        <w:tblLook w:val="04A0" w:firstRow="1" w:lastRow="0" w:firstColumn="1" w:lastColumn="0" w:noHBand="0" w:noVBand="1"/>
      </w:tblPr>
      <w:tblGrid>
        <w:gridCol w:w="1101"/>
        <w:gridCol w:w="1014"/>
        <w:gridCol w:w="928"/>
        <w:gridCol w:w="928"/>
        <w:gridCol w:w="773"/>
        <w:gridCol w:w="928"/>
        <w:gridCol w:w="928"/>
        <w:gridCol w:w="786"/>
        <w:gridCol w:w="928"/>
        <w:gridCol w:w="928"/>
      </w:tblGrid>
      <w:tr w:rsidR="00A17C7C" w:rsidRPr="0067180B" w:rsidTr="00A17C7C">
        <w:trPr>
          <w:cnfStyle w:val="100000000000" w:firstRow="1" w:lastRow="0" w:firstColumn="0" w:lastColumn="0" w:oddVBand="0" w:evenVBand="0" w:oddHBand="0" w:evenHBand="0" w:firstRowFirstColumn="0" w:firstRowLastColumn="0" w:lastRowFirstColumn="0" w:lastRowLastColumn="0"/>
          <w:tblHeader/>
        </w:trPr>
        <w:tc>
          <w:tcPr>
            <w:tcW w:w="596" w:type="pct"/>
            <w:hideMark/>
          </w:tcPr>
          <w:p w:rsidR="00A17C7C" w:rsidRPr="0067180B" w:rsidRDefault="00A17C7C" w:rsidP="002C624D">
            <w:pPr>
              <w:pStyle w:val="TableHeading"/>
              <w:jc w:val="center"/>
              <w:rPr>
                <w:rFonts w:cs="Arial"/>
                <w:sz w:val="20"/>
                <w:szCs w:val="20"/>
              </w:rPr>
            </w:pPr>
            <w:r w:rsidRPr="0067180B">
              <w:rPr>
                <w:rFonts w:cs="Arial"/>
                <w:sz w:val="20"/>
                <w:szCs w:val="20"/>
              </w:rPr>
              <w:t xml:space="preserve">Time </w:t>
            </w:r>
          </w:p>
        </w:tc>
        <w:tc>
          <w:tcPr>
            <w:tcW w:w="1553"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Price ($/MWh)</w:t>
            </w:r>
          </w:p>
        </w:tc>
        <w:tc>
          <w:tcPr>
            <w:tcW w:w="1422"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Demand (MW)</w:t>
            </w:r>
          </w:p>
        </w:tc>
        <w:tc>
          <w:tcPr>
            <w:tcW w:w="1429" w:type="pct"/>
            <w:gridSpan w:val="3"/>
            <w:hideMark/>
          </w:tcPr>
          <w:p w:rsidR="00A17C7C" w:rsidRPr="0067180B" w:rsidRDefault="00A17C7C" w:rsidP="002C624D">
            <w:pPr>
              <w:pStyle w:val="TableHeading"/>
              <w:jc w:val="center"/>
              <w:rPr>
                <w:rFonts w:cs="Arial"/>
                <w:sz w:val="20"/>
                <w:szCs w:val="20"/>
              </w:rPr>
            </w:pPr>
            <w:r w:rsidRPr="0067180B">
              <w:rPr>
                <w:rFonts w:cs="Arial"/>
                <w:sz w:val="20"/>
                <w:szCs w:val="20"/>
              </w:rPr>
              <w:t>Availability (MW)</w:t>
            </w:r>
          </w:p>
        </w:tc>
      </w:tr>
      <w:tr w:rsidR="00A17C7C" w:rsidRPr="0067180B" w:rsidTr="00A17C7C">
        <w:trPr>
          <w:cnfStyle w:val="100000000000" w:firstRow="1" w:lastRow="0" w:firstColumn="0" w:lastColumn="0" w:oddVBand="0" w:evenVBand="0" w:oddHBand="0" w:evenHBand="0" w:firstRowFirstColumn="0" w:firstRowLastColumn="0" w:lastRowFirstColumn="0" w:lastRowLastColumn="0"/>
          <w:tblHeader/>
        </w:trPr>
        <w:tc>
          <w:tcPr>
            <w:tcW w:w="596"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 </w:t>
            </w:r>
          </w:p>
        </w:tc>
        <w:tc>
          <w:tcPr>
            <w:tcW w:w="549"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A17C7C" w:rsidRPr="0067180B" w:rsidRDefault="00A17C7C" w:rsidP="002C624D">
            <w:pPr>
              <w:pStyle w:val="tableheadingline2"/>
              <w:rPr>
                <w:rFonts w:cs="Arial"/>
                <w:sz w:val="20"/>
                <w:szCs w:val="20"/>
              </w:rPr>
            </w:pPr>
            <w:r w:rsidRPr="0067180B">
              <w:rPr>
                <w:rFonts w:cs="Arial"/>
                <w:sz w:val="20"/>
                <w:szCs w:val="20"/>
              </w:rPr>
              <w:t>12 hr forecast</w:t>
            </w:r>
          </w:p>
        </w:tc>
      </w:tr>
      <w:tr w:rsidR="00A17C7C" w:rsidRPr="0067180B" w:rsidTr="00A17C7C">
        <w:trPr>
          <w:trHeight w:val="510"/>
        </w:trPr>
        <w:tc>
          <w:tcPr>
            <w:tcW w:w="596" w:type="pct"/>
            <w:vAlign w:val="center"/>
          </w:tcPr>
          <w:p w:rsidR="00A17C7C" w:rsidRPr="00A17C7C" w:rsidRDefault="00863BE5">
            <w:pPr>
              <w:pStyle w:val="NormalWeb"/>
              <w:jc w:val="center"/>
              <w:rPr>
                <w:rFonts w:ascii="Arial" w:hAnsi="Arial" w:cs="Arial"/>
                <w:sz w:val="18"/>
              </w:rPr>
            </w:pPr>
            <w:r>
              <w:rPr>
                <w:rFonts w:ascii="Arial" w:hAnsi="Arial" w:cs="Arial"/>
                <w:b/>
                <w:bCs/>
                <w:sz w:val="18"/>
                <w:szCs w:val="16"/>
              </w:rPr>
              <w:t>10.</w:t>
            </w:r>
            <w:r w:rsidR="00A17C7C" w:rsidRPr="00A17C7C">
              <w:rPr>
                <w:rFonts w:ascii="Arial" w:hAnsi="Arial" w:cs="Arial"/>
                <w:b/>
                <w:bCs/>
                <w:sz w:val="18"/>
                <w:szCs w:val="16"/>
              </w:rPr>
              <w:t xml:space="preserve">30 </w:t>
            </w:r>
            <w:r w:rsidR="00A17C7C">
              <w:rPr>
                <w:rFonts w:ascii="Arial" w:hAnsi="Arial" w:cs="Arial"/>
                <w:b/>
                <w:bCs/>
                <w:sz w:val="18"/>
                <w:szCs w:val="16"/>
              </w:rPr>
              <w:t>pm</w:t>
            </w:r>
          </w:p>
        </w:tc>
        <w:tc>
          <w:tcPr>
            <w:tcW w:w="549"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346.71</w:t>
            </w:r>
          </w:p>
        </w:tc>
        <w:tc>
          <w:tcPr>
            <w:tcW w:w="502"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114.44</w:t>
            </w:r>
          </w:p>
        </w:tc>
        <w:tc>
          <w:tcPr>
            <w:tcW w:w="502"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101.40</w:t>
            </w:r>
          </w:p>
        </w:tc>
        <w:tc>
          <w:tcPr>
            <w:tcW w:w="418"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984</w:t>
            </w:r>
          </w:p>
        </w:tc>
        <w:tc>
          <w:tcPr>
            <w:tcW w:w="502"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1070</w:t>
            </w:r>
          </w:p>
        </w:tc>
        <w:tc>
          <w:tcPr>
            <w:tcW w:w="502"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1076</w:t>
            </w:r>
          </w:p>
        </w:tc>
        <w:tc>
          <w:tcPr>
            <w:tcW w:w="425"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2084</w:t>
            </w:r>
          </w:p>
        </w:tc>
        <w:tc>
          <w:tcPr>
            <w:tcW w:w="502"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2096</w:t>
            </w:r>
          </w:p>
        </w:tc>
        <w:tc>
          <w:tcPr>
            <w:tcW w:w="502" w:type="pct"/>
            <w:vAlign w:val="center"/>
          </w:tcPr>
          <w:p w:rsidR="00A17C7C" w:rsidRPr="00A17C7C" w:rsidRDefault="00A17C7C">
            <w:pPr>
              <w:pStyle w:val="NormalWeb"/>
              <w:jc w:val="center"/>
              <w:rPr>
                <w:rFonts w:ascii="Arial" w:hAnsi="Arial" w:cs="Arial"/>
                <w:sz w:val="18"/>
              </w:rPr>
            </w:pPr>
            <w:r w:rsidRPr="00A17C7C">
              <w:rPr>
                <w:rFonts w:ascii="Arial" w:hAnsi="Arial" w:cs="Arial"/>
                <w:sz w:val="18"/>
                <w:szCs w:val="16"/>
              </w:rPr>
              <w:t>2095</w:t>
            </w:r>
          </w:p>
        </w:tc>
      </w:tr>
    </w:tbl>
    <w:p w:rsidR="00452463" w:rsidRDefault="00966015" w:rsidP="0067180B">
      <w:pPr>
        <w:pStyle w:val="AERHeading3"/>
        <w:rPr>
          <w:b w:val="0"/>
          <w:bCs w:val="0"/>
          <w:color w:val="auto"/>
          <w:sz w:val="22"/>
          <w:lang w:eastAsia="en-AU"/>
        </w:rPr>
      </w:pPr>
      <w:r>
        <w:rPr>
          <w:b w:val="0"/>
          <w:bCs w:val="0"/>
          <w:color w:val="auto"/>
          <w:sz w:val="22"/>
          <w:lang w:eastAsia="en-AU"/>
        </w:rPr>
        <w:t>Conditions at the time saw demand and available capacity slightly lower than forecast.</w:t>
      </w:r>
    </w:p>
    <w:p w:rsidR="00452463" w:rsidRPr="00DB584A" w:rsidRDefault="00452463" w:rsidP="00452463">
      <w:pPr>
        <w:pStyle w:val="Caption"/>
      </w:pPr>
      <w:r>
        <w:t xml:space="preserve">Table </w:t>
      </w:r>
      <w:r w:rsidR="00966015">
        <w:t>13</w:t>
      </w:r>
      <w:r w:rsidRPr="00DB584A">
        <w:t xml:space="preserve">: Rebids for the </w:t>
      </w:r>
      <w:r>
        <w:t>2.30</w:t>
      </w:r>
      <w:r w:rsidRPr="00DB584A">
        <w:t xml:space="preserve"> pm trading interval</w:t>
      </w:r>
    </w:p>
    <w:tbl>
      <w:tblPr>
        <w:tblStyle w:val="AERTable-Text"/>
        <w:tblW w:w="9412" w:type="dxa"/>
        <w:tblLook w:val="04A0" w:firstRow="1" w:lastRow="0" w:firstColumn="1" w:lastColumn="0" w:noHBand="0" w:noVBand="1"/>
      </w:tblPr>
      <w:tblGrid>
        <w:gridCol w:w="1077"/>
        <w:gridCol w:w="933"/>
        <w:gridCol w:w="1465"/>
        <w:gridCol w:w="1167"/>
        <w:gridCol w:w="967"/>
        <w:gridCol w:w="906"/>
        <w:gridCol w:w="906"/>
        <w:gridCol w:w="1991"/>
      </w:tblGrid>
      <w:tr w:rsidR="00452463" w:rsidRPr="00DB584A" w:rsidTr="000B2488">
        <w:trPr>
          <w:cnfStyle w:val="100000000000" w:firstRow="1" w:lastRow="0" w:firstColumn="0" w:lastColumn="0" w:oddVBand="0" w:evenVBand="0" w:oddHBand="0" w:evenHBand="0" w:firstRowFirstColumn="0" w:firstRowLastColumn="0" w:lastRowFirstColumn="0" w:lastRowLastColumn="0"/>
          <w:trHeight w:val="210"/>
          <w:tblHeader/>
        </w:trPr>
        <w:tc>
          <w:tcPr>
            <w:tcW w:w="1077" w:type="dxa"/>
            <w:hideMark/>
          </w:tcPr>
          <w:p w:rsidR="00452463" w:rsidRPr="00DB584A" w:rsidRDefault="00452463"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Submitted</w:t>
            </w:r>
            <w:r w:rsidRPr="00DB584A">
              <w:rPr>
                <w:rFonts w:eastAsia="Times New Roman" w:cs="Arial"/>
                <w:b w:val="0"/>
                <w:color w:val="FFFFFF"/>
                <w:sz w:val="18"/>
                <w:szCs w:val="18"/>
                <w:lang w:eastAsia="en-AU"/>
              </w:rPr>
              <w:br/>
              <w:t>time</w:t>
            </w:r>
          </w:p>
        </w:tc>
        <w:tc>
          <w:tcPr>
            <w:tcW w:w="933" w:type="dxa"/>
            <w:hideMark/>
          </w:tcPr>
          <w:p w:rsidR="00452463" w:rsidRPr="00DB584A" w:rsidRDefault="00452463"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Time</w:t>
            </w:r>
            <w:r w:rsidRPr="00DB584A">
              <w:rPr>
                <w:rFonts w:eastAsia="Times New Roman" w:cs="Arial"/>
                <w:b w:val="0"/>
                <w:color w:val="FFFFFF"/>
                <w:sz w:val="18"/>
                <w:szCs w:val="18"/>
                <w:lang w:eastAsia="en-AU"/>
              </w:rPr>
              <w:br/>
              <w:t>effective</w:t>
            </w:r>
          </w:p>
        </w:tc>
        <w:tc>
          <w:tcPr>
            <w:tcW w:w="1465" w:type="dxa"/>
            <w:hideMark/>
          </w:tcPr>
          <w:p w:rsidR="00452463" w:rsidRPr="00DB584A" w:rsidRDefault="00452463" w:rsidP="000B2488">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Participant</w:t>
            </w:r>
          </w:p>
        </w:tc>
        <w:tc>
          <w:tcPr>
            <w:tcW w:w="1167" w:type="dxa"/>
            <w:hideMark/>
          </w:tcPr>
          <w:p w:rsidR="00452463" w:rsidRPr="00DB584A" w:rsidRDefault="00452463" w:rsidP="000B2488">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Station</w:t>
            </w:r>
          </w:p>
        </w:tc>
        <w:tc>
          <w:tcPr>
            <w:tcW w:w="967" w:type="dxa"/>
            <w:hideMark/>
          </w:tcPr>
          <w:p w:rsidR="00452463" w:rsidRPr="00DB584A" w:rsidRDefault="00452463"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Capacity rebid</w:t>
            </w:r>
            <w:r w:rsidRPr="00DB584A">
              <w:rPr>
                <w:rFonts w:eastAsia="Times New Roman" w:cs="Arial"/>
                <w:b w:val="0"/>
                <w:color w:val="FFFFFF"/>
                <w:sz w:val="18"/>
                <w:szCs w:val="18"/>
                <w:lang w:eastAsia="en-AU"/>
              </w:rPr>
              <w:br/>
              <w:t>(MW)</w:t>
            </w:r>
          </w:p>
        </w:tc>
        <w:tc>
          <w:tcPr>
            <w:tcW w:w="906" w:type="dxa"/>
            <w:hideMark/>
          </w:tcPr>
          <w:p w:rsidR="00452463" w:rsidRPr="00DB584A" w:rsidRDefault="00452463"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from</w:t>
            </w:r>
            <w:r w:rsidRPr="00DB584A">
              <w:rPr>
                <w:rFonts w:eastAsia="Times New Roman" w:cs="Arial"/>
                <w:b w:val="0"/>
                <w:color w:val="FFFFFF"/>
                <w:sz w:val="18"/>
                <w:szCs w:val="18"/>
                <w:lang w:eastAsia="en-AU"/>
              </w:rPr>
              <w:br/>
              <w:t>($/MWh)</w:t>
            </w:r>
          </w:p>
        </w:tc>
        <w:tc>
          <w:tcPr>
            <w:tcW w:w="906" w:type="dxa"/>
            <w:hideMark/>
          </w:tcPr>
          <w:p w:rsidR="00452463" w:rsidRPr="00DB584A" w:rsidRDefault="00452463" w:rsidP="000B2488">
            <w:pPr>
              <w:spacing w:before="0" w:line="240" w:lineRule="auto"/>
              <w:jc w:val="center"/>
              <w:textAlignment w:val="top"/>
              <w:rPr>
                <w:rFonts w:ascii="Times New Roman" w:eastAsia="Times New Roman" w:hAnsi="Times New Roman" w:cs="Times New Roman"/>
                <w:b w:val="0"/>
                <w:sz w:val="2"/>
                <w:szCs w:val="2"/>
                <w:lang w:eastAsia="en-AU"/>
              </w:rPr>
            </w:pPr>
            <w:r w:rsidRPr="00DB584A">
              <w:rPr>
                <w:rFonts w:eastAsia="Times New Roman" w:cs="Arial"/>
                <w:b w:val="0"/>
                <w:color w:val="FFFFFF"/>
                <w:sz w:val="18"/>
                <w:szCs w:val="18"/>
                <w:lang w:eastAsia="en-AU"/>
              </w:rPr>
              <w:t>Price to</w:t>
            </w:r>
            <w:r w:rsidRPr="00DB584A">
              <w:rPr>
                <w:rFonts w:eastAsia="Times New Roman" w:cs="Arial"/>
                <w:b w:val="0"/>
                <w:color w:val="FFFFFF"/>
                <w:sz w:val="18"/>
                <w:szCs w:val="18"/>
                <w:lang w:eastAsia="en-AU"/>
              </w:rPr>
              <w:br/>
              <w:t>($/MWh)</w:t>
            </w:r>
          </w:p>
        </w:tc>
        <w:tc>
          <w:tcPr>
            <w:tcW w:w="1991" w:type="dxa"/>
            <w:hideMark/>
          </w:tcPr>
          <w:p w:rsidR="00452463" w:rsidRPr="00DB584A" w:rsidRDefault="00452463" w:rsidP="000B2488">
            <w:pPr>
              <w:spacing w:before="0" w:line="240" w:lineRule="auto"/>
              <w:jc w:val="center"/>
              <w:textAlignment w:val="top"/>
              <w:rPr>
                <w:rFonts w:eastAsia="Times New Roman" w:cs="Arial"/>
                <w:b w:val="0"/>
                <w:color w:val="FFFFFF"/>
                <w:sz w:val="18"/>
                <w:szCs w:val="18"/>
                <w:lang w:eastAsia="en-AU"/>
              </w:rPr>
            </w:pPr>
            <w:r w:rsidRPr="00DB584A">
              <w:rPr>
                <w:rFonts w:eastAsia="Times New Roman" w:cs="Arial"/>
                <w:b w:val="0"/>
                <w:color w:val="FFFFFF"/>
                <w:sz w:val="18"/>
                <w:szCs w:val="18"/>
                <w:lang w:eastAsia="en-AU"/>
              </w:rPr>
              <w:t>Rebid reason</w:t>
            </w:r>
          </w:p>
        </w:tc>
      </w:tr>
      <w:tr w:rsidR="00452463" w:rsidRPr="00DB584A" w:rsidTr="000B2488">
        <w:trPr>
          <w:trHeight w:val="582"/>
        </w:trPr>
        <w:tc>
          <w:tcPr>
            <w:tcW w:w="1077" w:type="dxa"/>
          </w:tcPr>
          <w:p w:rsidR="00452463" w:rsidRPr="00863BE5" w:rsidRDefault="00452463" w:rsidP="000B2488">
            <w:pPr>
              <w:spacing w:before="0" w:line="240" w:lineRule="auto"/>
              <w:textAlignment w:val="center"/>
              <w:rPr>
                <w:rFonts w:eastAsia="Times New Roman" w:cs="Arial"/>
                <w:color w:val="000000"/>
                <w:szCs w:val="18"/>
                <w:lang w:eastAsia="en-AU"/>
              </w:rPr>
            </w:pPr>
            <w:r>
              <w:rPr>
                <w:rFonts w:eastAsia="Times New Roman" w:cs="Arial"/>
                <w:color w:val="000000"/>
                <w:szCs w:val="18"/>
                <w:lang w:eastAsia="en-AU"/>
              </w:rPr>
              <w:t>8.43</w:t>
            </w:r>
            <w:r w:rsidRPr="00863BE5">
              <w:rPr>
                <w:rFonts w:eastAsia="Times New Roman" w:cs="Arial"/>
                <w:color w:val="000000"/>
                <w:szCs w:val="18"/>
                <w:lang w:eastAsia="en-AU"/>
              </w:rPr>
              <w:t xml:space="preserve"> pm </w:t>
            </w:r>
          </w:p>
        </w:tc>
        <w:tc>
          <w:tcPr>
            <w:tcW w:w="933" w:type="dxa"/>
          </w:tcPr>
          <w:p w:rsidR="00452463" w:rsidRPr="00863BE5" w:rsidRDefault="00452463" w:rsidP="000B2488">
            <w:pPr>
              <w:spacing w:before="0" w:line="240" w:lineRule="auto"/>
              <w:jc w:val="center"/>
              <w:textAlignment w:val="center"/>
              <w:rPr>
                <w:rFonts w:eastAsia="Times New Roman" w:cs="Arial"/>
                <w:color w:val="000000"/>
                <w:szCs w:val="18"/>
                <w:lang w:eastAsia="en-AU"/>
              </w:rPr>
            </w:pPr>
          </w:p>
        </w:tc>
        <w:tc>
          <w:tcPr>
            <w:tcW w:w="1465" w:type="dxa"/>
          </w:tcPr>
          <w:p w:rsidR="00452463" w:rsidRPr="00863BE5" w:rsidRDefault="00452463" w:rsidP="000B2488">
            <w:pPr>
              <w:spacing w:before="0" w:line="240" w:lineRule="auto"/>
              <w:textAlignment w:val="center"/>
              <w:rPr>
                <w:rFonts w:eastAsia="Times New Roman" w:cs="Arial"/>
                <w:color w:val="000000"/>
                <w:szCs w:val="18"/>
                <w:lang w:eastAsia="en-AU"/>
              </w:rPr>
            </w:pPr>
            <w:r w:rsidRPr="00863BE5">
              <w:rPr>
                <w:rFonts w:eastAsia="Times New Roman" w:cs="Arial"/>
                <w:color w:val="000000"/>
                <w:szCs w:val="18"/>
                <w:lang w:eastAsia="en-AU"/>
              </w:rPr>
              <w:t xml:space="preserve">Hydro </w:t>
            </w:r>
            <w:proofErr w:type="spellStart"/>
            <w:r w:rsidRPr="00863BE5">
              <w:rPr>
                <w:rFonts w:eastAsia="Times New Roman" w:cs="Arial"/>
                <w:color w:val="000000"/>
                <w:szCs w:val="18"/>
                <w:lang w:eastAsia="en-AU"/>
              </w:rPr>
              <w:t>Tas</w:t>
            </w:r>
            <w:proofErr w:type="spellEnd"/>
          </w:p>
        </w:tc>
        <w:tc>
          <w:tcPr>
            <w:tcW w:w="1167" w:type="dxa"/>
          </w:tcPr>
          <w:p w:rsidR="00452463" w:rsidRPr="00863BE5" w:rsidRDefault="00452463" w:rsidP="000B2488">
            <w:pPr>
              <w:spacing w:before="0" w:line="240" w:lineRule="auto"/>
              <w:textAlignment w:val="center"/>
              <w:rPr>
                <w:rFonts w:eastAsia="Times New Roman" w:cs="Arial"/>
                <w:color w:val="000000"/>
                <w:szCs w:val="18"/>
                <w:lang w:eastAsia="en-AU"/>
              </w:rPr>
            </w:pPr>
            <w:r>
              <w:rPr>
                <w:rFonts w:eastAsia="Times New Roman" w:cs="Arial"/>
                <w:color w:val="000000"/>
                <w:szCs w:val="18"/>
                <w:lang w:eastAsia="en-AU"/>
              </w:rPr>
              <w:t>Gordon</w:t>
            </w:r>
          </w:p>
        </w:tc>
        <w:tc>
          <w:tcPr>
            <w:tcW w:w="967" w:type="dxa"/>
          </w:tcPr>
          <w:p w:rsidR="00452463" w:rsidRPr="00863BE5" w:rsidRDefault="00452463" w:rsidP="000B2488">
            <w:pPr>
              <w:spacing w:before="0" w:line="240" w:lineRule="auto"/>
              <w:jc w:val="center"/>
              <w:textAlignment w:val="center"/>
              <w:rPr>
                <w:rFonts w:eastAsia="Times New Roman" w:cs="Arial"/>
                <w:color w:val="000000"/>
                <w:szCs w:val="18"/>
                <w:lang w:eastAsia="en-AU"/>
              </w:rPr>
            </w:pPr>
            <w:r>
              <w:rPr>
                <w:rFonts w:eastAsia="Times New Roman" w:cs="Arial"/>
                <w:color w:val="000000"/>
                <w:szCs w:val="18"/>
                <w:lang w:eastAsia="en-AU"/>
              </w:rPr>
              <w:t>114</w:t>
            </w:r>
          </w:p>
        </w:tc>
        <w:tc>
          <w:tcPr>
            <w:tcW w:w="906" w:type="dxa"/>
          </w:tcPr>
          <w:p w:rsidR="00452463" w:rsidRPr="00863BE5" w:rsidRDefault="00452463" w:rsidP="000B2488">
            <w:pPr>
              <w:spacing w:before="0" w:line="240" w:lineRule="auto"/>
              <w:jc w:val="center"/>
              <w:textAlignment w:val="center"/>
              <w:rPr>
                <w:rFonts w:eastAsia="Times New Roman" w:cs="Arial"/>
                <w:color w:val="000000"/>
                <w:szCs w:val="18"/>
                <w:lang w:eastAsia="en-AU"/>
              </w:rPr>
            </w:pPr>
            <w:r>
              <w:rPr>
                <w:rFonts w:eastAsia="Times New Roman" w:cs="Arial"/>
                <w:color w:val="000000"/>
                <w:szCs w:val="18"/>
                <w:lang w:eastAsia="en-AU"/>
              </w:rPr>
              <w:t>92</w:t>
            </w:r>
          </w:p>
        </w:tc>
        <w:tc>
          <w:tcPr>
            <w:tcW w:w="906" w:type="dxa"/>
          </w:tcPr>
          <w:p w:rsidR="00452463" w:rsidRPr="00863BE5" w:rsidRDefault="00452463" w:rsidP="000B2488">
            <w:pPr>
              <w:spacing w:before="0" w:line="240" w:lineRule="auto"/>
              <w:jc w:val="center"/>
              <w:textAlignment w:val="center"/>
              <w:rPr>
                <w:rFonts w:eastAsia="Times New Roman" w:cs="Arial"/>
                <w:color w:val="000000"/>
                <w:szCs w:val="18"/>
                <w:lang w:eastAsia="en-AU"/>
              </w:rPr>
            </w:pPr>
            <w:r w:rsidRPr="00863BE5">
              <w:rPr>
                <w:rFonts w:eastAsia="Times New Roman" w:cs="Arial"/>
                <w:color w:val="000000"/>
                <w:szCs w:val="18"/>
                <w:lang w:eastAsia="en-AU"/>
              </w:rPr>
              <w:t>347</w:t>
            </w:r>
          </w:p>
        </w:tc>
        <w:tc>
          <w:tcPr>
            <w:tcW w:w="1991" w:type="dxa"/>
          </w:tcPr>
          <w:p w:rsidR="00452463" w:rsidRPr="00863BE5" w:rsidRDefault="00452463" w:rsidP="000B2488">
            <w:pPr>
              <w:spacing w:before="0" w:line="240" w:lineRule="auto"/>
              <w:textAlignment w:val="center"/>
              <w:rPr>
                <w:rFonts w:eastAsia="Times New Roman" w:cs="Arial"/>
                <w:color w:val="000000"/>
                <w:szCs w:val="18"/>
                <w:lang w:eastAsia="en-AU"/>
              </w:rPr>
            </w:pPr>
            <w:r>
              <w:rPr>
                <w:rFonts w:cs="Arial"/>
                <w:sz w:val="16"/>
                <w:szCs w:val="16"/>
              </w:rPr>
              <w:t>2045E CORRECTING ERROR IN PREVIOUS BID</w:t>
            </w:r>
          </w:p>
        </w:tc>
      </w:tr>
      <w:tr w:rsidR="00452463" w:rsidRPr="00DB584A" w:rsidTr="000B2488">
        <w:trPr>
          <w:cnfStyle w:val="000000010000" w:firstRow="0" w:lastRow="0" w:firstColumn="0" w:lastColumn="0" w:oddVBand="0" w:evenVBand="0" w:oddHBand="0" w:evenHBand="1" w:firstRowFirstColumn="0" w:firstRowLastColumn="0" w:lastRowFirstColumn="0" w:lastRowLastColumn="0"/>
          <w:trHeight w:val="582"/>
        </w:trPr>
        <w:tc>
          <w:tcPr>
            <w:tcW w:w="1077" w:type="dxa"/>
          </w:tcPr>
          <w:p w:rsidR="00452463" w:rsidRPr="00863BE5" w:rsidRDefault="00452463" w:rsidP="000B2488">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9.17</w:t>
            </w:r>
            <w:r w:rsidRPr="00863BE5">
              <w:rPr>
                <w:rFonts w:eastAsia="Times New Roman" w:cs="Arial"/>
                <w:color w:val="000000"/>
                <w:sz w:val="18"/>
                <w:szCs w:val="18"/>
                <w:lang w:eastAsia="en-AU"/>
              </w:rPr>
              <w:t xml:space="preserve"> pm </w:t>
            </w:r>
          </w:p>
        </w:tc>
        <w:tc>
          <w:tcPr>
            <w:tcW w:w="933" w:type="dxa"/>
          </w:tcPr>
          <w:p w:rsidR="00452463" w:rsidRPr="00863BE5" w:rsidRDefault="00452463" w:rsidP="000B2488">
            <w:pPr>
              <w:spacing w:before="0" w:line="240" w:lineRule="auto"/>
              <w:jc w:val="center"/>
              <w:textAlignment w:val="center"/>
              <w:rPr>
                <w:rFonts w:eastAsia="Times New Roman" w:cs="Arial"/>
                <w:color w:val="000000"/>
                <w:sz w:val="18"/>
                <w:szCs w:val="18"/>
                <w:lang w:eastAsia="en-AU"/>
              </w:rPr>
            </w:pPr>
          </w:p>
        </w:tc>
        <w:tc>
          <w:tcPr>
            <w:tcW w:w="1465" w:type="dxa"/>
          </w:tcPr>
          <w:p w:rsidR="00452463" w:rsidRPr="00863BE5" w:rsidRDefault="00452463" w:rsidP="000B2488">
            <w:pPr>
              <w:spacing w:before="0" w:line="240" w:lineRule="auto"/>
              <w:textAlignment w:val="center"/>
              <w:rPr>
                <w:rFonts w:eastAsia="Times New Roman" w:cs="Arial"/>
                <w:color w:val="000000"/>
                <w:sz w:val="18"/>
                <w:szCs w:val="18"/>
                <w:lang w:eastAsia="en-AU"/>
              </w:rPr>
            </w:pPr>
            <w:r w:rsidRPr="00863BE5">
              <w:rPr>
                <w:rFonts w:eastAsia="Times New Roman" w:cs="Arial"/>
                <w:color w:val="000000"/>
                <w:sz w:val="18"/>
                <w:szCs w:val="18"/>
                <w:lang w:eastAsia="en-AU"/>
              </w:rPr>
              <w:t xml:space="preserve">Hydro </w:t>
            </w:r>
            <w:proofErr w:type="spellStart"/>
            <w:r w:rsidRPr="00863BE5">
              <w:rPr>
                <w:rFonts w:eastAsia="Times New Roman" w:cs="Arial"/>
                <w:color w:val="000000"/>
                <w:sz w:val="18"/>
                <w:szCs w:val="18"/>
                <w:lang w:eastAsia="en-AU"/>
              </w:rPr>
              <w:t>Tas</w:t>
            </w:r>
            <w:proofErr w:type="spellEnd"/>
          </w:p>
        </w:tc>
        <w:tc>
          <w:tcPr>
            <w:tcW w:w="1167" w:type="dxa"/>
          </w:tcPr>
          <w:p w:rsidR="00452463" w:rsidRPr="00863BE5" w:rsidRDefault="00452463" w:rsidP="000B2488">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Portfolio</w:t>
            </w:r>
          </w:p>
        </w:tc>
        <w:tc>
          <w:tcPr>
            <w:tcW w:w="967" w:type="dxa"/>
          </w:tcPr>
          <w:p w:rsidR="00452463" w:rsidRPr="00863BE5" w:rsidRDefault="00452463" w:rsidP="000B2488">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759</w:t>
            </w:r>
          </w:p>
        </w:tc>
        <w:tc>
          <w:tcPr>
            <w:tcW w:w="906" w:type="dxa"/>
          </w:tcPr>
          <w:p w:rsidR="00452463" w:rsidRPr="00863BE5" w:rsidRDefault="00452463" w:rsidP="000B2488">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115</w:t>
            </w:r>
          </w:p>
        </w:tc>
        <w:tc>
          <w:tcPr>
            <w:tcW w:w="906" w:type="dxa"/>
          </w:tcPr>
          <w:p w:rsidR="00452463" w:rsidRPr="00863BE5" w:rsidRDefault="00452463" w:rsidP="000B2488">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469</w:t>
            </w:r>
          </w:p>
        </w:tc>
        <w:tc>
          <w:tcPr>
            <w:tcW w:w="1991" w:type="dxa"/>
          </w:tcPr>
          <w:p w:rsidR="00452463" w:rsidRPr="00863BE5" w:rsidRDefault="00452463" w:rsidP="000B2488">
            <w:pPr>
              <w:spacing w:before="0" w:line="240" w:lineRule="auto"/>
              <w:textAlignment w:val="center"/>
              <w:rPr>
                <w:rFonts w:eastAsia="Times New Roman" w:cs="Arial"/>
                <w:color w:val="000000"/>
                <w:sz w:val="18"/>
                <w:szCs w:val="18"/>
                <w:lang w:eastAsia="en-AU"/>
              </w:rPr>
            </w:pPr>
            <w:r>
              <w:rPr>
                <w:rFonts w:cs="Arial"/>
                <w:sz w:val="16"/>
                <w:szCs w:val="16"/>
              </w:rPr>
              <w:t>2120E CORRECTING ERROR IN PREVIOUS BID</w:t>
            </w:r>
          </w:p>
        </w:tc>
      </w:tr>
    </w:tbl>
    <w:p w:rsidR="003B7346" w:rsidRPr="00855A23" w:rsidRDefault="003B7346" w:rsidP="0067180B">
      <w:pPr>
        <w:pStyle w:val="AERHeading3"/>
        <w:rPr>
          <w:b w:val="0"/>
          <w:bCs w:val="0"/>
          <w:color w:val="auto"/>
          <w:sz w:val="22"/>
          <w:lang w:eastAsia="en-AU"/>
        </w:rPr>
      </w:pPr>
      <w:r>
        <w:rPr>
          <w:rFonts w:cs="Arial"/>
          <w:b w:val="0"/>
          <w:color w:val="auto"/>
          <w:sz w:val="22"/>
          <w:szCs w:val="22"/>
        </w:rPr>
        <w:t>The above rebidding saw the dispatch price rise to $347/MWh and remain there for the duration of the trading interval.</w:t>
      </w:r>
    </w:p>
    <w:bookmarkEnd w:id="0"/>
    <w:bookmarkEnd w:id="1"/>
    <w:bookmarkEnd w:id="2"/>
    <w:bookmarkEnd w:id="3"/>
    <w:bookmarkEnd w:id="4"/>
    <w:bookmarkEnd w:id="5"/>
    <w:p w:rsidR="00141D3A" w:rsidRDefault="00141D3A">
      <w:pPr>
        <w:spacing w:line="240" w:lineRule="auto"/>
        <w:rPr>
          <w:rFonts w:eastAsiaTheme="majorEastAsia" w:cstheme="majorBidi"/>
          <w:b/>
          <w:bCs/>
          <w:color w:val="51626F"/>
          <w:sz w:val="28"/>
          <w:szCs w:val="26"/>
        </w:rPr>
      </w:pPr>
      <w:r>
        <w:rPr>
          <w:rFonts w:eastAsiaTheme="majorEastAsia" w:cstheme="majorBidi"/>
          <w:b/>
          <w:bCs/>
          <w:color w:val="51626F"/>
          <w:sz w:val="28"/>
          <w:szCs w:val="26"/>
        </w:rPr>
        <w:br w:type="page"/>
      </w:r>
    </w:p>
    <w:p w:rsidR="00275002" w:rsidRPr="0031019A" w:rsidRDefault="00275002" w:rsidP="005F6ADE">
      <w:pPr>
        <w:pStyle w:val="Heading2"/>
      </w:pPr>
      <w:r w:rsidRPr="0031019A">
        <w:lastRenderedPageBreak/>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EE6F07">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966015">
      <w:pPr>
        <w:pStyle w:val="Caption"/>
        <w:spacing w:before="0" w:line="240" w:lineRule="auto"/>
      </w:pPr>
      <w:bookmarkStart w:id="22" w:name="_Ref410386540"/>
      <w:r>
        <w:t xml:space="preserve">Figure </w:t>
      </w:r>
      <w:fldSimple w:instr=" SEQ Figure \* ARABIC ">
        <w:r w:rsidR="00EE6F07">
          <w:rPr>
            <w:noProof/>
          </w:rPr>
          <w:t>9</w:t>
        </w:r>
      </w:fldSimple>
      <w:bookmarkEnd w:id="22"/>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830985" w:rsidP="00966015">
      <w:pPr>
        <w:spacing w:before="0" w:after="120" w:line="240" w:lineRule="auto"/>
      </w:pPr>
      <w:r w:rsidRPr="00830985">
        <w:rPr>
          <w:noProof/>
          <w:lang w:eastAsia="en-AU"/>
        </w:rPr>
        <w:drawing>
          <wp:inline distT="0" distB="0" distL="0" distR="0" wp14:anchorId="0608BE8B" wp14:editId="18829BC3">
            <wp:extent cx="5731784" cy="3101340"/>
            <wp:effectExtent l="0" t="0" r="2540" b="3810"/>
            <wp:docPr id="24" name="Picture 24"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101192"/>
                    </a:xfrm>
                    <a:prstGeom prst="rect">
                      <a:avLst/>
                    </a:prstGeom>
                    <a:noFill/>
                    <a:ln>
                      <a:noFill/>
                    </a:ln>
                  </pic:spPr>
                </pic:pic>
              </a:graphicData>
            </a:graphic>
          </wp:inline>
        </w:drawing>
      </w:r>
    </w:p>
    <w:p w:rsidR="00CA0ECB" w:rsidRDefault="00275002" w:rsidP="00966015">
      <w:pPr>
        <w:spacing w:before="0" w:after="120" w:line="240" w:lineRule="auto"/>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Default="00275002" w:rsidP="009A3D22">
      <w:pPr>
        <w:jc w:val="both"/>
      </w:pPr>
      <w:r>
        <w:fldChar w:fldCharType="begin"/>
      </w:r>
      <w:r>
        <w:instrText xml:space="preserve"> REF _Ref410380382 \h </w:instrText>
      </w:r>
      <w:r w:rsidR="009A3D22">
        <w:instrText xml:space="preserve"> \* MERGEFORMAT </w:instrText>
      </w:r>
      <w:r>
        <w:fldChar w:fldCharType="separate"/>
      </w:r>
      <w:r w:rsidR="00EE6F07">
        <w:t xml:space="preserve">Figure </w:t>
      </w:r>
      <w:r w:rsidR="00EE6F07">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2B720D">
      <w:pPr>
        <w:pStyle w:val="Caption"/>
      </w:pPr>
      <w:bookmarkStart w:id="23" w:name="_Ref410380382"/>
      <w:r>
        <w:t xml:space="preserve">Figure </w:t>
      </w:r>
      <w:fldSimple w:instr=" SEQ Figure \* ARABIC ">
        <w:r w:rsidR="00EE6F07">
          <w:rPr>
            <w:noProof/>
          </w:rPr>
          <w:t>10</w:t>
        </w:r>
      </w:fldSimple>
      <w:bookmarkEnd w:id="23"/>
      <w:r w:rsidR="002515C3">
        <w:t>:</w:t>
      </w:r>
      <w:r w:rsidRPr="00DF093A">
        <w:t xml:space="preserve"> Price of Q1 201</w:t>
      </w:r>
      <w:r w:rsidR="00F87EBA">
        <w:t>6</w:t>
      </w:r>
      <w:r w:rsidRPr="00DF093A">
        <w:t xml:space="preserve"> base contracts over the past 10 weeks (and the past 2 years)</w:t>
      </w:r>
    </w:p>
    <w:p w:rsidR="00275002" w:rsidRPr="0031019A" w:rsidRDefault="00830985" w:rsidP="004D4A76">
      <w:pPr>
        <w:pStyle w:val="Caption"/>
        <w:spacing w:before="0" w:after="0" w:line="240" w:lineRule="auto"/>
      </w:pPr>
      <w:r w:rsidRPr="00830985">
        <w:rPr>
          <w:noProof/>
          <w:lang w:eastAsia="en-AU"/>
        </w:rPr>
        <w:drawing>
          <wp:inline distT="0" distB="0" distL="0" distR="0" wp14:anchorId="35412892" wp14:editId="1FBE40DB">
            <wp:extent cx="5734275" cy="3048000"/>
            <wp:effectExtent l="0" t="0" r="0" b="0"/>
            <wp:docPr id="25" name="Picture 25"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046530"/>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lastRenderedPageBreak/>
        <w:t xml:space="preserve">Prices of other financial products (including longer-term price trends) are available in the </w:t>
      </w:r>
      <w:hyperlink r:id="rId24" w:history="1">
        <w:r w:rsidR="0009653D">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EE6F07">
        <w:t xml:space="preserve">Figure </w:t>
      </w:r>
      <w:r w:rsidR="00EE6F07">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4" w:name="_Ref428276233"/>
      <w:bookmarkStart w:id="25" w:name="_Ref410744936"/>
      <w:r>
        <w:t xml:space="preserve">Figure </w:t>
      </w:r>
      <w:fldSimple w:instr=" SEQ Figure \* ARABIC ">
        <w:r w:rsidR="00EE6F07">
          <w:rPr>
            <w:noProof/>
          </w:rPr>
          <w:t>11</w:t>
        </w:r>
      </w:fldSimple>
      <w:bookmarkEnd w:id="24"/>
      <w:r w:rsidR="002515C3">
        <w:t>:</w:t>
      </w:r>
      <w:r w:rsidRPr="0074419D">
        <w:t xml:space="preserve"> Price of Q1 201</w:t>
      </w:r>
      <w:r w:rsidR="00F87EBA">
        <w:t>6</w:t>
      </w:r>
      <w:r w:rsidRPr="0074419D">
        <w:t xml:space="preserve"> cap contracts over the past 10 weeks (and the past 2 years)</w:t>
      </w:r>
      <w:bookmarkEnd w:id="25"/>
    </w:p>
    <w:p w:rsidR="00275002" w:rsidRPr="0031019A" w:rsidRDefault="00830985" w:rsidP="00CB0FA5">
      <w:pPr>
        <w:spacing w:before="0" w:line="240" w:lineRule="auto"/>
      </w:pPr>
      <w:r w:rsidRPr="00830985">
        <w:rPr>
          <w:noProof/>
          <w:lang w:eastAsia="en-AU"/>
        </w:rPr>
        <w:drawing>
          <wp:inline distT="0" distB="0" distL="0" distR="0" wp14:anchorId="36D6A7FA" wp14:editId="63F6FA75">
            <wp:extent cx="5737860" cy="3078480"/>
            <wp:effectExtent l="0" t="0" r="0" b="7620"/>
            <wp:docPr id="26" name="Picture 26"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075073"/>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0D4350" w:rsidRDefault="000D4350" w:rsidP="00275002">
      <w:pPr>
        <w:pStyle w:val="Heading4notnumbered"/>
      </w:pPr>
    </w:p>
    <w:p w:rsidR="00275002" w:rsidRPr="0031019A" w:rsidRDefault="00275002" w:rsidP="00275002">
      <w:pPr>
        <w:pStyle w:val="Heading4notnumbered"/>
      </w:pPr>
      <w:r w:rsidRPr="0031019A">
        <w:t>Australian Energy Regulator</w:t>
      </w:r>
      <w:r w:rsidR="005B0EF5">
        <w:br/>
      </w:r>
      <w:r w:rsidR="00300C0B">
        <w:t>December</w:t>
      </w:r>
      <w:r w:rsidR="004D5447" w:rsidRPr="0031019A">
        <w:t xml:space="preserve"> </w:t>
      </w:r>
      <w:r w:rsidRPr="0031019A">
        <w:t>2015</w:t>
      </w:r>
    </w:p>
    <w:sectPr w:rsidR="00275002" w:rsidRPr="0031019A" w:rsidSect="00F167CF">
      <w:footerReference w:type="even" r:id="rId27"/>
      <w:footerReference w:type="default" r:id="rId28"/>
      <w:footerReference w:type="first" r:id="rId29"/>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49" w:rsidRDefault="00BA0349" w:rsidP="004B4412">
      <w:pPr>
        <w:spacing w:before="0"/>
      </w:pPr>
      <w:r>
        <w:separator/>
      </w:r>
    </w:p>
  </w:endnote>
  <w:endnote w:type="continuationSeparator" w:id="0">
    <w:p w:rsidR="00BA0349" w:rsidRDefault="00BA034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49" w:rsidRPr="00A91A9E" w:rsidRDefault="00BA0349"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BA0349" w:rsidRDefault="00BA0349"/>
  <w:p w:rsidR="00BA0349" w:rsidRDefault="00BA03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49" w:rsidRPr="00A94D89" w:rsidRDefault="00BA0349"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E6F07">
      <w:rPr>
        <w:rFonts w:cs="Arial"/>
        <w:i/>
        <w:noProof/>
      </w:rPr>
      <w:t>12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49" w:rsidRPr="00A94D89" w:rsidRDefault="00BA0349"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E6F07">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D15/185813</w:t>
    </w:r>
  </w:p>
  <w:p w:rsidR="00BA0349" w:rsidRDefault="00BA03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49" w:rsidRDefault="00BA0349" w:rsidP="004B4412">
      <w:pPr>
        <w:spacing w:before="0"/>
      </w:pPr>
      <w:r>
        <w:separator/>
      </w:r>
    </w:p>
  </w:footnote>
  <w:footnote w:type="continuationSeparator" w:id="0">
    <w:p w:rsidR="00BA0349" w:rsidRDefault="00BA0349"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Electricity report 22 - 28 November 2015.docx"/>
  </w:docVars>
  <w:rsids>
    <w:rsidRoot w:val="00275002"/>
    <w:rsid w:val="00000BFE"/>
    <w:rsid w:val="00003169"/>
    <w:rsid w:val="0000728F"/>
    <w:rsid w:val="00007624"/>
    <w:rsid w:val="000128E1"/>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22AB"/>
    <w:rsid w:val="00043FA7"/>
    <w:rsid w:val="000442BA"/>
    <w:rsid w:val="00044D80"/>
    <w:rsid w:val="000452BA"/>
    <w:rsid w:val="000461E2"/>
    <w:rsid w:val="0005123C"/>
    <w:rsid w:val="00051568"/>
    <w:rsid w:val="00051880"/>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9653D"/>
    <w:rsid w:val="000A29ED"/>
    <w:rsid w:val="000A62D6"/>
    <w:rsid w:val="000A6F14"/>
    <w:rsid w:val="000B0311"/>
    <w:rsid w:val="000B2488"/>
    <w:rsid w:val="000B3C8A"/>
    <w:rsid w:val="000D122C"/>
    <w:rsid w:val="000D355E"/>
    <w:rsid w:val="000D3C77"/>
    <w:rsid w:val="000D4350"/>
    <w:rsid w:val="000D68C5"/>
    <w:rsid w:val="000E1819"/>
    <w:rsid w:val="000E1A1B"/>
    <w:rsid w:val="000E2946"/>
    <w:rsid w:val="000E4F81"/>
    <w:rsid w:val="000E54D6"/>
    <w:rsid w:val="000E55C7"/>
    <w:rsid w:val="000E5B55"/>
    <w:rsid w:val="000E6C72"/>
    <w:rsid w:val="000E77BB"/>
    <w:rsid w:val="000E7E24"/>
    <w:rsid w:val="000F1D61"/>
    <w:rsid w:val="000F56F6"/>
    <w:rsid w:val="000F5855"/>
    <w:rsid w:val="000F6FA7"/>
    <w:rsid w:val="00100142"/>
    <w:rsid w:val="0010743A"/>
    <w:rsid w:val="00113AE0"/>
    <w:rsid w:val="001158FE"/>
    <w:rsid w:val="00115CCB"/>
    <w:rsid w:val="00116EB2"/>
    <w:rsid w:val="00117195"/>
    <w:rsid w:val="0012092C"/>
    <w:rsid w:val="00122831"/>
    <w:rsid w:val="00124609"/>
    <w:rsid w:val="00124D78"/>
    <w:rsid w:val="00125F4F"/>
    <w:rsid w:val="00127CAB"/>
    <w:rsid w:val="001337EF"/>
    <w:rsid w:val="00133FC8"/>
    <w:rsid w:val="00136716"/>
    <w:rsid w:val="00136A08"/>
    <w:rsid w:val="001373F1"/>
    <w:rsid w:val="00141D3A"/>
    <w:rsid w:val="001435CC"/>
    <w:rsid w:val="0014511E"/>
    <w:rsid w:val="00145982"/>
    <w:rsid w:val="00151F61"/>
    <w:rsid w:val="001539E0"/>
    <w:rsid w:val="0015451B"/>
    <w:rsid w:val="00155113"/>
    <w:rsid w:val="001566F6"/>
    <w:rsid w:val="001573E4"/>
    <w:rsid w:val="00160756"/>
    <w:rsid w:val="00164FB1"/>
    <w:rsid w:val="00165247"/>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973F9"/>
    <w:rsid w:val="001A7E89"/>
    <w:rsid w:val="001B0C3B"/>
    <w:rsid w:val="001B45A0"/>
    <w:rsid w:val="001B4A7D"/>
    <w:rsid w:val="001B6C15"/>
    <w:rsid w:val="001C027D"/>
    <w:rsid w:val="001C17B3"/>
    <w:rsid w:val="001C1BC0"/>
    <w:rsid w:val="001C2EE8"/>
    <w:rsid w:val="001C6748"/>
    <w:rsid w:val="001D055E"/>
    <w:rsid w:val="001D0CE3"/>
    <w:rsid w:val="001D5BEB"/>
    <w:rsid w:val="001D60FF"/>
    <w:rsid w:val="001D7698"/>
    <w:rsid w:val="001E01B4"/>
    <w:rsid w:val="001E14C2"/>
    <w:rsid w:val="001E4665"/>
    <w:rsid w:val="001E48B3"/>
    <w:rsid w:val="001E5AEE"/>
    <w:rsid w:val="001E6FDD"/>
    <w:rsid w:val="001F03EF"/>
    <w:rsid w:val="001F0EC9"/>
    <w:rsid w:val="001F1B78"/>
    <w:rsid w:val="001F22EE"/>
    <w:rsid w:val="001F2577"/>
    <w:rsid w:val="001F492E"/>
    <w:rsid w:val="001F6DA3"/>
    <w:rsid w:val="001F7575"/>
    <w:rsid w:val="00201136"/>
    <w:rsid w:val="0020132A"/>
    <w:rsid w:val="00203300"/>
    <w:rsid w:val="0020376D"/>
    <w:rsid w:val="0020489F"/>
    <w:rsid w:val="002050F5"/>
    <w:rsid w:val="002072A2"/>
    <w:rsid w:val="0021147E"/>
    <w:rsid w:val="00212D2F"/>
    <w:rsid w:val="00213CF6"/>
    <w:rsid w:val="00214FBA"/>
    <w:rsid w:val="00215E19"/>
    <w:rsid w:val="002164FB"/>
    <w:rsid w:val="00216865"/>
    <w:rsid w:val="002216F5"/>
    <w:rsid w:val="00224DB9"/>
    <w:rsid w:val="002276F0"/>
    <w:rsid w:val="00227C97"/>
    <w:rsid w:val="00230D26"/>
    <w:rsid w:val="00232A71"/>
    <w:rsid w:val="00237048"/>
    <w:rsid w:val="00242C25"/>
    <w:rsid w:val="002438D9"/>
    <w:rsid w:val="00247473"/>
    <w:rsid w:val="002515C3"/>
    <w:rsid w:val="00251745"/>
    <w:rsid w:val="00251C37"/>
    <w:rsid w:val="00251D74"/>
    <w:rsid w:val="00262F65"/>
    <w:rsid w:val="00263AC0"/>
    <w:rsid w:val="002649D2"/>
    <w:rsid w:val="002649D8"/>
    <w:rsid w:val="00265486"/>
    <w:rsid w:val="0026772D"/>
    <w:rsid w:val="00270A51"/>
    <w:rsid w:val="00275002"/>
    <w:rsid w:val="00275927"/>
    <w:rsid w:val="002817AB"/>
    <w:rsid w:val="002828A0"/>
    <w:rsid w:val="0028440E"/>
    <w:rsid w:val="00286874"/>
    <w:rsid w:val="0029246F"/>
    <w:rsid w:val="00294653"/>
    <w:rsid w:val="00296B65"/>
    <w:rsid w:val="002A1B5C"/>
    <w:rsid w:val="002A3CF2"/>
    <w:rsid w:val="002A4EF8"/>
    <w:rsid w:val="002A7439"/>
    <w:rsid w:val="002A7729"/>
    <w:rsid w:val="002A7C78"/>
    <w:rsid w:val="002A7DEF"/>
    <w:rsid w:val="002B0DAE"/>
    <w:rsid w:val="002B720D"/>
    <w:rsid w:val="002C2278"/>
    <w:rsid w:val="002C581B"/>
    <w:rsid w:val="002C624D"/>
    <w:rsid w:val="002C6DD3"/>
    <w:rsid w:val="002D1734"/>
    <w:rsid w:val="002D37FB"/>
    <w:rsid w:val="002D484E"/>
    <w:rsid w:val="002D4A1F"/>
    <w:rsid w:val="002E6254"/>
    <w:rsid w:val="002F02A4"/>
    <w:rsid w:val="002F3D02"/>
    <w:rsid w:val="002F4F34"/>
    <w:rsid w:val="002F7986"/>
    <w:rsid w:val="00300C0B"/>
    <w:rsid w:val="003061FA"/>
    <w:rsid w:val="00307F6D"/>
    <w:rsid w:val="003153EB"/>
    <w:rsid w:val="003177A2"/>
    <w:rsid w:val="00317A81"/>
    <w:rsid w:val="00317D33"/>
    <w:rsid w:val="00321853"/>
    <w:rsid w:val="00322300"/>
    <w:rsid w:val="003243B4"/>
    <w:rsid w:val="003271B5"/>
    <w:rsid w:val="00331264"/>
    <w:rsid w:val="00332F5D"/>
    <w:rsid w:val="00334C8D"/>
    <w:rsid w:val="00336D50"/>
    <w:rsid w:val="003401B9"/>
    <w:rsid w:val="00341169"/>
    <w:rsid w:val="00342870"/>
    <w:rsid w:val="003518B3"/>
    <w:rsid w:val="00352DA8"/>
    <w:rsid w:val="00354887"/>
    <w:rsid w:val="00355CDD"/>
    <w:rsid w:val="00355D2F"/>
    <w:rsid w:val="00356E72"/>
    <w:rsid w:val="00366515"/>
    <w:rsid w:val="00366B2C"/>
    <w:rsid w:val="00371F3A"/>
    <w:rsid w:val="003749F7"/>
    <w:rsid w:val="00381A48"/>
    <w:rsid w:val="00383C6B"/>
    <w:rsid w:val="003846F1"/>
    <w:rsid w:val="00384A55"/>
    <w:rsid w:val="00384B54"/>
    <w:rsid w:val="00386C86"/>
    <w:rsid w:val="00395B4C"/>
    <w:rsid w:val="003A0810"/>
    <w:rsid w:val="003A3E2D"/>
    <w:rsid w:val="003A41E0"/>
    <w:rsid w:val="003A4B6B"/>
    <w:rsid w:val="003A7DC0"/>
    <w:rsid w:val="003B282E"/>
    <w:rsid w:val="003B40ED"/>
    <w:rsid w:val="003B4804"/>
    <w:rsid w:val="003B6F90"/>
    <w:rsid w:val="003B7346"/>
    <w:rsid w:val="003C0710"/>
    <w:rsid w:val="003C24A9"/>
    <w:rsid w:val="003C2B22"/>
    <w:rsid w:val="003C3C98"/>
    <w:rsid w:val="003C62E9"/>
    <w:rsid w:val="003C7EFA"/>
    <w:rsid w:val="003D5258"/>
    <w:rsid w:val="003E1341"/>
    <w:rsid w:val="003E47DC"/>
    <w:rsid w:val="003E521D"/>
    <w:rsid w:val="003E78A9"/>
    <w:rsid w:val="003F0289"/>
    <w:rsid w:val="003F54CB"/>
    <w:rsid w:val="003F57F1"/>
    <w:rsid w:val="003F5F74"/>
    <w:rsid w:val="003F75C8"/>
    <w:rsid w:val="00402142"/>
    <w:rsid w:val="00403473"/>
    <w:rsid w:val="004034C5"/>
    <w:rsid w:val="00404504"/>
    <w:rsid w:val="00405B42"/>
    <w:rsid w:val="00411897"/>
    <w:rsid w:val="00412176"/>
    <w:rsid w:val="00414488"/>
    <w:rsid w:val="00415788"/>
    <w:rsid w:val="004157C0"/>
    <w:rsid w:val="00416641"/>
    <w:rsid w:val="00424809"/>
    <w:rsid w:val="00440D85"/>
    <w:rsid w:val="00444A48"/>
    <w:rsid w:val="00452463"/>
    <w:rsid w:val="00456C20"/>
    <w:rsid w:val="00462CFF"/>
    <w:rsid w:val="00471992"/>
    <w:rsid w:val="00471E68"/>
    <w:rsid w:val="0048018F"/>
    <w:rsid w:val="00480B4B"/>
    <w:rsid w:val="004831F8"/>
    <w:rsid w:val="00485752"/>
    <w:rsid w:val="00485DC4"/>
    <w:rsid w:val="00487C10"/>
    <w:rsid w:val="00492A06"/>
    <w:rsid w:val="00493B02"/>
    <w:rsid w:val="00495574"/>
    <w:rsid w:val="004A1184"/>
    <w:rsid w:val="004B1040"/>
    <w:rsid w:val="004B104F"/>
    <w:rsid w:val="004B1708"/>
    <w:rsid w:val="004B1D5B"/>
    <w:rsid w:val="004B231C"/>
    <w:rsid w:val="004B4412"/>
    <w:rsid w:val="004C348C"/>
    <w:rsid w:val="004C63B9"/>
    <w:rsid w:val="004C6C5B"/>
    <w:rsid w:val="004D4A76"/>
    <w:rsid w:val="004D5447"/>
    <w:rsid w:val="004D55BA"/>
    <w:rsid w:val="004E1B1C"/>
    <w:rsid w:val="004E1E95"/>
    <w:rsid w:val="004E34E7"/>
    <w:rsid w:val="004E4142"/>
    <w:rsid w:val="004E7D10"/>
    <w:rsid w:val="004F18F3"/>
    <w:rsid w:val="004F6ED0"/>
    <w:rsid w:val="00501B85"/>
    <w:rsid w:val="00502843"/>
    <w:rsid w:val="00505B5E"/>
    <w:rsid w:val="005177C0"/>
    <w:rsid w:val="00522486"/>
    <w:rsid w:val="00522668"/>
    <w:rsid w:val="005279B6"/>
    <w:rsid w:val="00530128"/>
    <w:rsid w:val="00530657"/>
    <w:rsid w:val="00532467"/>
    <w:rsid w:val="0053491C"/>
    <w:rsid w:val="0053611E"/>
    <w:rsid w:val="0054173F"/>
    <w:rsid w:val="00543945"/>
    <w:rsid w:val="00543BEC"/>
    <w:rsid w:val="00544C6F"/>
    <w:rsid w:val="00547DC4"/>
    <w:rsid w:val="005502E7"/>
    <w:rsid w:val="00555667"/>
    <w:rsid w:val="00556B64"/>
    <w:rsid w:val="005575B9"/>
    <w:rsid w:val="00562CEE"/>
    <w:rsid w:val="00564A4D"/>
    <w:rsid w:val="00565239"/>
    <w:rsid w:val="005656E2"/>
    <w:rsid w:val="0056783F"/>
    <w:rsid w:val="005703C9"/>
    <w:rsid w:val="005707D4"/>
    <w:rsid w:val="00571680"/>
    <w:rsid w:val="00571B35"/>
    <w:rsid w:val="005722FF"/>
    <w:rsid w:val="00572D20"/>
    <w:rsid w:val="00574241"/>
    <w:rsid w:val="00575C43"/>
    <w:rsid w:val="00577A09"/>
    <w:rsid w:val="00577F68"/>
    <w:rsid w:val="005819F3"/>
    <w:rsid w:val="00582446"/>
    <w:rsid w:val="005839B3"/>
    <w:rsid w:val="00584D8F"/>
    <w:rsid w:val="00595ED0"/>
    <w:rsid w:val="005A1339"/>
    <w:rsid w:val="005A3226"/>
    <w:rsid w:val="005A3B2C"/>
    <w:rsid w:val="005A404D"/>
    <w:rsid w:val="005A6CB0"/>
    <w:rsid w:val="005A6F22"/>
    <w:rsid w:val="005B0461"/>
    <w:rsid w:val="005B0EF5"/>
    <w:rsid w:val="005B1E3C"/>
    <w:rsid w:val="005B7F8F"/>
    <w:rsid w:val="005C26CC"/>
    <w:rsid w:val="005C3411"/>
    <w:rsid w:val="005C3D54"/>
    <w:rsid w:val="005C3DEC"/>
    <w:rsid w:val="005C53C0"/>
    <w:rsid w:val="005C546A"/>
    <w:rsid w:val="005C592F"/>
    <w:rsid w:val="005C5D2E"/>
    <w:rsid w:val="005C5E72"/>
    <w:rsid w:val="005D2FBD"/>
    <w:rsid w:val="005D69AF"/>
    <w:rsid w:val="005E0B7E"/>
    <w:rsid w:val="005E6FFA"/>
    <w:rsid w:val="005F69C4"/>
    <w:rsid w:val="005F6ADE"/>
    <w:rsid w:val="005F7247"/>
    <w:rsid w:val="00600B2D"/>
    <w:rsid w:val="00602A58"/>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573B5"/>
    <w:rsid w:val="00661F88"/>
    <w:rsid w:val="00663DAD"/>
    <w:rsid w:val="00665ACC"/>
    <w:rsid w:val="0067180B"/>
    <w:rsid w:val="00673D15"/>
    <w:rsid w:val="00676679"/>
    <w:rsid w:val="006777D7"/>
    <w:rsid w:val="00686411"/>
    <w:rsid w:val="00687AA8"/>
    <w:rsid w:val="00694FD6"/>
    <w:rsid w:val="006956EC"/>
    <w:rsid w:val="006A35B0"/>
    <w:rsid w:val="006A6EDD"/>
    <w:rsid w:val="006B0C7B"/>
    <w:rsid w:val="006B4CF9"/>
    <w:rsid w:val="006B6CC3"/>
    <w:rsid w:val="006B7AC8"/>
    <w:rsid w:val="006C196C"/>
    <w:rsid w:val="006C1E8B"/>
    <w:rsid w:val="006C41C4"/>
    <w:rsid w:val="006C447D"/>
    <w:rsid w:val="006C62B7"/>
    <w:rsid w:val="006D3561"/>
    <w:rsid w:val="006D550F"/>
    <w:rsid w:val="006D5B9F"/>
    <w:rsid w:val="006D7923"/>
    <w:rsid w:val="006E1E7D"/>
    <w:rsid w:val="006E218F"/>
    <w:rsid w:val="006E5F3E"/>
    <w:rsid w:val="006F08CF"/>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0944"/>
    <w:rsid w:val="007D2028"/>
    <w:rsid w:val="007D53A8"/>
    <w:rsid w:val="007D6FC9"/>
    <w:rsid w:val="007E1516"/>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0985"/>
    <w:rsid w:val="00831483"/>
    <w:rsid w:val="008344B4"/>
    <w:rsid w:val="008344F6"/>
    <w:rsid w:val="0083510F"/>
    <w:rsid w:val="008366CD"/>
    <w:rsid w:val="00836890"/>
    <w:rsid w:val="00840C6C"/>
    <w:rsid w:val="00847ED9"/>
    <w:rsid w:val="00851209"/>
    <w:rsid w:val="0085188E"/>
    <w:rsid w:val="00852B3D"/>
    <w:rsid w:val="008556A5"/>
    <w:rsid w:val="00855A23"/>
    <w:rsid w:val="00857917"/>
    <w:rsid w:val="00861AED"/>
    <w:rsid w:val="00863BE5"/>
    <w:rsid w:val="00867506"/>
    <w:rsid w:val="00870903"/>
    <w:rsid w:val="0087280A"/>
    <w:rsid w:val="0087308C"/>
    <w:rsid w:val="00873B1F"/>
    <w:rsid w:val="0087479D"/>
    <w:rsid w:val="008837AC"/>
    <w:rsid w:val="00884D30"/>
    <w:rsid w:val="00886BAB"/>
    <w:rsid w:val="00886CEC"/>
    <w:rsid w:val="00887EBF"/>
    <w:rsid w:val="008909FD"/>
    <w:rsid w:val="008A4DB6"/>
    <w:rsid w:val="008A587D"/>
    <w:rsid w:val="008A6198"/>
    <w:rsid w:val="008A7580"/>
    <w:rsid w:val="008A7E37"/>
    <w:rsid w:val="008B0D4C"/>
    <w:rsid w:val="008B416B"/>
    <w:rsid w:val="008B6DA5"/>
    <w:rsid w:val="008C094A"/>
    <w:rsid w:val="008C1D7C"/>
    <w:rsid w:val="008C1FE0"/>
    <w:rsid w:val="008C4E0D"/>
    <w:rsid w:val="008C5486"/>
    <w:rsid w:val="008C6B16"/>
    <w:rsid w:val="008E1E8E"/>
    <w:rsid w:val="008E535A"/>
    <w:rsid w:val="008E6CAE"/>
    <w:rsid w:val="008E7031"/>
    <w:rsid w:val="008F14C9"/>
    <w:rsid w:val="008F2DE1"/>
    <w:rsid w:val="008F6FC7"/>
    <w:rsid w:val="009004F5"/>
    <w:rsid w:val="0090239D"/>
    <w:rsid w:val="009057E0"/>
    <w:rsid w:val="00914975"/>
    <w:rsid w:val="00914A87"/>
    <w:rsid w:val="00915BFF"/>
    <w:rsid w:val="00922ACF"/>
    <w:rsid w:val="009233EE"/>
    <w:rsid w:val="0092422F"/>
    <w:rsid w:val="009335AE"/>
    <w:rsid w:val="00933B55"/>
    <w:rsid w:val="00936740"/>
    <w:rsid w:val="009377D8"/>
    <w:rsid w:val="00940393"/>
    <w:rsid w:val="00944863"/>
    <w:rsid w:val="00950B15"/>
    <w:rsid w:val="0095158D"/>
    <w:rsid w:val="00952CF7"/>
    <w:rsid w:val="009540FA"/>
    <w:rsid w:val="00956C19"/>
    <w:rsid w:val="00957591"/>
    <w:rsid w:val="0095772E"/>
    <w:rsid w:val="00960AC5"/>
    <w:rsid w:val="00960C83"/>
    <w:rsid w:val="00966015"/>
    <w:rsid w:val="009661DE"/>
    <w:rsid w:val="00967F08"/>
    <w:rsid w:val="00970C3B"/>
    <w:rsid w:val="00972A40"/>
    <w:rsid w:val="00974CDB"/>
    <w:rsid w:val="00981578"/>
    <w:rsid w:val="00982FEB"/>
    <w:rsid w:val="009837D1"/>
    <w:rsid w:val="00983EEC"/>
    <w:rsid w:val="009856B7"/>
    <w:rsid w:val="00985A66"/>
    <w:rsid w:val="0098646A"/>
    <w:rsid w:val="009920D2"/>
    <w:rsid w:val="009928BC"/>
    <w:rsid w:val="00994EE0"/>
    <w:rsid w:val="0099572C"/>
    <w:rsid w:val="009A3D22"/>
    <w:rsid w:val="009A6D69"/>
    <w:rsid w:val="009B0884"/>
    <w:rsid w:val="009B21F2"/>
    <w:rsid w:val="009B4E65"/>
    <w:rsid w:val="009B533B"/>
    <w:rsid w:val="009B5478"/>
    <w:rsid w:val="009B5D28"/>
    <w:rsid w:val="009B69AA"/>
    <w:rsid w:val="009B74B0"/>
    <w:rsid w:val="009C4FB9"/>
    <w:rsid w:val="009C6A83"/>
    <w:rsid w:val="009D3016"/>
    <w:rsid w:val="009D6B46"/>
    <w:rsid w:val="009E5B65"/>
    <w:rsid w:val="009E6668"/>
    <w:rsid w:val="009E7749"/>
    <w:rsid w:val="009E7AC6"/>
    <w:rsid w:val="009E7D2D"/>
    <w:rsid w:val="009F0A79"/>
    <w:rsid w:val="009F1D03"/>
    <w:rsid w:val="009F1E42"/>
    <w:rsid w:val="009F4806"/>
    <w:rsid w:val="009F4940"/>
    <w:rsid w:val="00A041F4"/>
    <w:rsid w:val="00A04F9F"/>
    <w:rsid w:val="00A057D1"/>
    <w:rsid w:val="00A159BF"/>
    <w:rsid w:val="00A15E40"/>
    <w:rsid w:val="00A17C7C"/>
    <w:rsid w:val="00A2302C"/>
    <w:rsid w:val="00A26C2F"/>
    <w:rsid w:val="00A3632A"/>
    <w:rsid w:val="00A42006"/>
    <w:rsid w:val="00A4478A"/>
    <w:rsid w:val="00A44852"/>
    <w:rsid w:val="00A47A03"/>
    <w:rsid w:val="00A52A18"/>
    <w:rsid w:val="00A57D04"/>
    <w:rsid w:val="00A57D69"/>
    <w:rsid w:val="00A60A26"/>
    <w:rsid w:val="00A61598"/>
    <w:rsid w:val="00A64EBB"/>
    <w:rsid w:val="00A6730F"/>
    <w:rsid w:val="00A679F2"/>
    <w:rsid w:val="00A71AA6"/>
    <w:rsid w:val="00A75AAA"/>
    <w:rsid w:val="00A81EF8"/>
    <w:rsid w:val="00A8434D"/>
    <w:rsid w:val="00A84E2D"/>
    <w:rsid w:val="00A84F46"/>
    <w:rsid w:val="00A86493"/>
    <w:rsid w:val="00A871F4"/>
    <w:rsid w:val="00A91A4B"/>
    <w:rsid w:val="00A923DD"/>
    <w:rsid w:val="00A9455D"/>
    <w:rsid w:val="00A94D89"/>
    <w:rsid w:val="00AA0CEB"/>
    <w:rsid w:val="00AA476F"/>
    <w:rsid w:val="00AA649A"/>
    <w:rsid w:val="00AA7190"/>
    <w:rsid w:val="00AB6478"/>
    <w:rsid w:val="00AC0FE9"/>
    <w:rsid w:val="00AC1B2C"/>
    <w:rsid w:val="00AC1CF3"/>
    <w:rsid w:val="00AC242C"/>
    <w:rsid w:val="00AC3264"/>
    <w:rsid w:val="00AD3D69"/>
    <w:rsid w:val="00AD592F"/>
    <w:rsid w:val="00AE0399"/>
    <w:rsid w:val="00AE1BF1"/>
    <w:rsid w:val="00AE2792"/>
    <w:rsid w:val="00AF0DD2"/>
    <w:rsid w:val="00AF3A41"/>
    <w:rsid w:val="00AF46F3"/>
    <w:rsid w:val="00AF66A7"/>
    <w:rsid w:val="00AF7058"/>
    <w:rsid w:val="00B017BD"/>
    <w:rsid w:val="00B03817"/>
    <w:rsid w:val="00B057C8"/>
    <w:rsid w:val="00B109DD"/>
    <w:rsid w:val="00B11C09"/>
    <w:rsid w:val="00B1285B"/>
    <w:rsid w:val="00B13048"/>
    <w:rsid w:val="00B14CE4"/>
    <w:rsid w:val="00B1716D"/>
    <w:rsid w:val="00B17A1D"/>
    <w:rsid w:val="00B207A0"/>
    <w:rsid w:val="00B211EE"/>
    <w:rsid w:val="00B23484"/>
    <w:rsid w:val="00B26AAA"/>
    <w:rsid w:val="00B30D82"/>
    <w:rsid w:val="00B31071"/>
    <w:rsid w:val="00B35810"/>
    <w:rsid w:val="00B35937"/>
    <w:rsid w:val="00B4128D"/>
    <w:rsid w:val="00B41686"/>
    <w:rsid w:val="00B44E99"/>
    <w:rsid w:val="00B56E03"/>
    <w:rsid w:val="00B62BB5"/>
    <w:rsid w:val="00B63E2C"/>
    <w:rsid w:val="00B64DF7"/>
    <w:rsid w:val="00B65CAC"/>
    <w:rsid w:val="00B70A7F"/>
    <w:rsid w:val="00B70CA5"/>
    <w:rsid w:val="00B752C5"/>
    <w:rsid w:val="00B8080B"/>
    <w:rsid w:val="00B85D8A"/>
    <w:rsid w:val="00B87C39"/>
    <w:rsid w:val="00B87DD6"/>
    <w:rsid w:val="00B904FF"/>
    <w:rsid w:val="00B91BE8"/>
    <w:rsid w:val="00B92CD5"/>
    <w:rsid w:val="00B956D7"/>
    <w:rsid w:val="00BA0349"/>
    <w:rsid w:val="00BA1F27"/>
    <w:rsid w:val="00BA390A"/>
    <w:rsid w:val="00BA3992"/>
    <w:rsid w:val="00BA4665"/>
    <w:rsid w:val="00BB20BA"/>
    <w:rsid w:val="00BB2FB2"/>
    <w:rsid w:val="00BB3304"/>
    <w:rsid w:val="00BB4732"/>
    <w:rsid w:val="00BB7780"/>
    <w:rsid w:val="00BC6398"/>
    <w:rsid w:val="00BC675F"/>
    <w:rsid w:val="00BD0BD0"/>
    <w:rsid w:val="00BD10B4"/>
    <w:rsid w:val="00BD3446"/>
    <w:rsid w:val="00BD5467"/>
    <w:rsid w:val="00BD7176"/>
    <w:rsid w:val="00BD71BD"/>
    <w:rsid w:val="00BE1F1B"/>
    <w:rsid w:val="00BE47B5"/>
    <w:rsid w:val="00BE558C"/>
    <w:rsid w:val="00BE7DBC"/>
    <w:rsid w:val="00BF4639"/>
    <w:rsid w:val="00BF65C1"/>
    <w:rsid w:val="00BF771C"/>
    <w:rsid w:val="00C008E0"/>
    <w:rsid w:val="00C008FE"/>
    <w:rsid w:val="00C01734"/>
    <w:rsid w:val="00C04914"/>
    <w:rsid w:val="00C05C48"/>
    <w:rsid w:val="00C064A7"/>
    <w:rsid w:val="00C075A3"/>
    <w:rsid w:val="00C07A89"/>
    <w:rsid w:val="00C12A83"/>
    <w:rsid w:val="00C154C0"/>
    <w:rsid w:val="00C16B2C"/>
    <w:rsid w:val="00C17CB8"/>
    <w:rsid w:val="00C30BBE"/>
    <w:rsid w:val="00C34065"/>
    <w:rsid w:val="00C4709E"/>
    <w:rsid w:val="00C50EC2"/>
    <w:rsid w:val="00C51484"/>
    <w:rsid w:val="00C538A9"/>
    <w:rsid w:val="00C53B5A"/>
    <w:rsid w:val="00C54F5A"/>
    <w:rsid w:val="00C56506"/>
    <w:rsid w:val="00C565C5"/>
    <w:rsid w:val="00C6191E"/>
    <w:rsid w:val="00C62797"/>
    <w:rsid w:val="00C6290C"/>
    <w:rsid w:val="00C669A3"/>
    <w:rsid w:val="00C672E0"/>
    <w:rsid w:val="00C729B4"/>
    <w:rsid w:val="00C73A47"/>
    <w:rsid w:val="00C73C83"/>
    <w:rsid w:val="00C74075"/>
    <w:rsid w:val="00C74A11"/>
    <w:rsid w:val="00C8473D"/>
    <w:rsid w:val="00C86679"/>
    <w:rsid w:val="00C86919"/>
    <w:rsid w:val="00C872DB"/>
    <w:rsid w:val="00C87867"/>
    <w:rsid w:val="00C950AF"/>
    <w:rsid w:val="00C95B7C"/>
    <w:rsid w:val="00C9660A"/>
    <w:rsid w:val="00C96A92"/>
    <w:rsid w:val="00CA04F2"/>
    <w:rsid w:val="00CA0ECB"/>
    <w:rsid w:val="00CA394C"/>
    <w:rsid w:val="00CA51FE"/>
    <w:rsid w:val="00CB0FA5"/>
    <w:rsid w:val="00CB666B"/>
    <w:rsid w:val="00CB695E"/>
    <w:rsid w:val="00CC1D64"/>
    <w:rsid w:val="00CC2C03"/>
    <w:rsid w:val="00CC2CA1"/>
    <w:rsid w:val="00CD40AD"/>
    <w:rsid w:val="00CD4E7F"/>
    <w:rsid w:val="00CE15A5"/>
    <w:rsid w:val="00CE1831"/>
    <w:rsid w:val="00CF0E01"/>
    <w:rsid w:val="00CF455C"/>
    <w:rsid w:val="00CF5382"/>
    <w:rsid w:val="00CF6F3C"/>
    <w:rsid w:val="00D01CF0"/>
    <w:rsid w:val="00D0442A"/>
    <w:rsid w:val="00D07128"/>
    <w:rsid w:val="00D11721"/>
    <w:rsid w:val="00D11CB3"/>
    <w:rsid w:val="00D1516F"/>
    <w:rsid w:val="00D16710"/>
    <w:rsid w:val="00D22BD4"/>
    <w:rsid w:val="00D22E23"/>
    <w:rsid w:val="00D2306D"/>
    <w:rsid w:val="00D270E1"/>
    <w:rsid w:val="00D323D0"/>
    <w:rsid w:val="00D32767"/>
    <w:rsid w:val="00D44037"/>
    <w:rsid w:val="00D4681D"/>
    <w:rsid w:val="00D5111E"/>
    <w:rsid w:val="00D5124C"/>
    <w:rsid w:val="00D541AC"/>
    <w:rsid w:val="00D61388"/>
    <w:rsid w:val="00D615F9"/>
    <w:rsid w:val="00D61A54"/>
    <w:rsid w:val="00D64DEA"/>
    <w:rsid w:val="00D67D07"/>
    <w:rsid w:val="00D70F71"/>
    <w:rsid w:val="00D71771"/>
    <w:rsid w:val="00D73D17"/>
    <w:rsid w:val="00D74261"/>
    <w:rsid w:val="00D74971"/>
    <w:rsid w:val="00D80893"/>
    <w:rsid w:val="00D839A7"/>
    <w:rsid w:val="00D86899"/>
    <w:rsid w:val="00D87097"/>
    <w:rsid w:val="00D92938"/>
    <w:rsid w:val="00D92A31"/>
    <w:rsid w:val="00D92CF1"/>
    <w:rsid w:val="00D92D38"/>
    <w:rsid w:val="00D936B6"/>
    <w:rsid w:val="00D950F5"/>
    <w:rsid w:val="00DA1CA3"/>
    <w:rsid w:val="00DB0F93"/>
    <w:rsid w:val="00DB16A7"/>
    <w:rsid w:val="00DB196A"/>
    <w:rsid w:val="00DB20BF"/>
    <w:rsid w:val="00DB4CC4"/>
    <w:rsid w:val="00DB584A"/>
    <w:rsid w:val="00DB7FD1"/>
    <w:rsid w:val="00DC153A"/>
    <w:rsid w:val="00DC24BF"/>
    <w:rsid w:val="00DC2907"/>
    <w:rsid w:val="00DC5E54"/>
    <w:rsid w:val="00DC7981"/>
    <w:rsid w:val="00DD15C2"/>
    <w:rsid w:val="00DD27EA"/>
    <w:rsid w:val="00DD33DE"/>
    <w:rsid w:val="00DE4EFA"/>
    <w:rsid w:val="00DE5520"/>
    <w:rsid w:val="00DE7345"/>
    <w:rsid w:val="00DF0714"/>
    <w:rsid w:val="00DF7793"/>
    <w:rsid w:val="00E00EC9"/>
    <w:rsid w:val="00E03069"/>
    <w:rsid w:val="00E04818"/>
    <w:rsid w:val="00E06442"/>
    <w:rsid w:val="00E115DE"/>
    <w:rsid w:val="00E135DB"/>
    <w:rsid w:val="00E13C85"/>
    <w:rsid w:val="00E227A4"/>
    <w:rsid w:val="00E23993"/>
    <w:rsid w:val="00E25B8C"/>
    <w:rsid w:val="00E32A8C"/>
    <w:rsid w:val="00E35AE8"/>
    <w:rsid w:val="00E3678B"/>
    <w:rsid w:val="00E3724C"/>
    <w:rsid w:val="00E37F0B"/>
    <w:rsid w:val="00E40B9C"/>
    <w:rsid w:val="00E42976"/>
    <w:rsid w:val="00E4482C"/>
    <w:rsid w:val="00E4680F"/>
    <w:rsid w:val="00E47EAD"/>
    <w:rsid w:val="00E52A27"/>
    <w:rsid w:val="00E55C3C"/>
    <w:rsid w:val="00E65C85"/>
    <w:rsid w:val="00E65CF4"/>
    <w:rsid w:val="00E66199"/>
    <w:rsid w:val="00E715D5"/>
    <w:rsid w:val="00E737E3"/>
    <w:rsid w:val="00E7472E"/>
    <w:rsid w:val="00E755EC"/>
    <w:rsid w:val="00E7624D"/>
    <w:rsid w:val="00E823D9"/>
    <w:rsid w:val="00E8569F"/>
    <w:rsid w:val="00E86851"/>
    <w:rsid w:val="00E91BED"/>
    <w:rsid w:val="00E95CA7"/>
    <w:rsid w:val="00E96C7D"/>
    <w:rsid w:val="00E96EFF"/>
    <w:rsid w:val="00EA05DF"/>
    <w:rsid w:val="00EA1DEE"/>
    <w:rsid w:val="00EA3D42"/>
    <w:rsid w:val="00EA6B1B"/>
    <w:rsid w:val="00EB049F"/>
    <w:rsid w:val="00EB456D"/>
    <w:rsid w:val="00EB540F"/>
    <w:rsid w:val="00EB7D7F"/>
    <w:rsid w:val="00EC317E"/>
    <w:rsid w:val="00EC67D4"/>
    <w:rsid w:val="00EC7EB1"/>
    <w:rsid w:val="00ED3C5B"/>
    <w:rsid w:val="00ED4A25"/>
    <w:rsid w:val="00ED6E24"/>
    <w:rsid w:val="00EE164B"/>
    <w:rsid w:val="00EE28F3"/>
    <w:rsid w:val="00EE347F"/>
    <w:rsid w:val="00EE46CE"/>
    <w:rsid w:val="00EE575A"/>
    <w:rsid w:val="00EE6F07"/>
    <w:rsid w:val="00EF013A"/>
    <w:rsid w:val="00EF0E42"/>
    <w:rsid w:val="00EF1961"/>
    <w:rsid w:val="00EF3FB8"/>
    <w:rsid w:val="00EF5110"/>
    <w:rsid w:val="00EF62CA"/>
    <w:rsid w:val="00F019C5"/>
    <w:rsid w:val="00F02D9B"/>
    <w:rsid w:val="00F031FE"/>
    <w:rsid w:val="00F06B5B"/>
    <w:rsid w:val="00F072C7"/>
    <w:rsid w:val="00F113FD"/>
    <w:rsid w:val="00F13EAA"/>
    <w:rsid w:val="00F15882"/>
    <w:rsid w:val="00F15AB9"/>
    <w:rsid w:val="00F167CF"/>
    <w:rsid w:val="00F1785E"/>
    <w:rsid w:val="00F20BD3"/>
    <w:rsid w:val="00F27967"/>
    <w:rsid w:val="00F32D35"/>
    <w:rsid w:val="00F3590E"/>
    <w:rsid w:val="00F373A5"/>
    <w:rsid w:val="00F45B2F"/>
    <w:rsid w:val="00F46453"/>
    <w:rsid w:val="00F47559"/>
    <w:rsid w:val="00F55548"/>
    <w:rsid w:val="00F6043C"/>
    <w:rsid w:val="00F60561"/>
    <w:rsid w:val="00F61055"/>
    <w:rsid w:val="00F61AA8"/>
    <w:rsid w:val="00F61EEA"/>
    <w:rsid w:val="00F64C7B"/>
    <w:rsid w:val="00F64F82"/>
    <w:rsid w:val="00F662F1"/>
    <w:rsid w:val="00F66967"/>
    <w:rsid w:val="00F676DD"/>
    <w:rsid w:val="00F70811"/>
    <w:rsid w:val="00F71486"/>
    <w:rsid w:val="00F72F41"/>
    <w:rsid w:val="00F74FC8"/>
    <w:rsid w:val="00F75A26"/>
    <w:rsid w:val="00F77D49"/>
    <w:rsid w:val="00F83FAD"/>
    <w:rsid w:val="00F87EBA"/>
    <w:rsid w:val="00F952A0"/>
    <w:rsid w:val="00F965FC"/>
    <w:rsid w:val="00FA3830"/>
    <w:rsid w:val="00FA3C7F"/>
    <w:rsid w:val="00FB153F"/>
    <w:rsid w:val="00FB265D"/>
    <w:rsid w:val="00FB411D"/>
    <w:rsid w:val="00FB41E6"/>
    <w:rsid w:val="00FB6C59"/>
    <w:rsid w:val="00FB74E2"/>
    <w:rsid w:val="00FC447B"/>
    <w:rsid w:val="00FC52AC"/>
    <w:rsid w:val="00FC656F"/>
    <w:rsid w:val="00FD0763"/>
    <w:rsid w:val="00FD166D"/>
    <w:rsid w:val="00FD2F97"/>
    <w:rsid w:val="00FD5316"/>
    <w:rsid w:val="00FD5614"/>
    <w:rsid w:val="00FD72DC"/>
    <w:rsid w:val="00FE0BE1"/>
    <w:rsid w:val="00FE1DE9"/>
    <w:rsid w:val="00FE39C2"/>
    <w:rsid w:val="00FE3E67"/>
    <w:rsid w:val="00FE64AE"/>
    <w:rsid w:val="00FF0161"/>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21104F-02E4-4869-8901-994215CA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F3EFDC6A</Template>
  <TotalTime>0</TotalTime>
  <Pages>12</Pages>
  <Words>2443</Words>
  <Characters>13931</Characters>
  <Application>Microsoft Office Word</Application>
  <DocSecurity>0</DocSecurity>
  <Lines>116</Lines>
  <Paragraphs>32</Paragraphs>
  <ScaleCrop>false</ScaleCrop>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2015-12-15T02:55:00Z</dcterms:created>
  <dcterms:modified xsi:type="dcterms:W3CDTF">2015-12-15T02:57:00Z</dcterms:modified>
</cp:coreProperties>
</file>