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2A4EF8"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sidRPr="002A4EF8">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252F195B" wp14:editId="1AEC7474">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2A4EF8">
        <w:rPr>
          <w:rFonts w:asciiTheme="minorHAnsi" w:hAnsiTheme="minorHAnsi" w:cstheme="minorHAnsi"/>
          <w:b/>
          <w:color w:val="FFFFFF" w:themeColor="background1"/>
          <w:sz w:val="36"/>
          <w:szCs w:val="36"/>
        </w:rPr>
        <w:t>Electricity Report</w:t>
      </w:r>
    </w:p>
    <w:p w:rsidR="002A4EF8" w:rsidRDefault="002A4EF8" w:rsidP="002A4EF8"/>
    <w:p w:rsidR="002A4EF8" w:rsidRDefault="002A4EF8" w:rsidP="002A4EF8"/>
    <w:p w:rsidR="002A4EF8" w:rsidRPr="002A4EF8" w:rsidRDefault="000F2AA4" w:rsidP="002A4EF8">
      <w:pPr>
        <w:rPr>
          <w:b/>
          <w:sz w:val="36"/>
          <w:szCs w:val="36"/>
        </w:rPr>
      </w:pPr>
      <w:r>
        <w:rPr>
          <w:b/>
          <w:sz w:val="36"/>
          <w:szCs w:val="36"/>
        </w:rPr>
        <w:t>20 – 26</w:t>
      </w:r>
      <w:r w:rsidR="00603DBE">
        <w:rPr>
          <w:b/>
          <w:sz w:val="36"/>
          <w:szCs w:val="36"/>
        </w:rPr>
        <w:t xml:space="preserve"> December</w:t>
      </w:r>
      <w:r w:rsidR="002A4EF8" w:rsidRPr="002A4EF8">
        <w:rPr>
          <w:b/>
          <w:sz w:val="36"/>
          <w:szCs w:val="36"/>
        </w:rPr>
        <w:t xml:space="preserve"> 2015</w:t>
      </w:r>
    </w:p>
    <w:p w:rsidR="00275002" w:rsidRPr="000E2946" w:rsidRDefault="00275002" w:rsidP="000E2946">
      <w:pPr>
        <w:pStyle w:val="AERHeading1"/>
      </w:pPr>
      <w:r w:rsidRPr="000E2946">
        <w:t>Introduction</w:t>
      </w:r>
    </w:p>
    <w:p w:rsidR="00275002" w:rsidRPr="00215E19" w:rsidRDefault="00275002" w:rsidP="00215E19">
      <w:pPr>
        <w:pStyle w:val="AERbodytext"/>
        <w:spacing w:before="120" w:after="120"/>
        <w:rPr>
          <w:bCs/>
          <w:lang w:eastAsia="en-AU"/>
        </w:rPr>
      </w:pPr>
      <w:r w:rsidRPr="00215E19">
        <w:rPr>
          <w:bCs/>
          <w:lang w:eastAsia="en-AU"/>
        </w:rPr>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215E19" w:rsidRDefault="001D0CE3"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_Ref410382491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4C700B" w:rsidRPr="004C700B">
        <w:rPr>
          <w:bCs/>
          <w:lang w:eastAsia="en-AU"/>
        </w:rPr>
        <w:t>Figure 1</w:t>
      </w:r>
      <w:r w:rsidRPr="00215E19">
        <w:rPr>
          <w:bCs/>
          <w:lang w:eastAsia="en-AU"/>
        </w:rPr>
        <w:fldChar w:fldCharType="end"/>
      </w:r>
      <w:r w:rsidRPr="00215E19">
        <w:rPr>
          <w:bCs/>
          <w:lang w:eastAsia="en-AU"/>
        </w:rPr>
        <w:t xml:space="preserve"> </w:t>
      </w:r>
      <w:r w:rsidR="00AF7058" w:rsidRPr="00215E19">
        <w:rPr>
          <w:bCs/>
          <w:lang w:eastAsia="en-AU"/>
        </w:rPr>
        <w:t xml:space="preserve">shows the spot prices that occurred in each region during the week </w:t>
      </w:r>
      <w:r w:rsidR="009537CF">
        <w:rPr>
          <w:bCs/>
          <w:lang w:eastAsia="en-AU"/>
        </w:rPr>
        <w:t>20</w:t>
      </w:r>
      <w:r w:rsidR="000E55C7">
        <w:rPr>
          <w:bCs/>
          <w:lang w:eastAsia="en-AU"/>
        </w:rPr>
        <w:t xml:space="preserve"> to </w:t>
      </w:r>
      <w:r w:rsidR="009537CF">
        <w:rPr>
          <w:bCs/>
          <w:lang w:eastAsia="en-AU"/>
        </w:rPr>
        <w:t>26</w:t>
      </w:r>
      <w:r w:rsidR="00356E72">
        <w:rPr>
          <w:bCs/>
          <w:lang w:eastAsia="en-AU"/>
        </w:rPr>
        <w:t xml:space="preserve"> </w:t>
      </w:r>
      <w:r w:rsidR="00CB4094">
        <w:rPr>
          <w:bCs/>
          <w:lang w:eastAsia="en-AU"/>
        </w:rPr>
        <w:t>Decem</w:t>
      </w:r>
      <w:r w:rsidR="00505B5E">
        <w:rPr>
          <w:bCs/>
          <w:lang w:eastAsia="en-AU"/>
        </w:rPr>
        <w:t>ber</w:t>
      </w:r>
      <w:r w:rsidR="00760FD8" w:rsidRPr="00215E19">
        <w:rPr>
          <w:bCs/>
          <w:lang w:eastAsia="en-AU"/>
        </w:rPr>
        <w:t xml:space="preserve"> </w:t>
      </w:r>
      <w:r w:rsidR="00AF7058" w:rsidRPr="00215E19">
        <w:rPr>
          <w:bCs/>
          <w:lang w:eastAsia="en-AU"/>
        </w:rPr>
        <w:t>2015.</w:t>
      </w:r>
      <w:r w:rsidR="0010743A">
        <w:rPr>
          <w:bCs/>
          <w:lang w:eastAsia="en-AU"/>
        </w:rPr>
        <w:t xml:space="preserve"> There </w:t>
      </w:r>
      <w:r w:rsidR="00B74171">
        <w:rPr>
          <w:bCs/>
          <w:lang w:eastAsia="en-AU"/>
        </w:rPr>
        <w:t>were six occasions, five in South Australia</w:t>
      </w:r>
      <w:r w:rsidR="003D3644">
        <w:rPr>
          <w:bCs/>
          <w:lang w:eastAsia="en-AU"/>
        </w:rPr>
        <w:t xml:space="preserve"> and one in Tasmania, where the spot price exceeded the AER reporting threshold. </w:t>
      </w:r>
    </w:p>
    <w:p w:rsidR="00BF4639" w:rsidRDefault="00275002" w:rsidP="00405B42">
      <w:pPr>
        <w:pStyle w:val="Caption"/>
      </w:pPr>
      <w:bookmarkStart w:id="7" w:name="_Ref410382491"/>
      <w:bookmarkStart w:id="8" w:name="OLE_LINK28"/>
      <w:bookmarkStart w:id="9" w:name="OLE_LINK29"/>
      <w:r w:rsidRPr="000E2946">
        <w:t xml:space="preserve">Figure </w:t>
      </w:r>
      <w:r w:rsidR="004C700B">
        <w:fldChar w:fldCharType="begin"/>
      </w:r>
      <w:r w:rsidR="004C700B">
        <w:instrText xml:space="preserve"> SEQ Figure \* ARABIC </w:instrText>
      </w:r>
      <w:r w:rsidR="004C700B">
        <w:fldChar w:fldCharType="separate"/>
      </w:r>
      <w:r w:rsidR="004C700B">
        <w:rPr>
          <w:noProof/>
        </w:rPr>
        <w:t>1</w:t>
      </w:r>
      <w:r w:rsidR="004C700B">
        <w:rPr>
          <w:noProof/>
        </w:rPr>
        <w:fldChar w:fldCharType="end"/>
      </w:r>
      <w:bookmarkEnd w:id="7"/>
      <w:r w:rsidRPr="000E2946">
        <w:t>: Spot price by region ($/MWh)</w:t>
      </w:r>
    </w:p>
    <w:p w:rsidR="00275002" w:rsidRPr="00215E19" w:rsidRDefault="00B74171" w:rsidP="00215E19">
      <w:pPr>
        <w:pStyle w:val="Caption"/>
        <w:rPr>
          <w:bCs w:val="0"/>
          <w:lang w:eastAsia="en-AU"/>
        </w:rPr>
      </w:pPr>
      <w:r w:rsidRPr="00B74171">
        <w:rPr>
          <w:noProof/>
          <w:lang w:eastAsia="en-AU"/>
        </w:rPr>
        <w:drawing>
          <wp:inline distT="0" distB="0" distL="0" distR="0" wp14:anchorId="7C3C490C" wp14:editId="2FCB596E">
            <wp:extent cx="5734251" cy="2973445"/>
            <wp:effectExtent l="0" t="0" r="0" b="0"/>
            <wp:docPr id="11" name="Picture 11"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972024"/>
                    </a:xfrm>
                    <a:prstGeom prst="rect">
                      <a:avLst/>
                    </a:prstGeom>
                    <a:noFill/>
                    <a:ln>
                      <a:noFill/>
                    </a:ln>
                  </pic:spPr>
                </pic:pic>
              </a:graphicData>
            </a:graphic>
          </wp:inline>
        </w:drawing>
      </w:r>
    </w:p>
    <w:p w:rsidR="00215E19" w:rsidRDefault="00215E19">
      <w:pPr>
        <w:spacing w:line="240" w:lineRule="auto"/>
      </w:pPr>
      <w:r>
        <w:br w:type="page"/>
      </w:r>
    </w:p>
    <w:p w:rsidR="00275002" w:rsidRPr="00F167CF" w:rsidRDefault="00275002" w:rsidP="00F167CF">
      <w:pPr>
        <w:pStyle w:val="AERbodytext"/>
        <w:spacing w:after="120"/>
      </w:pPr>
      <w:r w:rsidRPr="00F167CF">
        <w:lastRenderedPageBreak/>
        <w:fldChar w:fldCharType="begin"/>
      </w:r>
      <w:r w:rsidRPr="00F167CF">
        <w:instrText xml:space="preserve"> REF _Ref410382517 \h </w:instrText>
      </w:r>
      <w:r w:rsidR="009A3D22" w:rsidRPr="00F167CF">
        <w:instrText xml:space="preserve"> \* MERGEFORMAT </w:instrText>
      </w:r>
      <w:r w:rsidRPr="00F167CF">
        <w:fldChar w:fldCharType="separate"/>
      </w:r>
      <w:r w:rsidR="004C700B">
        <w:t>Figure 2</w:t>
      </w:r>
      <w:r w:rsidRPr="00F167CF">
        <w:fldChar w:fldCharType="end"/>
      </w:r>
      <w:r w:rsidRPr="00F167CF">
        <w:t xml:space="preserve"> shows the volume weighted average (VWA) prices for the current week (with prices shown in </w:t>
      </w:r>
      <w:r w:rsidRPr="00F167CF">
        <w:fldChar w:fldCharType="begin"/>
      </w:r>
      <w:r w:rsidRPr="00F167CF">
        <w:instrText xml:space="preserve"> REF _Ref410382587 \h </w:instrText>
      </w:r>
      <w:r w:rsidR="009A3D22" w:rsidRPr="00F167CF">
        <w:instrText xml:space="preserve"> \* MERGEFORMAT </w:instrText>
      </w:r>
      <w:r w:rsidRPr="00F167CF">
        <w:fldChar w:fldCharType="separate"/>
      </w:r>
      <w:r w:rsidR="004C700B">
        <w:t>Table 1</w:t>
      </w:r>
      <w:r w:rsidRPr="00F167CF">
        <w:fldChar w:fldCharType="end"/>
      </w:r>
      <w:r w:rsidRPr="00F167CF">
        <w:t>) and the preceding 12 weeks, as well as the VWA price over the previous 3 financial years</w:t>
      </w:r>
      <w:r w:rsidR="00762D41" w:rsidRPr="00F167CF">
        <w:t>.</w:t>
      </w:r>
    </w:p>
    <w:p w:rsidR="00275002" w:rsidRDefault="00275002" w:rsidP="00F167CF">
      <w:pPr>
        <w:pStyle w:val="Caption"/>
        <w:spacing w:before="0" w:line="240" w:lineRule="auto"/>
      </w:pPr>
      <w:bookmarkStart w:id="10" w:name="_Ref410382517"/>
      <w:r>
        <w:t xml:space="preserve">Figure </w:t>
      </w:r>
      <w:r w:rsidR="004C700B">
        <w:fldChar w:fldCharType="begin"/>
      </w:r>
      <w:r w:rsidR="004C700B">
        <w:instrText xml:space="preserve"> SEQ Figure \* ARABIC </w:instrText>
      </w:r>
      <w:r w:rsidR="004C700B">
        <w:fldChar w:fldCharType="separate"/>
      </w:r>
      <w:r w:rsidR="004C700B">
        <w:rPr>
          <w:noProof/>
        </w:rPr>
        <w:t>2</w:t>
      </w:r>
      <w:r w:rsidR="004C700B">
        <w:rPr>
          <w:noProof/>
        </w:rPr>
        <w:fldChar w:fldCharType="end"/>
      </w:r>
      <w:bookmarkEnd w:id="10"/>
      <w:r>
        <w:t>:</w:t>
      </w:r>
      <w:r w:rsidRPr="00037176">
        <w:t xml:space="preserve"> Volume weighted average spot price by region ($/MWh)</w:t>
      </w:r>
    </w:p>
    <w:p w:rsidR="001F22EE" w:rsidRPr="001F22EE" w:rsidRDefault="00B74171" w:rsidP="00F167CF">
      <w:pPr>
        <w:spacing w:before="0" w:after="120" w:line="240" w:lineRule="auto"/>
      </w:pPr>
      <w:r w:rsidRPr="00B74171">
        <w:rPr>
          <w:noProof/>
          <w:lang w:eastAsia="en-AU"/>
        </w:rPr>
        <w:drawing>
          <wp:inline distT="0" distB="0" distL="0" distR="0" wp14:anchorId="2732A568" wp14:editId="5D005574">
            <wp:extent cx="5731510" cy="2860244"/>
            <wp:effectExtent l="0" t="0" r="2540" b="0"/>
            <wp:docPr id="12" name="Picture 12"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275002" w:rsidRPr="0031019A" w:rsidRDefault="00275002" w:rsidP="00F167CF">
      <w:pPr>
        <w:pStyle w:val="Caption"/>
        <w:spacing w:before="0" w:line="240" w:lineRule="auto"/>
      </w:pPr>
      <w:bookmarkStart w:id="11" w:name="_Ref410382587"/>
      <w:r>
        <w:t xml:space="preserve">Table </w:t>
      </w:r>
      <w:r w:rsidR="004C700B">
        <w:fldChar w:fldCharType="begin"/>
      </w:r>
      <w:r w:rsidR="004C700B">
        <w:instrText xml:space="preserve"> SEQ Table \* ARABIC </w:instrText>
      </w:r>
      <w:r w:rsidR="004C700B">
        <w:fldChar w:fldCharType="separate"/>
      </w:r>
      <w:r w:rsidR="004C700B">
        <w:rPr>
          <w:noProof/>
        </w:rPr>
        <w:t>1</w:t>
      </w:r>
      <w:r w:rsidR="004C700B">
        <w:rPr>
          <w:noProof/>
        </w:rPr>
        <w:fldChar w:fldCharType="end"/>
      </w:r>
      <w:bookmarkEnd w:id="11"/>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86054C" w:rsidRPr="00E35AE8" w:rsidTr="00AA7190">
        <w:trPr>
          <w:trHeight w:hRule="exact" w:val="340"/>
        </w:trPr>
        <w:tc>
          <w:tcPr>
            <w:tcW w:w="1357" w:type="pct"/>
            <w:noWrap/>
            <w:vAlign w:val="center"/>
            <w:hideMark/>
          </w:tcPr>
          <w:p w:rsidR="0086054C" w:rsidRPr="009B21F2" w:rsidRDefault="0086054C" w:rsidP="00BA0CBB">
            <w:pPr>
              <w:spacing w:before="0" w:after="0" w:line="240" w:lineRule="auto"/>
              <w:rPr>
                <w:rFonts w:cs="Arial"/>
                <w:sz w:val="20"/>
                <w:szCs w:val="20"/>
              </w:rPr>
            </w:pPr>
            <w:r w:rsidRPr="009B21F2">
              <w:rPr>
                <w:rFonts w:cs="Arial"/>
                <w:sz w:val="20"/>
                <w:szCs w:val="20"/>
              </w:rPr>
              <w:t>Current week</w:t>
            </w:r>
          </w:p>
        </w:tc>
        <w:tc>
          <w:tcPr>
            <w:tcW w:w="728" w:type="pct"/>
            <w:noWrap/>
            <w:vAlign w:val="center"/>
          </w:tcPr>
          <w:p w:rsidR="0086054C" w:rsidRDefault="0086054C" w:rsidP="00BA0CBB">
            <w:pPr>
              <w:spacing w:before="0" w:after="0" w:line="240" w:lineRule="auto"/>
              <w:jc w:val="center"/>
              <w:rPr>
                <w:rFonts w:cs="Arial"/>
                <w:sz w:val="20"/>
                <w:szCs w:val="20"/>
              </w:rPr>
            </w:pPr>
            <w:r>
              <w:rPr>
                <w:rFonts w:cs="Arial"/>
                <w:sz w:val="20"/>
                <w:szCs w:val="20"/>
              </w:rPr>
              <w:t>4</w:t>
            </w:r>
            <w:r w:rsidR="00B74171">
              <w:rPr>
                <w:rFonts w:cs="Arial"/>
                <w:sz w:val="20"/>
                <w:szCs w:val="20"/>
              </w:rPr>
              <w:t>5</w:t>
            </w:r>
          </w:p>
        </w:tc>
        <w:tc>
          <w:tcPr>
            <w:tcW w:w="729" w:type="pct"/>
            <w:noWrap/>
            <w:vAlign w:val="center"/>
          </w:tcPr>
          <w:p w:rsidR="0086054C" w:rsidRDefault="0086054C" w:rsidP="00BA0CBB">
            <w:pPr>
              <w:spacing w:before="0" w:after="0" w:line="240" w:lineRule="auto"/>
              <w:jc w:val="center"/>
              <w:rPr>
                <w:rFonts w:cs="Arial"/>
                <w:sz w:val="20"/>
                <w:szCs w:val="20"/>
              </w:rPr>
            </w:pPr>
            <w:r>
              <w:rPr>
                <w:rFonts w:cs="Arial"/>
                <w:sz w:val="20"/>
                <w:szCs w:val="20"/>
              </w:rPr>
              <w:t>4</w:t>
            </w:r>
            <w:r w:rsidR="00B74171">
              <w:rPr>
                <w:rFonts w:cs="Arial"/>
                <w:sz w:val="20"/>
                <w:szCs w:val="20"/>
              </w:rPr>
              <w:t>5</w:t>
            </w:r>
          </w:p>
        </w:tc>
        <w:tc>
          <w:tcPr>
            <w:tcW w:w="728" w:type="pct"/>
            <w:noWrap/>
            <w:vAlign w:val="center"/>
          </w:tcPr>
          <w:p w:rsidR="0086054C" w:rsidRDefault="00B74171" w:rsidP="00BA0CBB">
            <w:pPr>
              <w:spacing w:before="0" w:after="0" w:line="240" w:lineRule="auto"/>
              <w:jc w:val="center"/>
              <w:rPr>
                <w:rFonts w:cs="Arial"/>
                <w:sz w:val="20"/>
                <w:szCs w:val="20"/>
              </w:rPr>
            </w:pPr>
            <w:r>
              <w:rPr>
                <w:rFonts w:cs="Arial"/>
                <w:sz w:val="20"/>
                <w:szCs w:val="20"/>
              </w:rPr>
              <w:t>39</w:t>
            </w:r>
          </w:p>
        </w:tc>
        <w:tc>
          <w:tcPr>
            <w:tcW w:w="729" w:type="pct"/>
            <w:noWrap/>
            <w:vAlign w:val="center"/>
          </w:tcPr>
          <w:p w:rsidR="0086054C" w:rsidRDefault="00B74171" w:rsidP="00BA0CBB">
            <w:pPr>
              <w:spacing w:before="0" w:after="0" w:line="240" w:lineRule="auto"/>
              <w:jc w:val="center"/>
              <w:rPr>
                <w:rFonts w:cs="Arial"/>
                <w:sz w:val="20"/>
                <w:szCs w:val="20"/>
              </w:rPr>
            </w:pPr>
            <w:r>
              <w:rPr>
                <w:rFonts w:cs="Arial"/>
                <w:sz w:val="20"/>
                <w:szCs w:val="20"/>
              </w:rPr>
              <w:t>55</w:t>
            </w:r>
          </w:p>
        </w:tc>
        <w:tc>
          <w:tcPr>
            <w:tcW w:w="729" w:type="pct"/>
            <w:noWrap/>
            <w:vAlign w:val="center"/>
          </w:tcPr>
          <w:p w:rsidR="0086054C" w:rsidRDefault="00B74171" w:rsidP="00BA0CBB">
            <w:pPr>
              <w:spacing w:before="0" w:after="0" w:line="240" w:lineRule="auto"/>
              <w:jc w:val="center"/>
              <w:rPr>
                <w:rFonts w:cs="Arial"/>
                <w:sz w:val="20"/>
                <w:szCs w:val="20"/>
              </w:rPr>
            </w:pPr>
            <w:r>
              <w:rPr>
                <w:rFonts w:cs="Arial"/>
                <w:sz w:val="20"/>
                <w:szCs w:val="20"/>
              </w:rPr>
              <w:t>104</w:t>
            </w:r>
          </w:p>
        </w:tc>
      </w:tr>
      <w:tr w:rsidR="0086054C" w:rsidRPr="00E35AE8" w:rsidTr="00AA7190">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86054C" w:rsidRPr="00B65CAC" w:rsidRDefault="0086054C" w:rsidP="00BA0CBB">
            <w:pPr>
              <w:spacing w:before="0" w:after="0" w:line="240" w:lineRule="auto"/>
              <w:rPr>
                <w:rFonts w:cs="Arial"/>
                <w:bCs/>
                <w:szCs w:val="20"/>
              </w:rPr>
            </w:pPr>
            <w:r w:rsidRPr="00B65CAC">
              <w:rPr>
                <w:rFonts w:cs="Arial"/>
                <w:bCs/>
                <w:szCs w:val="20"/>
              </w:rPr>
              <w:t>14-15 financial YTD</w:t>
            </w:r>
          </w:p>
        </w:tc>
        <w:tc>
          <w:tcPr>
            <w:tcW w:w="728" w:type="pct"/>
            <w:noWrap/>
            <w:vAlign w:val="center"/>
          </w:tcPr>
          <w:p w:rsidR="0086054C" w:rsidRDefault="00B74171" w:rsidP="00BA0CBB">
            <w:pPr>
              <w:spacing w:before="0" w:after="0" w:line="240" w:lineRule="auto"/>
              <w:jc w:val="center"/>
              <w:rPr>
                <w:rFonts w:cs="Arial"/>
                <w:szCs w:val="20"/>
              </w:rPr>
            </w:pPr>
            <w:r>
              <w:rPr>
                <w:rFonts w:cs="Arial"/>
                <w:szCs w:val="20"/>
              </w:rPr>
              <w:t>51</w:t>
            </w:r>
          </w:p>
        </w:tc>
        <w:tc>
          <w:tcPr>
            <w:tcW w:w="729" w:type="pct"/>
            <w:noWrap/>
            <w:vAlign w:val="center"/>
          </w:tcPr>
          <w:p w:rsidR="0086054C" w:rsidRDefault="0086054C" w:rsidP="00BA0CBB">
            <w:pPr>
              <w:spacing w:before="0" w:after="0" w:line="240" w:lineRule="auto"/>
              <w:jc w:val="center"/>
              <w:rPr>
                <w:rFonts w:cs="Arial"/>
                <w:szCs w:val="20"/>
              </w:rPr>
            </w:pPr>
            <w:r>
              <w:rPr>
                <w:rFonts w:cs="Arial"/>
                <w:szCs w:val="20"/>
              </w:rPr>
              <w:t>3</w:t>
            </w:r>
            <w:r w:rsidR="00B74171">
              <w:rPr>
                <w:rFonts w:cs="Arial"/>
                <w:szCs w:val="20"/>
              </w:rPr>
              <w:t>7</w:t>
            </w:r>
          </w:p>
        </w:tc>
        <w:tc>
          <w:tcPr>
            <w:tcW w:w="728" w:type="pct"/>
            <w:noWrap/>
            <w:vAlign w:val="center"/>
          </w:tcPr>
          <w:p w:rsidR="0086054C" w:rsidRDefault="0086054C" w:rsidP="00BA0CBB">
            <w:pPr>
              <w:spacing w:before="0" w:after="0" w:line="240" w:lineRule="auto"/>
              <w:jc w:val="center"/>
              <w:rPr>
                <w:rFonts w:cs="Arial"/>
                <w:szCs w:val="20"/>
              </w:rPr>
            </w:pPr>
            <w:r>
              <w:rPr>
                <w:rFonts w:cs="Arial"/>
                <w:szCs w:val="20"/>
              </w:rPr>
              <w:t>3</w:t>
            </w:r>
            <w:r w:rsidR="00B74171">
              <w:rPr>
                <w:rFonts w:cs="Arial"/>
                <w:szCs w:val="20"/>
              </w:rPr>
              <w:t>3</w:t>
            </w:r>
          </w:p>
        </w:tc>
        <w:tc>
          <w:tcPr>
            <w:tcW w:w="729" w:type="pct"/>
            <w:noWrap/>
            <w:vAlign w:val="center"/>
          </w:tcPr>
          <w:p w:rsidR="0086054C" w:rsidRDefault="0086054C" w:rsidP="00BA0CBB">
            <w:pPr>
              <w:spacing w:before="0" w:after="0" w:line="240" w:lineRule="auto"/>
              <w:jc w:val="center"/>
              <w:rPr>
                <w:rFonts w:cs="Arial"/>
                <w:szCs w:val="20"/>
              </w:rPr>
            </w:pPr>
            <w:r>
              <w:rPr>
                <w:rFonts w:cs="Arial"/>
                <w:szCs w:val="20"/>
              </w:rPr>
              <w:t>4</w:t>
            </w:r>
            <w:r w:rsidR="00B74171">
              <w:rPr>
                <w:rFonts w:cs="Arial"/>
                <w:szCs w:val="20"/>
              </w:rPr>
              <w:t>1</w:t>
            </w:r>
          </w:p>
        </w:tc>
        <w:tc>
          <w:tcPr>
            <w:tcW w:w="729" w:type="pct"/>
            <w:noWrap/>
            <w:vAlign w:val="center"/>
          </w:tcPr>
          <w:p w:rsidR="0086054C" w:rsidRDefault="00B74171" w:rsidP="00BA0CBB">
            <w:pPr>
              <w:spacing w:before="0" w:after="0" w:line="240" w:lineRule="auto"/>
              <w:jc w:val="center"/>
              <w:rPr>
                <w:rFonts w:cs="Arial"/>
                <w:szCs w:val="20"/>
              </w:rPr>
            </w:pPr>
            <w:r>
              <w:rPr>
                <w:rFonts w:cs="Arial"/>
                <w:szCs w:val="20"/>
              </w:rPr>
              <w:t>38</w:t>
            </w:r>
          </w:p>
        </w:tc>
      </w:tr>
      <w:tr w:rsidR="0086054C" w:rsidRPr="00E35AE8" w:rsidTr="00AA7190">
        <w:trPr>
          <w:trHeight w:hRule="exact" w:val="340"/>
        </w:trPr>
        <w:tc>
          <w:tcPr>
            <w:tcW w:w="1357" w:type="pct"/>
            <w:noWrap/>
            <w:vAlign w:val="center"/>
            <w:hideMark/>
          </w:tcPr>
          <w:p w:rsidR="0086054C" w:rsidRPr="00B65CAC" w:rsidRDefault="0086054C" w:rsidP="00BA0CBB">
            <w:pPr>
              <w:spacing w:before="0" w:after="0" w:line="240" w:lineRule="auto"/>
              <w:rPr>
                <w:rFonts w:cs="Arial"/>
                <w:bCs/>
                <w:sz w:val="20"/>
                <w:szCs w:val="20"/>
              </w:rPr>
            </w:pPr>
            <w:r w:rsidRPr="00B65CAC">
              <w:rPr>
                <w:rFonts w:cs="Arial"/>
                <w:bCs/>
                <w:sz w:val="20"/>
                <w:szCs w:val="20"/>
              </w:rPr>
              <w:t>15-16 financial YTD</w:t>
            </w:r>
          </w:p>
        </w:tc>
        <w:tc>
          <w:tcPr>
            <w:tcW w:w="728" w:type="pct"/>
            <w:noWrap/>
            <w:vAlign w:val="center"/>
          </w:tcPr>
          <w:p w:rsidR="0086054C" w:rsidRDefault="0086054C" w:rsidP="00BA0CBB">
            <w:pPr>
              <w:spacing w:before="0" w:after="0" w:line="240" w:lineRule="auto"/>
              <w:jc w:val="center"/>
              <w:rPr>
                <w:rFonts w:cs="Arial"/>
                <w:sz w:val="20"/>
                <w:szCs w:val="20"/>
              </w:rPr>
            </w:pPr>
            <w:r>
              <w:rPr>
                <w:rFonts w:cs="Arial"/>
                <w:sz w:val="20"/>
                <w:szCs w:val="20"/>
              </w:rPr>
              <w:t>44</w:t>
            </w:r>
          </w:p>
        </w:tc>
        <w:tc>
          <w:tcPr>
            <w:tcW w:w="729" w:type="pct"/>
            <w:noWrap/>
            <w:vAlign w:val="center"/>
          </w:tcPr>
          <w:p w:rsidR="0086054C" w:rsidRDefault="0086054C" w:rsidP="00BA0CBB">
            <w:pPr>
              <w:spacing w:before="0" w:after="0" w:line="240" w:lineRule="auto"/>
              <w:jc w:val="center"/>
              <w:rPr>
                <w:rFonts w:cs="Arial"/>
                <w:sz w:val="20"/>
                <w:szCs w:val="20"/>
              </w:rPr>
            </w:pPr>
            <w:r>
              <w:rPr>
                <w:rFonts w:cs="Arial"/>
                <w:sz w:val="20"/>
                <w:szCs w:val="20"/>
              </w:rPr>
              <w:t>4</w:t>
            </w:r>
            <w:r w:rsidR="00B74171">
              <w:rPr>
                <w:rFonts w:cs="Arial"/>
                <w:sz w:val="20"/>
                <w:szCs w:val="20"/>
              </w:rPr>
              <w:t>6</w:t>
            </w:r>
          </w:p>
        </w:tc>
        <w:tc>
          <w:tcPr>
            <w:tcW w:w="728" w:type="pct"/>
            <w:noWrap/>
            <w:vAlign w:val="center"/>
          </w:tcPr>
          <w:p w:rsidR="0086054C" w:rsidRDefault="00B74171" w:rsidP="00BA0CBB">
            <w:pPr>
              <w:spacing w:before="0" w:after="0" w:line="240" w:lineRule="auto"/>
              <w:jc w:val="center"/>
              <w:rPr>
                <w:rFonts w:cs="Arial"/>
                <w:sz w:val="20"/>
                <w:szCs w:val="20"/>
              </w:rPr>
            </w:pPr>
            <w:r>
              <w:rPr>
                <w:rFonts w:cs="Arial"/>
                <w:sz w:val="20"/>
                <w:szCs w:val="20"/>
              </w:rPr>
              <w:t>41</w:t>
            </w:r>
          </w:p>
        </w:tc>
        <w:tc>
          <w:tcPr>
            <w:tcW w:w="729" w:type="pct"/>
            <w:noWrap/>
            <w:vAlign w:val="center"/>
          </w:tcPr>
          <w:p w:rsidR="0086054C" w:rsidRDefault="0086054C" w:rsidP="00BA0CBB">
            <w:pPr>
              <w:spacing w:before="0" w:after="0" w:line="240" w:lineRule="auto"/>
              <w:jc w:val="center"/>
              <w:rPr>
                <w:rFonts w:cs="Arial"/>
                <w:sz w:val="20"/>
                <w:szCs w:val="20"/>
              </w:rPr>
            </w:pPr>
            <w:r>
              <w:rPr>
                <w:rFonts w:cs="Arial"/>
                <w:sz w:val="20"/>
                <w:szCs w:val="20"/>
              </w:rPr>
              <w:t>6</w:t>
            </w:r>
            <w:r w:rsidR="00B74171">
              <w:rPr>
                <w:rFonts w:cs="Arial"/>
                <w:sz w:val="20"/>
                <w:szCs w:val="20"/>
              </w:rPr>
              <w:t>3</w:t>
            </w:r>
          </w:p>
        </w:tc>
        <w:tc>
          <w:tcPr>
            <w:tcW w:w="729" w:type="pct"/>
            <w:noWrap/>
            <w:vAlign w:val="center"/>
          </w:tcPr>
          <w:p w:rsidR="0086054C" w:rsidRDefault="0086054C" w:rsidP="00BA0CBB">
            <w:pPr>
              <w:spacing w:before="0" w:after="0" w:line="240" w:lineRule="auto"/>
              <w:jc w:val="center"/>
              <w:rPr>
                <w:rFonts w:cs="Arial"/>
                <w:sz w:val="20"/>
                <w:szCs w:val="20"/>
              </w:rPr>
            </w:pPr>
            <w:r>
              <w:rPr>
                <w:rFonts w:cs="Arial"/>
                <w:sz w:val="20"/>
                <w:szCs w:val="20"/>
              </w:rPr>
              <w:t>5</w:t>
            </w:r>
            <w:r w:rsidR="00B74171">
              <w:rPr>
                <w:rFonts w:cs="Arial"/>
                <w:sz w:val="20"/>
                <w:szCs w:val="20"/>
              </w:rPr>
              <w:t>6</w:t>
            </w:r>
          </w:p>
        </w:tc>
      </w:tr>
    </w:tbl>
    <w:p w:rsidR="00275002" w:rsidRPr="00086CF3" w:rsidRDefault="00275002" w:rsidP="00EF3FB8">
      <w:pPr>
        <w:spacing w:before="120" w:after="120"/>
        <w:rPr>
          <w:sz w:val="18"/>
          <w:szCs w:val="18"/>
        </w:rPr>
      </w:pPr>
      <w:r w:rsidRPr="00086CF3">
        <w:rPr>
          <w:rFonts w:cs="Arial"/>
          <w:sz w:val="18"/>
          <w:szCs w:val="18"/>
        </w:rPr>
        <w:t xml:space="preserve">Longer-term statistics tracking average spot market prices are available on the </w:t>
      </w:r>
      <w:hyperlink r:id="rId12" w:history="1">
        <w:r w:rsidRPr="00086CF3">
          <w:rPr>
            <w:rStyle w:val="Hyperlink"/>
            <w:sz w:val="18"/>
            <w:szCs w:val="18"/>
          </w:rPr>
          <w:t>AER website</w:t>
        </w:r>
      </w:hyperlink>
      <w:r w:rsidRPr="00086CF3">
        <w:rPr>
          <w:sz w:val="18"/>
          <w:szCs w:val="18"/>
        </w:rPr>
        <w:t xml:space="preserve">. </w:t>
      </w:r>
    </w:p>
    <w:bookmarkEnd w:id="8"/>
    <w:bookmarkEnd w:id="9"/>
    <w:p w:rsidR="00275002" w:rsidRPr="0031019A" w:rsidRDefault="00275002" w:rsidP="000E2946">
      <w:pPr>
        <w:pStyle w:val="AERHeading1"/>
      </w:pPr>
      <w:r w:rsidRPr="0031019A">
        <w:t>Spot market price forecast variations</w:t>
      </w:r>
    </w:p>
    <w:p w:rsidR="00275002" w:rsidRPr="00215E19" w:rsidRDefault="00275002" w:rsidP="00215E19">
      <w:pPr>
        <w:pStyle w:val="AERbodytext"/>
        <w:spacing w:before="120" w:after="120"/>
        <w:rPr>
          <w:bCs/>
          <w:lang w:eastAsia="en-AU"/>
        </w:rPr>
      </w:pPr>
      <w:r w:rsidRPr="00215E19">
        <w:rPr>
          <w:bCs/>
          <w:lang w:eastAsia="en-AU"/>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215E19" w:rsidRDefault="00B74171" w:rsidP="0086054C">
      <w:pPr>
        <w:pStyle w:val="AERbodytext"/>
        <w:spacing w:before="120" w:after="120"/>
        <w:rPr>
          <w:bCs/>
          <w:lang w:eastAsia="en-AU"/>
        </w:rPr>
      </w:pPr>
      <w:r>
        <w:rPr>
          <w:bCs/>
          <w:lang w:eastAsia="en-AU"/>
        </w:rPr>
        <w:t>There were 263</w:t>
      </w:r>
      <w:r w:rsidR="0086054C" w:rsidRPr="0086054C">
        <w:rPr>
          <w:bCs/>
          <w:lang w:eastAsia="en-AU"/>
        </w:rPr>
        <w:t xml:space="preserve"> trading intervals throughout the week where actual prices varied significantly from forecasts. This compares to the weekly average in 2014 of 71 counts an</w:t>
      </w:r>
      <w:r w:rsidR="00EB534A">
        <w:rPr>
          <w:bCs/>
          <w:lang w:eastAsia="en-AU"/>
        </w:rPr>
        <w:t xml:space="preserve">d the average in 2013 of 97. </w:t>
      </w:r>
      <w:r w:rsidR="00275002" w:rsidRPr="00215E19">
        <w:rPr>
          <w:bCs/>
          <w:lang w:eastAsia="en-AU"/>
        </w:rPr>
        <w:t xml:space="preserve">Reasons for the variations for this week are summarised in </w:t>
      </w:r>
      <w:r w:rsidR="00E7472E" w:rsidRPr="00215E19">
        <w:rPr>
          <w:bCs/>
          <w:lang w:eastAsia="en-AU"/>
        </w:rPr>
        <w:fldChar w:fldCharType="begin"/>
      </w:r>
      <w:r w:rsidR="00E7472E" w:rsidRPr="00215E19">
        <w:rPr>
          <w:bCs/>
          <w:lang w:eastAsia="en-AU"/>
        </w:rPr>
        <w:instrText xml:space="preserve"> REF _Ref410993002 \h </w:instrText>
      </w:r>
      <w:r w:rsidR="00215E19">
        <w:rPr>
          <w:bCs/>
          <w:lang w:eastAsia="en-AU"/>
        </w:rPr>
        <w:instrText xml:space="preserve"> \* MERGEFORMAT </w:instrText>
      </w:r>
      <w:r w:rsidR="00E7472E" w:rsidRPr="00215E19">
        <w:rPr>
          <w:bCs/>
          <w:lang w:eastAsia="en-AU"/>
        </w:rPr>
      </w:r>
      <w:r w:rsidR="00E7472E" w:rsidRPr="00215E19">
        <w:rPr>
          <w:bCs/>
          <w:lang w:eastAsia="en-AU"/>
        </w:rPr>
        <w:fldChar w:fldCharType="separate"/>
      </w:r>
      <w:r w:rsidR="004C700B" w:rsidRPr="004C700B">
        <w:rPr>
          <w:bCs/>
          <w:lang w:eastAsia="en-AU"/>
        </w:rPr>
        <w:t>Table 2</w:t>
      </w:r>
      <w:r w:rsidR="00E7472E" w:rsidRPr="00215E19">
        <w:rPr>
          <w:bCs/>
          <w:lang w:eastAsia="en-AU"/>
        </w:rPr>
        <w:fldChar w:fldCharType="end"/>
      </w:r>
      <w:r w:rsidR="00275002" w:rsidRPr="00215E19">
        <w:rPr>
          <w:bCs/>
          <w:lang w:eastAsia="en-AU"/>
        </w:rPr>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215E19">
        <w:rPr>
          <w:bCs/>
          <w:lang w:eastAsia="en-AU"/>
        </w:rPr>
        <w:t>ahead</w:t>
      </w:r>
      <w:proofErr w:type="gramEnd"/>
      <w:r w:rsidR="00275002" w:rsidRPr="00215E19">
        <w:rPr>
          <w:bCs/>
          <w:lang w:eastAsia="en-AU"/>
        </w:rPr>
        <w:t xml:space="preserve">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lastRenderedPageBreak/>
        <w:t xml:space="preserve">Table </w:t>
      </w:r>
      <w:r w:rsidR="004C700B">
        <w:fldChar w:fldCharType="begin"/>
      </w:r>
      <w:r w:rsidR="004C700B">
        <w:instrText xml:space="preserve"> SEQ Table \* ARABIC </w:instrText>
      </w:r>
      <w:r w:rsidR="004C700B">
        <w:fldChar w:fldCharType="separate"/>
      </w:r>
      <w:r w:rsidR="004C700B">
        <w:rPr>
          <w:noProof/>
        </w:rPr>
        <w:t>2</w:t>
      </w:r>
      <w:r w:rsidR="004C700B">
        <w:rPr>
          <w:noProof/>
        </w:rPr>
        <w:fldChar w:fldCharType="end"/>
      </w:r>
      <w:bookmarkEnd w:id="12"/>
      <w:r w:rsidRPr="00BC7912">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86054C" w:rsidRPr="00003169" w:rsidTr="00BA0CBB">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86054C" w:rsidRPr="00E35AE8" w:rsidRDefault="0086054C" w:rsidP="00BA0CBB">
            <w:pPr>
              <w:spacing w:after="0" w:line="240" w:lineRule="auto"/>
              <w:jc w:val="center"/>
              <w:rPr>
                <w:sz w:val="20"/>
                <w:szCs w:val="20"/>
              </w:rPr>
            </w:pPr>
            <w:r w:rsidRPr="00E35AE8">
              <w:rPr>
                <w:sz w:val="20"/>
                <w:szCs w:val="20"/>
              </w:rPr>
              <w:t>% of total above forecast</w:t>
            </w:r>
          </w:p>
        </w:tc>
        <w:tc>
          <w:tcPr>
            <w:tcW w:w="1571" w:type="dxa"/>
            <w:noWrap/>
            <w:vAlign w:val="center"/>
          </w:tcPr>
          <w:p w:rsidR="0086054C" w:rsidRDefault="00B74171" w:rsidP="00BA0CBB">
            <w:pPr>
              <w:spacing w:after="0" w:line="240" w:lineRule="auto"/>
              <w:jc w:val="center"/>
              <w:rPr>
                <w:rFonts w:cs="Arial"/>
                <w:sz w:val="20"/>
                <w:szCs w:val="20"/>
              </w:rPr>
            </w:pPr>
            <w:r>
              <w:rPr>
                <w:rFonts w:cs="Arial"/>
                <w:sz w:val="20"/>
                <w:szCs w:val="20"/>
              </w:rPr>
              <w:t>9</w:t>
            </w:r>
          </w:p>
        </w:tc>
        <w:tc>
          <w:tcPr>
            <w:tcW w:w="1572" w:type="dxa"/>
            <w:noWrap/>
            <w:vAlign w:val="center"/>
          </w:tcPr>
          <w:p w:rsidR="0086054C" w:rsidRDefault="00B74171" w:rsidP="00BA0CBB">
            <w:pPr>
              <w:spacing w:after="0" w:line="240" w:lineRule="auto"/>
              <w:jc w:val="center"/>
              <w:rPr>
                <w:rFonts w:cs="Arial"/>
                <w:sz w:val="20"/>
                <w:szCs w:val="20"/>
              </w:rPr>
            </w:pPr>
            <w:r>
              <w:rPr>
                <w:rFonts w:cs="Arial"/>
                <w:sz w:val="20"/>
                <w:szCs w:val="20"/>
              </w:rPr>
              <w:t>47</w:t>
            </w:r>
          </w:p>
        </w:tc>
        <w:tc>
          <w:tcPr>
            <w:tcW w:w="1572" w:type="dxa"/>
            <w:noWrap/>
            <w:vAlign w:val="center"/>
          </w:tcPr>
          <w:p w:rsidR="0086054C" w:rsidRDefault="0086054C" w:rsidP="00BA0CBB">
            <w:pPr>
              <w:spacing w:after="0" w:line="240" w:lineRule="auto"/>
              <w:jc w:val="center"/>
              <w:rPr>
                <w:rFonts w:cs="Arial"/>
                <w:sz w:val="20"/>
                <w:szCs w:val="20"/>
              </w:rPr>
            </w:pPr>
            <w:r>
              <w:rPr>
                <w:rFonts w:cs="Arial"/>
                <w:sz w:val="20"/>
                <w:szCs w:val="20"/>
              </w:rPr>
              <w:t>0</w:t>
            </w:r>
          </w:p>
        </w:tc>
        <w:tc>
          <w:tcPr>
            <w:tcW w:w="1572" w:type="dxa"/>
            <w:vAlign w:val="center"/>
          </w:tcPr>
          <w:p w:rsidR="0086054C" w:rsidRDefault="0086054C" w:rsidP="00BA0CBB">
            <w:pPr>
              <w:spacing w:after="0" w:line="240" w:lineRule="auto"/>
              <w:jc w:val="center"/>
              <w:rPr>
                <w:rFonts w:cs="Arial"/>
                <w:sz w:val="20"/>
                <w:szCs w:val="20"/>
              </w:rPr>
            </w:pPr>
            <w:r>
              <w:rPr>
                <w:rFonts w:cs="Arial"/>
                <w:sz w:val="20"/>
                <w:szCs w:val="20"/>
              </w:rPr>
              <w:t>2</w:t>
            </w:r>
          </w:p>
        </w:tc>
      </w:tr>
      <w:tr w:rsidR="0086054C" w:rsidRPr="00003169" w:rsidTr="00BA0CBB">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86054C" w:rsidRPr="00E35AE8" w:rsidRDefault="0086054C" w:rsidP="00BA0CBB">
            <w:pPr>
              <w:spacing w:after="0" w:line="240" w:lineRule="auto"/>
              <w:jc w:val="center"/>
              <w:rPr>
                <w:sz w:val="20"/>
                <w:szCs w:val="20"/>
              </w:rPr>
            </w:pPr>
            <w:r w:rsidRPr="00E35AE8">
              <w:rPr>
                <w:sz w:val="20"/>
                <w:szCs w:val="20"/>
              </w:rPr>
              <w:t>% of total below forecast</w:t>
            </w:r>
          </w:p>
        </w:tc>
        <w:tc>
          <w:tcPr>
            <w:tcW w:w="1571" w:type="dxa"/>
            <w:noWrap/>
            <w:vAlign w:val="center"/>
          </w:tcPr>
          <w:p w:rsidR="0086054C" w:rsidRDefault="00B74171" w:rsidP="00BA0CBB">
            <w:pPr>
              <w:spacing w:after="0" w:line="240" w:lineRule="auto"/>
              <w:jc w:val="center"/>
              <w:rPr>
                <w:rFonts w:cs="Arial"/>
                <w:sz w:val="20"/>
                <w:szCs w:val="20"/>
              </w:rPr>
            </w:pPr>
            <w:r>
              <w:rPr>
                <w:rFonts w:cs="Arial"/>
                <w:sz w:val="20"/>
                <w:szCs w:val="20"/>
              </w:rPr>
              <w:t>35</w:t>
            </w:r>
          </w:p>
        </w:tc>
        <w:tc>
          <w:tcPr>
            <w:tcW w:w="1572" w:type="dxa"/>
            <w:noWrap/>
            <w:vAlign w:val="center"/>
          </w:tcPr>
          <w:p w:rsidR="0086054C" w:rsidRDefault="00B74171" w:rsidP="00BA0CBB">
            <w:pPr>
              <w:spacing w:after="0" w:line="240" w:lineRule="auto"/>
              <w:jc w:val="center"/>
              <w:rPr>
                <w:rFonts w:cs="Arial"/>
                <w:sz w:val="20"/>
                <w:szCs w:val="20"/>
              </w:rPr>
            </w:pPr>
            <w:r>
              <w:rPr>
                <w:rFonts w:cs="Arial"/>
                <w:sz w:val="20"/>
                <w:szCs w:val="20"/>
              </w:rPr>
              <w:t>5</w:t>
            </w:r>
          </w:p>
        </w:tc>
        <w:tc>
          <w:tcPr>
            <w:tcW w:w="1572" w:type="dxa"/>
            <w:noWrap/>
            <w:vAlign w:val="center"/>
          </w:tcPr>
          <w:p w:rsidR="0086054C" w:rsidRDefault="0086054C" w:rsidP="00BA0CBB">
            <w:pPr>
              <w:spacing w:after="0" w:line="240" w:lineRule="auto"/>
              <w:jc w:val="center"/>
              <w:rPr>
                <w:rFonts w:cs="Arial"/>
                <w:sz w:val="20"/>
                <w:szCs w:val="20"/>
              </w:rPr>
            </w:pPr>
            <w:r>
              <w:rPr>
                <w:rFonts w:cs="Arial"/>
                <w:sz w:val="20"/>
                <w:szCs w:val="20"/>
              </w:rPr>
              <w:t>0</w:t>
            </w:r>
          </w:p>
        </w:tc>
        <w:tc>
          <w:tcPr>
            <w:tcW w:w="1572" w:type="dxa"/>
            <w:vAlign w:val="center"/>
          </w:tcPr>
          <w:p w:rsidR="0086054C" w:rsidRDefault="00B74171" w:rsidP="00BA0CBB">
            <w:pPr>
              <w:spacing w:after="0" w:line="240" w:lineRule="auto"/>
              <w:jc w:val="center"/>
              <w:rPr>
                <w:rFonts w:cs="Arial"/>
                <w:sz w:val="20"/>
                <w:szCs w:val="20"/>
              </w:rPr>
            </w:pPr>
            <w:r>
              <w:rPr>
                <w:rFonts w:cs="Arial"/>
                <w:sz w:val="20"/>
                <w:szCs w:val="20"/>
              </w:rPr>
              <w:t>2</w:t>
            </w:r>
          </w:p>
        </w:tc>
      </w:tr>
    </w:tbl>
    <w:p w:rsidR="00275002" w:rsidRPr="009E6668" w:rsidRDefault="00275002" w:rsidP="00544C6F">
      <w:pPr>
        <w:spacing w:before="120" w:after="120"/>
        <w:rPr>
          <w:rFonts w:cs="Arial"/>
          <w:sz w:val="18"/>
          <w:szCs w:val="18"/>
        </w:rPr>
      </w:pPr>
      <w:r w:rsidRPr="009E6668">
        <w:rPr>
          <w:rFonts w:cs="Arial"/>
          <w:sz w:val="18"/>
          <w:szCs w:val="18"/>
        </w:rPr>
        <w:t>Note: Due to rounding, the total may not be 100 per cent.</w:t>
      </w:r>
    </w:p>
    <w:p w:rsidR="00275002" w:rsidRPr="0031019A" w:rsidRDefault="00275002" w:rsidP="00914A87">
      <w:pPr>
        <w:pStyle w:val="AERHeading1"/>
      </w:pPr>
      <w:r w:rsidRPr="0031019A">
        <w:t>Generation and bidding patterns</w:t>
      </w:r>
    </w:p>
    <w:p w:rsidR="003A0810" w:rsidRPr="00215E19" w:rsidRDefault="00275002" w:rsidP="00215E19">
      <w:pPr>
        <w:pStyle w:val="AERbodytext"/>
        <w:spacing w:before="120" w:after="120"/>
        <w:rPr>
          <w:bCs/>
          <w:lang w:eastAsia="en-AU"/>
        </w:rPr>
      </w:pPr>
      <w:r w:rsidRPr="00215E19">
        <w:rPr>
          <w:bCs/>
          <w:lang w:eastAsia="en-AU"/>
        </w:rPr>
        <w:t xml:space="preserve">The AER reviews generator bidding as part of its market monitoring to better understand the drivers behind price variations. </w:t>
      </w:r>
      <w:r w:rsidRPr="00215E19">
        <w:rPr>
          <w:bCs/>
          <w:lang w:eastAsia="en-AU"/>
        </w:rPr>
        <w:fldChar w:fldCharType="begin"/>
      </w:r>
      <w:r w:rsidRPr="00215E19">
        <w:rPr>
          <w:bCs/>
          <w:lang w:eastAsia="en-AU"/>
        </w:rPr>
        <w:instrText xml:space="preserve"> REF _Ref410383507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4C700B" w:rsidRPr="004C700B">
        <w:rPr>
          <w:bCs/>
          <w:lang w:eastAsia="en-AU"/>
        </w:rPr>
        <w:t>Figure 3</w:t>
      </w:r>
      <w:r w:rsidRPr="00215E19">
        <w:rPr>
          <w:bCs/>
          <w:lang w:eastAsia="en-AU"/>
        </w:rPr>
        <w:fldChar w:fldCharType="end"/>
      </w:r>
      <w:r w:rsidRPr="00215E19">
        <w:rPr>
          <w:bCs/>
          <w:lang w:eastAsia="en-AU"/>
        </w:rPr>
        <w:t xml:space="preserve"> to</w:t>
      </w:r>
      <w:r w:rsidR="00056949">
        <w:rPr>
          <w:bCs/>
          <w:lang w:eastAsia="en-AU"/>
        </w:rPr>
        <w:t xml:space="preserve"> </w:t>
      </w:r>
      <w:r w:rsidR="00056949">
        <w:rPr>
          <w:bCs/>
          <w:lang w:eastAsia="en-AU"/>
        </w:rPr>
        <w:fldChar w:fldCharType="begin"/>
      </w:r>
      <w:r w:rsidR="00056949">
        <w:rPr>
          <w:bCs/>
          <w:lang w:eastAsia="en-AU"/>
        </w:rPr>
        <w:instrText xml:space="preserve"> REF _Ref433287168 \h </w:instrText>
      </w:r>
      <w:r w:rsidR="00056949">
        <w:rPr>
          <w:bCs/>
          <w:lang w:eastAsia="en-AU"/>
        </w:rPr>
      </w:r>
      <w:r w:rsidR="00056949">
        <w:rPr>
          <w:bCs/>
          <w:lang w:eastAsia="en-AU"/>
        </w:rPr>
        <w:fldChar w:fldCharType="separate"/>
      </w:r>
      <w:r w:rsidR="004C700B">
        <w:t xml:space="preserve">Figure </w:t>
      </w:r>
      <w:r w:rsidR="004C700B">
        <w:rPr>
          <w:noProof/>
        </w:rPr>
        <w:t>7</w:t>
      </w:r>
      <w:r w:rsidR="00056949">
        <w:rPr>
          <w:bCs/>
          <w:lang w:eastAsia="en-AU"/>
        </w:rPr>
        <w:fldChar w:fldCharType="end"/>
      </w:r>
      <w:r w:rsidRPr="00215E19">
        <w:rPr>
          <w:bCs/>
          <w:lang w:eastAsia="en-AU"/>
        </w:rPr>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4" w:name="_Ref410383507"/>
      <w:r>
        <w:t xml:space="preserve">Figure </w:t>
      </w:r>
      <w:r w:rsidR="004C700B">
        <w:fldChar w:fldCharType="begin"/>
      </w:r>
      <w:r w:rsidR="004C700B">
        <w:instrText xml:space="preserve"> SEQ Figure \* ARABIC </w:instrText>
      </w:r>
      <w:r w:rsidR="004C700B">
        <w:fldChar w:fldCharType="separate"/>
      </w:r>
      <w:r w:rsidR="004C700B">
        <w:rPr>
          <w:noProof/>
        </w:rPr>
        <w:t>3</w:t>
      </w:r>
      <w:r w:rsidR="004C700B">
        <w:rPr>
          <w:noProof/>
        </w:rPr>
        <w:fldChar w:fldCharType="end"/>
      </w:r>
      <w:bookmarkEnd w:id="14"/>
      <w:r>
        <w:t xml:space="preserve">: Queensland </w:t>
      </w:r>
      <w:r w:rsidRPr="00690328">
        <w:t>generation and bidding patterns</w:t>
      </w:r>
    </w:p>
    <w:p w:rsidR="00FB265D" w:rsidRPr="00FB265D" w:rsidRDefault="00B74171" w:rsidP="00FB265D">
      <w:r w:rsidRPr="00B74171">
        <w:rPr>
          <w:noProof/>
          <w:lang w:eastAsia="en-AU"/>
        </w:rPr>
        <w:drawing>
          <wp:inline distT="0" distB="0" distL="0" distR="0" wp14:anchorId="70DB38B3" wp14:editId="251B2B02">
            <wp:extent cx="5731510" cy="4115071"/>
            <wp:effectExtent l="0" t="0" r="2540" b="0"/>
            <wp:docPr id="13" name="Picture 13"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Default="00275002" w:rsidP="00275002"/>
    <w:p w:rsidR="00275002" w:rsidRDefault="00275002" w:rsidP="000E2946">
      <w:pPr>
        <w:pStyle w:val="Caption"/>
      </w:pPr>
      <w:bookmarkStart w:id="15" w:name="_Ref428273135"/>
      <w:r>
        <w:lastRenderedPageBreak/>
        <w:t xml:space="preserve">Figure </w:t>
      </w:r>
      <w:r w:rsidR="004C700B">
        <w:fldChar w:fldCharType="begin"/>
      </w:r>
      <w:r w:rsidR="004C700B">
        <w:instrText xml:space="preserve"> SEQ Figure \* ARABIC </w:instrText>
      </w:r>
      <w:r w:rsidR="004C700B">
        <w:fldChar w:fldCharType="separate"/>
      </w:r>
      <w:r w:rsidR="004C700B">
        <w:rPr>
          <w:noProof/>
        </w:rPr>
        <w:t>4</w:t>
      </w:r>
      <w:r w:rsidR="004C700B">
        <w:rPr>
          <w:noProof/>
        </w:rPr>
        <w:fldChar w:fldCharType="end"/>
      </w:r>
      <w:bookmarkEnd w:id="15"/>
      <w:r>
        <w:t xml:space="preserve">: </w:t>
      </w:r>
      <w:r w:rsidRPr="00CC5077">
        <w:t>New South Wales generation and bidding patterns</w:t>
      </w:r>
    </w:p>
    <w:p w:rsidR="00181C46" w:rsidRPr="00181C46" w:rsidRDefault="00B74171" w:rsidP="00181C46">
      <w:r w:rsidRPr="00B74171">
        <w:rPr>
          <w:noProof/>
          <w:lang w:eastAsia="en-AU"/>
        </w:rPr>
        <w:drawing>
          <wp:inline distT="0" distB="0" distL="0" distR="0" wp14:anchorId="1E4DA87F" wp14:editId="2445CF87">
            <wp:extent cx="5728087" cy="3927315"/>
            <wp:effectExtent l="0" t="0" r="6350" b="0"/>
            <wp:docPr id="14" name="Picture 14"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929662"/>
                    </a:xfrm>
                    <a:prstGeom prst="rect">
                      <a:avLst/>
                    </a:prstGeom>
                    <a:noFill/>
                    <a:ln>
                      <a:noFill/>
                    </a:ln>
                  </pic:spPr>
                </pic:pic>
              </a:graphicData>
            </a:graphic>
          </wp:inline>
        </w:drawing>
      </w:r>
    </w:p>
    <w:p w:rsidR="00275002" w:rsidRDefault="00275002" w:rsidP="000E2946">
      <w:pPr>
        <w:pStyle w:val="Caption"/>
      </w:pPr>
      <w:r>
        <w:t xml:space="preserve">Figure </w:t>
      </w:r>
      <w:r w:rsidR="004C700B">
        <w:fldChar w:fldCharType="begin"/>
      </w:r>
      <w:r w:rsidR="004C700B">
        <w:instrText xml:space="preserve"> SEQ Figure \* ARABIC </w:instrText>
      </w:r>
      <w:r w:rsidR="004C700B">
        <w:fldChar w:fldCharType="separate"/>
      </w:r>
      <w:r w:rsidR="004C700B">
        <w:rPr>
          <w:noProof/>
        </w:rPr>
        <w:t>5</w:t>
      </w:r>
      <w:r w:rsidR="004C700B">
        <w:rPr>
          <w:noProof/>
        </w:rPr>
        <w:fldChar w:fldCharType="end"/>
      </w:r>
      <w:r w:rsidRPr="0003635A">
        <w:t>: Victoria generation and bidding patterns</w:t>
      </w:r>
    </w:p>
    <w:p w:rsidR="00FB265D" w:rsidRPr="00FB265D" w:rsidRDefault="00B74171" w:rsidP="00FB265D">
      <w:r w:rsidRPr="00B74171">
        <w:rPr>
          <w:noProof/>
          <w:lang w:eastAsia="en-AU"/>
        </w:rPr>
        <w:drawing>
          <wp:inline distT="0" distB="0" distL="0" distR="0" wp14:anchorId="25373B25" wp14:editId="52E4D0C2">
            <wp:extent cx="5735713" cy="3947050"/>
            <wp:effectExtent l="0" t="0" r="0" b="0"/>
            <wp:docPr id="15" name="Picture 15"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944157"/>
                    </a:xfrm>
                    <a:prstGeom prst="rect">
                      <a:avLst/>
                    </a:prstGeom>
                    <a:noFill/>
                    <a:ln>
                      <a:noFill/>
                    </a:ln>
                  </pic:spPr>
                </pic:pic>
              </a:graphicData>
            </a:graphic>
          </wp:inline>
        </w:drawing>
      </w:r>
    </w:p>
    <w:p w:rsidR="00521207" w:rsidRPr="00181C46" w:rsidRDefault="00521207" w:rsidP="00521207">
      <w:bookmarkStart w:id="16" w:name="_Ref423965683"/>
      <w:r w:rsidRPr="00521207">
        <w:t>The red ellipses on</w:t>
      </w:r>
      <w:r w:rsidR="00C520CD">
        <w:t xml:space="preserve"> Figure 6</w:t>
      </w:r>
      <w:r w:rsidRPr="00521207">
        <w:t>, following, highlight periods where high prices occurred in South Australia.  Demand on these days was high and, as can be seen from the figure, there was limited capacity available between low prices and prices greater than $5000/MWh.</w:t>
      </w:r>
    </w:p>
    <w:p w:rsidR="00275002" w:rsidRDefault="00275002" w:rsidP="000E2946">
      <w:pPr>
        <w:pStyle w:val="Caption"/>
      </w:pPr>
      <w:r w:rsidRPr="00B14BA1">
        <w:lastRenderedPageBreak/>
        <w:t xml:space="preserve">Figure </w:t>
      </w:r>
      <w:r w:rsidR="004C700B">
        <w:fldChar w:fldCharType="begin"/>
      </w:r>
      <w:r w:rsidR="004C700B">
        <w:instrText xml:space="preserve"> SEQ Figure \* ARABIC </w:instrText>
      </w:r>
      <w:r w:rsidR="004C700B">
        <w:fldChar w:fldCharType="separate"/>
      </w:r>
      <w:r w:rsidR="004C700B">
        <w:rPr>
          <w:noProof/>
        </w:rPr>
        <w:t>6</w:t>
      </w:r>
      <w:r w:rsidR="004C700B">
        <w:rPr>
          <w:noProof/>
        </w:rPr>
        <w:fldChar w:fldCharType="end"/>
      </w:r>
      <w:bookmarkEnd w:id="16"/>
      <w:r w:rsidRPr="00B14BA1">
        <w:t>: South Australia generation and bidding patterns</w:t>
      </w:r>
    </w:p>
    <w:p w:rsidR="000D1846" w:rsidRDefault="00521207" w:rsidP="00F019C5">
      <w:r>
        <w:rPr>
          <w:noProof/>
          <w:lang w:eastAsia="en-AU"/>
        </w:rPr>
        <mc:AlternateContent>
          <mc:Choice Requires="wps">
            <w:drawing>
              <wp:anchor distT="0" distB="0" distL="114300" distR="114300" simplePos="0" relativeHeight="251672576" behindDoc="0" locked="0" layoutInCell="1" allowOverlap="1" wp14:anchorId="2F2985E8" wp14:editId="6702F08B">
                <wp:simplePos x="0" y="0"/>
                <wp:positionH relativeFrom="column">
                  <wp:posOffset>4242435</wp:posOffset>
                </wp:positionH>
                <wp:positionV relativeFrom="paragraph">
                  <wp:posOffset>476656</wp:posOffset>
                </wp:positionV>
                <wp:extent cx="152400" cy="1135380"/>
                <wp:effectExtent l="0" t="0" r="19050" b="26670"/>
                <wp:wrapNone/>
                <wp:docPr id="4" name="Oval 4"/>
                <wp:cNvGraphicFramePr/>
                <a:graphic xmlns:a="http://schemas.openxmlformats.org/drawingml/2006/main">
                  <a:graphicData uri="http://schemas.microsoft.com/office/word/2010/wordprocessingShape">
                    <wps:wsp>
                      <wps:cNvSpPr/>
                      <wps:spPr>
                        <a:xfrm>
                          <a:off x="0" y="0"/>
                          <a:ext cx="152400" cy="113538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334.05pt;margin-top:37.55pt;width:12pt;height:8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" filled="f" strokecolor="red" strokeweight="2pt"/>
            </w:pict>
          </mc:Fallback>
        </mc:AlternateContent>
      </w:r>
      <w:r>
        <w:rPr>
          <w:noProof/>
          <w:lang w:eastAsia="en-AU"/>
        </w:rPr>
        <mc:AlternateContent>
          <mc:Choice Requires="wps">
            <w:drawing>
              <wp:anchor distT="0" distB="0" distL="114300" distR="114300" simplePos="0" relativeHeight="251670528" behindDoc="0" locked="0" layoutInCell="1" allowOverlap="1" wp14:anchorId="76D2E779" wp14:editId="14070B24">
                <wp:simplePos x="0" y="0"/>
                <wp:positionH relativeFrom="column">
                  <wp:posOffset>3573780</wp:posOffset>
                </wp:positionH>
                <wp:positionV relativeFrom="paragraph">
                  <wp:posOffset>480695</wp:posOffset>
                </wp:positionV>
                <wp:extent cx="152400" cy="1135380"/>
                <wp:effectExtent l="0" t="0" r="19050" b="26670"/>
                <wp:wrapNone/>
                <wp:docPr id="2" name="Oval 2"/>
                <wp:cNvGraphicFramePr/>
                <a:graphic xmlns:a="http://schemas.openxmlformats.org/drawingml/2006/main">
                  <a:graphicData uri="http://schemas.microsoft.com/office/word/2010/wordprocessingShape">
                    <wps:wsp>
                      <wps:cNvSpPr/>
                      <wps:spPr>
                        <a:xfrm>
                          <a:off x="0" y="0"/>
                          <a:ext cx="152400" cy="113538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81.4pt;margin-top:37.85pt;width:12pt;height:8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" filled="f" strokecolor="red" strokeweight="2pt"/>
            </w:pict>
          </mc:Fallback>
        </mc:AlternateContent>
      </w:r>
      <w:r w:rsidR="004F4721" w:rsidRPr="004F4721">
        <w:rPr>
          <w:noProof/>
          <w:lang w:eastAsia="en-AU"/>
        </w:rPr>
        <w:drawing>
          <wp:inline distT="0" distB="0" distL="0" distR="0" wp14:anchorId="6D43130E" wp14:editId="413EFC05">
            <wp:extent cx="5731752" cy="3907580"/>
            <wp:effectExtent l="0" t="0" r="2540" b="0"/>
            <wp:docPr id="17" name="Picture 17"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907415"/>
                    </a:xfrm>
                    <a:prstGeom prst="rect">
                      <a:avLst/>
                    </a:prstGeom>
                    <a:noFill/>
                    <a:ln>
                      <a:noFill/>
                    </a:ln>
                  </pic:spPr>
                </pic:pic>
              </a:graphicData>
            </a:graphic>
          </wp:inline>
        </w:drawing>
      </w:r>
      <w:bookmarkStart w:id="17" w:name="_Ref410383520"/>
    </w:p>
    <w:p w:rsidR="00F019C5" w:rsidRDefault="00BD1DB1" w:rsidP="00F019C5">
      <w:r w:rsidRPr="00BD1DB1">
        <w:t xml:space="preserve">The red ellipses on </w:t>
      </w:r>
      <w:r w:rsidR="00C520CD">
        <w:t>Figure 7</w:t>
      </w:r>
      <w:r w:rsidRPr="00BD1DB1">
        <w:t xml:space="preserve">, following, highlight the period where </w:t>
      </w:r>
      <w:r w:rsidR="00521207">
        <w:t>the high price</w:t>
      </w:r>
      <w:r w:rsidR="00EB534A">
        <w:t xml:space="preserve"> occurred in Tasmania. </w:t>
      </w:r>
      <w:r w:rsidRPr="00BD1DB1">
        <w:t>As can be seen from the figure, there was limited capacity available between low prices and prices greater than $5000/MWh.</w:t>
      </w:r>
    </w:p>
    <w:p w:rsidR="00275002" w:rsidRDefault="00275002" w:rsidP="000E2946">
      <w:pPr>
        <w:pStyle w:val="Caption"/>
      </w:pPr>
      <w:bookmarkStart w:id="18" w:name="_Ref433287168"/>
      <w:r>
        <w:t xml:space="preserve">Figure </w:t>
      </w:r>
      <w:r w:rsidR="004C700B">
        <w:fldChar w:fldCharType="begin"/>
      </w:r>
      <w:r w:rsidR="004C700B">
        <w:instrText xml:space="preserve"> SEQ Figure \* ARABIC </w:instrText>
      </w:r>
      <w:r w:rsidR="004C700B">
        <w:fldChar w:fldCharType="separate"/>
      </w:r>
      <w:r w:rsidR="004C700B">
        <w:rPr>
          <w:noProof/>
        </w:rPr>
        <w:t>7</w:t>
      </w:r>
      <w:r w:rsidR="004C700B">
        <w:rPr>
          <w:noProof/>
        </w:rPr>
        <w:fldChar w:fldCharType="end"/>
      </w:r>
      <w:bookmarkEnd w:id="17"/>
      <w:bookmarkEnd w:id="18"/>
      <w:r>
        <w:t xml:space="preserve">: </w:t>
      </w:r>
      <w:r w:rsidRPr="008837C4">
        <w:t>Tasmania generation and bidding patterns</w:t>
      </w:r>
    </w:p>
    <w:p w:rsidR="004F4721" w:rsidRPr="004F4721" w:rsidRDefault="00BD1DB1" w:rsidP="004F4721">
      <w:r>
        <w:rPr>
          <w:noProof/>
          <w:lang w:eastAsia="en-AU"/>
        </w:rPr>
        <mc:AlternateContent>
          <mc:Choice Requires="wps">
            <w:drawing>
              <wp:anchor distT="0" distB="0" distL="114300" distR="114300" simplePos="0" relativeHeight="251668480" behindDoc="0" locked="0" layoutInCell="1" allowOverlap="1" wp14:anchorId="28570FEE" wp14:editId="2F0AD535">
                <wp:simplePos x="0" y="0"/>
                <wp:positionH relativeFrom="column">
                  <wp:posOffset>822960</wp:posOffset>
                </wp:positionH>
                <wp:positionV relativeFrom="paragraph">
                  <wp:posOffset>288290</wp:posOffset>
                </wp:positionV>
                <wp:extent cx="472440" cy="1691640"/>
                <wp:effectExtent l="0" t="0" r="22860" b="22860"/>
                <wp:wrapNone/>
                <wp:docPr id="3" name="Oval 3"/>
                <wp:cNvGraphicFramePr/>
                <a:graphic xmlns:a="http://schemas.openxmlformats.org/drawingml/2006/main">
                  <a:graphicData uri="http://schemas.microsoft.com/office/word/2010/wordprocessingShape">
                    <wps:wsp>
                      <wps:cNvSpPr/>
                      <wps:spPr>
                        <a:xfrm>
                          <a:off x="0" y="0"/>
                          <a:ext cx="472440" cy="169164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64.8pt;margin-top:22.7pt;width:37.2pt;height:133.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" filled="f" strokecolor="red" strokeweight="2pt"/>
            </w:pict>
          </mc:Fallback>
        </mc:AlternateContent>
      </w:r>
      <w:r w:rsidR="004F4721" w:rsidRPr="004F4721">
        <w:rPr>
          <w:noProof/>
          <w:lang w:eastAsia="en-AU"/>
        </w:rPr>
        <w:drawing>
          <wp:inline distT="0" distB="0" distL="0" distR="0" wp14:anchorId="4DA2317D" wp14:editId="62515D14">
            <wp:extent cx="5735711" cy="3697070"/>
            <wp:effectExtent l="0" t="0" r="0" b="0"/>
            <wp:docPr id="21" name="Picture 21"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694362"/>
                    </a:xfrm>
                    <a:prstGeom prst="rect">
                      <a:avLst/>
                    </a:prstGeom>
                    <a:noFill/>
                    <a:ln>
                      <a:noFill/>
                    </a:ln>
                  </pic:spPr>
                </pic:pic>
              </a:graphicData>
            </a:graphic>
          </wp:inline>
        </w:drawing>
      </w:r>
    </w:p>
    <w:p w:rsidR="00830985" w:rsidRDefault="00830985" w:rsidP="00764BAA">
      <w:pPr>
        <w:pStyle w:val="AERbodytext"/>
      </w:pPr>
    </w:p>
    <w:p w:rsidR="00275002" w:rsidRPr="0031019A" w:rsidRDefault="00275002" w:rsidP="00914A87">
      <w:pPr>
        <w:pStyle w:val="AERHeading1"/>
      </w:pPr>
      <w:r w:rsidRPr="0031019A">
        <w:lastRenderedPageBreak/>
        <w:t>Frequency control ancillary services markets</w:t>
      </w:r>
    </w:p>
    <w:p w:rsidR="00275002" w:rsidRPr="00215E19" w:rsidRDefault="00275002" w:rsidP="00215E19">
      <w:pPr>
        <w:pStyle w:val="AERbodytext"/>
        <w:spacing w:before="120" w:after="120"/>
        <w:rPr>
          <w:bCs/>
          <w:lang w:eastAsia="en-AU"/>
        </w:rPr>
      </w:pPr>
      <w:r w:rsidRPr="00215E19">
        <w:rPr>
          <w:bCs/>
          <w:lang w:eastAsia="en-AU"/>
        </w:rPr>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215E19" w:rsidRDefault="00275002" w:rsidP="00215E19">
      <w:pPr>
        <w:pStyle w:val="AERbodytext"/>
        <w:spacing w:before="120" w:after="120"/>
        <w:rPr>
          <w:bCs/>
          <w:lang w:eastAsia="en-AU"/>
        </w:rPr>
      </w:pPr>
      <w:r w:rsidRPr="00215E19">
        <w:rPr>
          <w:bCs/>
          <w:lang w:eastAsia="en-AU"/>
        </w:rPr>
        <w:t>The Electricity Rules stipulate that generators pay for raise contingency services and customers pay for lower contingency services. Regulation services are paid for on a “causer pays” basis determined every four weeks by AEMO.</w:t>
      </w:r>
    </w:p>
    <w:p w:rsidR="00EE46CE" w:rsidRPr="00215E19" w:rsidRDefault="00E64CEC" w:rsidP="00215E19">
      <w:pPr>
        <w:pStyle w:val="AERbodytext"/>
        <w:spacing w:before="120" w:after="120"/>
        <w:rPr>
          <w:bCs/>
          <w:lang w:eastAsia="en-AU"/>
        </w:rPr>
      </w:pPr>
      <w:bookmarkStart w:id="19" w:name="_Ref410383413"/>
      <w:r w:rsidRPr="00E64CEC">
        <w:rPr>
          <w:bCs/>
          <w:lang w:eastAsia="en-AU"/>
        </w:rPr>
        <w:t>The total cost of FCAS on th</w:t>
      </w:r>
      <w:r w:rsidR="00DB365C">
        <w:rPr>
          <w:bCs/>
          <w:lang w:eastAsia="en-AU"/>
        </w:rPr>
        <w:t>e mainland for the week was $452</w:t>
      </w:r>
      <w:r w:rsidR="00BA0CBB">
        <w:rPr>
          <w:bCs/>
          <w:lang w:eastAsia="en-AU"/>
        </w:rPr>
        <w:t> </w:t>
      </w:r>
      <w:r w:rsidRPr="00E64CEC">
        <w:rPr>
          <w:bCs/>
          <w:lang w:eastAsia="en-AU"/>
        </w:rPr>
        <w:t>500 or less than 1</w:t>
      </w:r>
      <w:r w:rsidR="00BA0CBB">
        <w:rPr>
          <w:bCs/>
          <w:lang w:eastAsia="en-AU"/>
        </w:rPr>
        <w:t> </w:t>
      </w:r>
      <w:r w:rsidRPr="00E64CEC">
        <w:rPr>
          <w:bCs/>
          <w:lang w:eastAsia="en-AU"/>
        </w:rPr>
        <w:t>per</w:t>
      </w:r>
      <w:r w:rsidR="00BA0CBB">
        <w:rPr>
          <w:bCs/>
          <w:lang w:eastAsia="en-AU"/>
        </w:rPr>
        <w:t> </w:t>
      </w:r>
      <w:r w:rsidRPr="00E64CEC">
        <w:rPr>
          <w:bCs/>
          <w:lang w:eastAsia="en-AU"/>
        </w:rPr>
        <w:t>cent of energy turnover on the mainland.</w:t>
      </w:r>
    </w:p>
    <w:p w:rsidR="00411897" w:rsidRPr="00215E19" w:rsidRDefault="00E64CEC" w:rsidP="00215E19">
      <w:pPr>
        <w:pStyle w:val="AERbodytext"/>
        <w:spacing w:before="120" w:after="120"/>
        <w:rPr>
          <w:bCs/>
          <w:lang w:eastAsia="en-AU"/>
        </w:rPr>
      </w:pPr>
      <w:r w:rsidRPr="00E64CEC">
        <w:rPr>
          <w:bCs/>
          <w:lang w:eastAsia="en-AU"/>
        </w:rPr>
        <w:t>The total cost of FCAS i</w:t>
      </w:r>
      <w:r w:rsidR="00DB365C">
        <w:rPr>
          <w:bCs/>
          <w:lang w:eastAsia="en-AU"/>
        </w:rPr>
        <w:t>n Tasmania for the week was $242</w:t>
      </w:r>
      <w:r w:rsidR="00BA0CBB">
        <w:rPr>
          <w:bCs/>
          <w:lang w:eastAsia="en-AU"/>
        </w:rPr>
        <w:t> </w:t>
      </w:r>
      <w:r w:rsidRPr="00E64CEC">
        <w:rPr>
          <w:bCs/>
          <w:lang w:eastAsia="en-AU"/>
        </w:rPr>
        <w:t xml:space="preserve">000 or </w:t>
      </w:r>
      <w:r w:rsidR="00BA0CBB">
        <w:rPr>
          <w:bCs/>
          <w:lang w:eastAsia="en-AU"/>
        </w:rPr>
        <w:t xml:space="preserve">around </w:t>
      </w:r>
      <w:r w:rsidRPr="00E64CEC">
        <w:rPr>
          <w:bCs/>
          <w:lang w:eastAsia="en-AU"/>
        </w:rPr>
        <w:t>1</w:t>
      </w:r>
      <w:r w:rsidR="00DB365C">
        <w:rPr>
          <w:bCs/>
          <w:lang w:eastAsia="en-AU"/>
        </w:rPr>
        <w:t>.5</w:t>
      </w:r>
      <w:r w:rsidR="00BA0CBB">
        <w:rPr>
          <w:bCs/>
          <w:lang w:eastAsia="en-AU"/>
        </w:rPr>
        <w:t> </w:t>
      </w:r>
      <w:r w:rsidRPr="00E64CEC">
        <w:rPr>
          <w:bCs/>
          <w:lang w:eastAsia="en-AU"/>
        </w:rPr>
        <w:t>per</w:t>
      </w:r>
      <w:r w:rsidR="00BA0CBB">
        <w:rPr>
          <w:bCs/>
          <w:lang w:eastAsia="en-AU"/>
        </w:rPr>
        <w:t> </w:t>
      </w:r>
      <w:r w:rsidRPr="00E64CEC">
        <w:rPr>
          <w:bCs/>
          <w:lang w:eastAsia="en-AU"/>
        </w:rPr>
        <w:t>cent of energy turnover in Tasmania.</w:t>
      </w:r>
    </w:p>
    <w:p w:rsidR="00F3590E" w:rsidRPr="00215E19" w:rsidRDefault="00F3590E"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_Ref418082853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4C700B" w:rsidRPr="004C700B">
        <w:rPr>
          <w:bCs/>
          <w:lang w:eastAsia="en-AU"/>
        </w:rPr>
        <w:t>Figure 8</w:t>
      </w:r>
      <w:r w:rsidRPr="00215E19">
        <w:rPr>
          <w:bCs/>
          <w:lang w:eastAsia="en-AU"/>
        </w:rPr>
        <w:fldChar w:fldCharType="end"/>
      </w:r>
      <w:r w:rsidRPr="00215E19">
        <w:rPr>
          <w:bCs/>
          <w:lang w:eastAsia="en-AU"/>
        </w:rPr>
        <w:t xml:space="preserve"> shows the daily breakdown of cost for each FCAS for the NEM, as well as the average cost since the beginning of the previous financial year. </w:t>
      </w:r>
    </w:p>
    <w:p w:rsidR="00275002" w:rsidRDefault="00275002" w:rsidP="000E2946">
      <w:pPr>
        <w:pStyle w:val="Caption"/>
      </w:pPr>
      <w:bookmarkStart w:id="20" w:name="_Ref418082853"/>
      <w:r>
        <w:t xml:space="preserve">Figure </w:t>
      </w:r>
      <w:r w:rsidR="004C700B">
        <w:fldChar w:fldCharType="begin"/>
      </w:r>
      <w:r w:rsidR="004C700B">
        <w:instrText xml:space="preserve"> SEQ Figure \* ARABIC </w:instrText>
      </w:r>
      <w:r w:rsidR="004C700B">
        <w:fldChar w:fldCharType="separate"/>
      </w:r>
      <w:r w:rsidR="004C700B">
        <w:rPr>
          <w:noProof/>
        </w:rPr>
        <w:t>8</w:t>
      </w:r>
      <w:r w:rsidR="004C700B">
        <w:rPr>
          <w:noProof/>
        </w:rPr>
        <w:fldChar w:fldCharType="end"/>
      </w:r>
      <w:bookmarkEnd w:id="19"/>
      <w:bookmarkEnd w:id="20"/>
      <w:r w:rsidRPr="007707C6">
        <w:t>: Daily frequency control ancillary service cost</w:t>
      </w:r>
    </w:p>
    <w:p w:rsidR="00DB365C" w:rsidRPr="00DB365C" w:rsidRDefault="00DB365C" w:rsidP="00DB365C">
      <w:r w:rsidRPr="00DB365C">
        <w:rPr>
          <w:noProof/>
          <w:lang w:eastAsia="en-AU"/>
        </w:rPr>
        <w:drawing>
          <wp:inline distT="0" distB="0" distL="0" distR="0" wp14:anchorId="666CABD8" wp14:editId="720966AA">
            <wp:extent cx="5731510" cy="2893363"/>
            <wp:effectExtent l="0" t="0" r="2540" b="2540"/>
            <wp:docPr id="22" name="Picture 22" descr="&quot;Figure 8 shows the daily breakdown of cost for each FCAS for the NEM, as well as the average cost since the beginning of the previous financial year.&#10;Should you require a description of the data for the week under review, please email us at  AERInquiry@aer.gov.a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3363"/>
                    </a:xfrm>
                    <a:prstGeom prst="rect">
                      <a:avLst/>
                    </a:prstGeom>
                    <a:noFill/>
                    <a:ln>
                      <a:noFill/>
                    </a:ln>
                  </pic:spPr>
                </pic:pic>
              </a:graphicData>
            </a:graphic>
          </wp:inline>
        </w:drawing>
      </w:r>
    </w:p>
    <w:p w:rsidR="00F56B84" w:rsidRDefault="00F56B84" w:rsidP="00BA0CBB">
      <w:pPr>
        <w:pStyle w:val="AERbodytext"/>
      </w:pPr>
      <w:r>
        <w:t>On the 20 December, the price of raise regulation services in Tasmania reached $11</w:t>
      </w:r>
      <w:r w:rsidR="00CF0539">
        <w:t> </w:t>
      </w:r>
      <w:r>
        <w:t>711/MW at 2.25</w:t>
      </w:r>
      <w:r w:rsidR="00CF0539">
        <w:t> </w:t>
      </w:r>
      <w:r>
        <w:t xml:space="preserve">pm. An analysis of this event is included in the detailed market analysis of significant price events section below.  </w:t>
      </w:r>
    </w:p>
    <w:p w:rsidR="00F56B84" w:rsidRPr="00F56B84" w:rsidRDefault="00F56B84" w:rsidP="00BA0CBB">
      <w:pPr>
        <w:pStyle w:val="AERbodytext"/>
      </w:pPr>
      <w:r>
        <w:t>On the 26 December, the price of raise six second services in Tasmania reached $1363</w:t>
      </w:r>
      <w:r w:rsidR="009A4EAA">
        <w:t>/MW</w:t>
      </w:r>
      <w:r w:rsidR="002B4F35">
        <w:t xml:space="preserve"> at 6.25 pm. This was a result of increased local raise six second service requirements </w:t>
      </w:r>
      <w:r w:rsidR="002B4F35">
        <w:lastRenderedPageBreak/>
        <w:t xml:space="preserve">associated with managing a generation event in Tasmania where </w:t>
      </w:r>
      <w:proofErr w:type="spellStart"/>
      <w:r w:rsidR="002B4F35">
        <w:t>Basslin</w:t>
      </w:r>
      <w:r w:rsidR="00BA0CBB">
        <w:t>k</w:t>
      </w:r>
      <w:proofErr w:type="spellEnd"/>
      <w:r w:rsidR="00BA0CBB">
        <w:t xml:space="preserve"> is unable to transfer FCAS.</w:t>
      </w:r>
    </w:p>
    <w:p w:rsidR="00950B15" w:rsidRPr="0067180B" w:rsidRDefault="00950B15" w:rsidP="00950B15">
      <w:pPr>
        <w:pStyle w:val="AERHeading1"/>
        <w:keepNext/>
        <w:rPr>
          <w:rFonts w:cs="Arial"/>
        </w:rPr>
      </w:pPr>
      <w:r w:rsidRPr="0067180B">
        <w:rPr>
          <w:rFonts w:cs="Arial"/>
        </w:rPr>
        <w:t>Detailed market analysis of significant price events</w:t>
      </w:r>
    </w:p>
    <w:p w:rsidR="00F74FC8" w:rsidRPr="00A41727" w:rsidRDefault="00950B15" w:rsidP="00A41727">
      <w:pPr>
        <w:pStyle w:val="AERbodytext"/>
        <w:spacing w:before="120" w:after="120"/>
        <w:rPr>
          <w:bCs/>
          <w:lang w:eastAsia="en-AU"/>
        </w:rPr>
      </w:pPr>
      <w:r w:rsidRPr="0067180B">
        <w:rPr>
          <w:bCs/>
          <w:lang w:eastAsia="en-AU"/>
        </w:rPr>
        <w:t xml:space="preserve">We provide more detailed analysis of events where the spot price was greater than three times the weekly average price in a region and above $250/MWh or was below </w:t>
      </w:r>
      <w:r w:rsidRPr="0067180B">
        <w:rPr>
          <w:bCs/>
          <w:lang w:eastAsia="en-AU"/>
        </w:rPr>
        <w:noBreakHyphen/>
        <w:t xml:space="preserve">$100/MWh. </w:t>
      </w:r>
    </w:p>
    <w:p w:rsidR="0075734E" w:rsidRPr="0067180B" w:rsidRDefault="0075734E" w:rsidP="0075734E">
      <w:pPr>
        <w:pStyle w:val="AERHeading3"/>
      </w:pPr>
      <w:r>
        <w:t>Tasmania</w:t>
      </w:r>
    </w:p>
    <w:p w:rsidR="0075734E" w:rsidRPr="00A41727" w:rsidRDefault="0075734E" w:rsidP="0075734E">
      <w:pPr>
        <w:rPr>
          <w:rFonts w:eastAsia="Times New Roman" w:cs="Times New Roman"/>
          <w:szCs w:val="20"/>
          <w:lang w:eastAsia="en-AU"/>
        </w:rPr>
      </w:pPr>
      <w:r w:rsidRPr="00A41727">
        <w:rPr>
          <w:rFonts w:eastAsia="Times New Roman" w:cs="Times New Roman"/>
          <w:szCs w:val="20"/>
          <w:lang w:eastAsia="en-AU"/>
        </w:rPr>
        <w:t>There was one occasion where the spot price in Tasmania was greater than three times the Tasm</w:t>
      </w:r>
      <w:r>
        <w:rPr>
          <w:rFonts w:eastAsia="Times New Roman" w:cs="Times New Roman"/>
          <w:szCs w:val="20"/>
          <w:lang w:eastAsia="en-AU"/>
        </w:rPr>
        <w:t>ania weekly average price of $104</w:t>
      </w:r>
      <w:r w:rsidRPr="00A41727">
        <w:rPr>
          <w:rFonts w:eastAsia="Times New Roman" w:cs="Times New Roman"/>
          <w:szCs w:val="20"/>
          <w:lang w:eastAsia="en-AU"/>
        </w:rPr>
        <w:t>/MWh and above $250/MWh.</w:t>
      </w:r>
    </w:p>
    <w:p w:rsidR="0075734E" w:rsidRPr="0067180B" w:rsidRDefault="0075734E" w:rsidP="0075734E">
      <w:pPr>
        <w:pStyle w:val="AERHeading3"/>
      </w:pPr>
      <w:r>
        <w:t>Sunday, 20 December</w:t>
      </w:r>
      <w:r w:rsidRPr="0067180B">
        <w:t xml:space="preserve"> </w:t>
      </w:r>
    </w:p>
    <w:p w:rsidR="0075734E" w:rsidRPr="0067180B" w:rsidRDefault="0075734E" w:rsidP="0075734E">
      <w:pPr>
        <w:pStyle w:val="Caption"/>
      </w:pPr>
      <w:r>
        <w:t>Table 3</w:t>
      </w:r>
      <w:r w:rsidRPr="0067180B">
        <w:t>: Price, Demand and Availability</w:t>
      </w:r>
    </w:p>
    <w:tbl>
      <w:tblPr>
        <w:tblStyle w:val="AERTable-Text"/>
        <w:tblW w:w="5000" w:type="pct"/>
        <w:tblLook w:val="04A0" w:firstRow="1" w:lastRow="0" w:firstColumn="1" w:lastColumn="0" w:noHBand="0" w:noVBand="1"/>
      </w:tblPr>
      <w:tblGrid>
        <w:gridCol w:w="986"/>
        <w:gridCol w:w="1129"/>
        <w:gridCol w:w="928"/>
        <w:gridCol w:w="928"/>
        <w:gridCol w:w="773"/>
        <w:gridCol w:w="928"/>
        <w:gridCol w:w="928"/>
        <w:gridCol w:w="786"/>
        <w:gridCol w:w="928"/>
        <w:gridCol w:w="928"/>
      </w:tblGrid>
      <w:tr w:rsidR="0075734E" w:rsidRPr="0067180B" w:rsidTr="00C3187B">
        <w:trPr>
          <w:cnfStyle w:val="100000000000" w:firstRow="1" w:lastRow="0" w:firstColumn="0" w:lastColumn="0" w:oddVBand="0" w:evenVBand="0" w:oddHBand="0" w:evenHBand="0" w:firstRowFirstColumn="0" w:firstRowLastColumn="0" w:lastRowFirstColumn="0" w:lastRowLastColumn="0"/>
          <w:tblHeader/>
        </w:trPr>
        <w:tc>
          <w:tcPr>
            <w:tcW w:w="533" w:type="pct"/>
            <w:hideMark/>
          </w:tcPr>
          <w:p w:rsidR="0075734E" w:rsidRPr="0067180B" w:rsidRDefault="0075734E" w:rsidP="00C3187B">
            <w:pPr>
              <w:pStyle w:val="TableHeading"/>
              <w:jc w:val="center"/>
              <w:rPr>
                <w:rFonts w:cs="Arial"/>
                <w:sz w:val="20"/>
                <w:szCs w:val="20"/>
              </w:rPr>
            </w:pPr>
            <w:r w:rsidRPr="0067180B">
              <w:rPr>
                <w:rFonts w:cs="Arial"/>
                <w:sz w:val="20"/>
                <w:szCs w:val="20"/>
              </w:rPr>
              <w:t xml:space="preserve">Time </w:t>
            </w:r>
          </w:p>
        </w:tc>
        <w:tc>
          <w:tcPr>
            <w:tcW w:w="1615" w:type="pct"/>
            <w:gridSpan w:val="3"/>
            <w:hideMark/>
          </w:tcPr>
          <w:p w:rsidR="0075734E" w:rsidRPr="0067180B" w:rsidRDefault="0075734E" w:rsidP="00C3187B">
            <w:pPr>
              <w:pStyle w:val="TableHeading"/>
              <w:jc w:val="center"/>
              <w:rPr>
                <w:rFonts w:cs="Arial"/>
                <w:sz w:val="20"/>
                <w:szCs w:val="20"/>
              </w:rPr>
            </w:pPr>
            <w:r w:rsidRPr="0067180B">
              <w:rPr>
                <w:rFonts w:cs="Arial"/>
                <w:sz w:val="20"/>
                <w:szCs w:val="20"/>
              </w:rPr>
              <w:t>Price ($/MWh)</w:t>
            </w:r>
          </w:p>
        </w:tc>
        <w:tc>
          <w:tcPr>
            <w:tcW w:w="1422" w:type="pct"/>
            <w:gridSpan w:val="3"/>
            <w:hideMark/>
          </w:tcPr>
          <w:p w:rsidR="0075734E" w:rsidRPr="0067180B" w:rsidRDefault="0075734E" w:rsidP="00C3187B">
            <w:pPr>
              <w:pStyle w:val="TableHeading"/>
              <w:jc w:val="center"/>
              <w:rPr>
                <w:rFonts w:cs="Arial"/>
                <w:sz w:val="20"/>
                <w:szCs w:val="20"/>
              </w:rPr>
            </w:pPr>
            <w:r w:rsidRPr="0067180B">
              <w:rPr>
                <w:rFonts w:cs="Arial"/>
                <w:sz w:val="20"/>
                <w:szCs w:val="20"/>
              </w:rPr>
              <w:t>Demand (MW)</w:t>
            </w:r>
          </w:p>
        </w:tc>
        <w:tc>
          <w:tcPr>
            <w:tcW w:w="1429" w:type="pct"/>
            <w:gridSpan w:val="3"/>
            <w:hideMark/>
          </w:tcPr>
          <w:p w:rsidR="0075734E" w:rsidRPr="0067180B" w:rsidRDefault="0075734E" w:rsidP="00C3187B">
            <w:pPr>
              <w:pStyle w:val="TableHeading"/>
              <w:jc w:val="center"/>
              <w:rPr>
                <w:rFonts w:cs="Arial"/>
                <w:sz w:val="20"/>
                <w:szCs w:val="20"/>
              </w:rPr>
            </w:pPr>
            <w:r w:rsidRPr="0067180B">
              <w:rPr>
                <w:rFonts w:cs="Arial"/>
                <w:sz w:val="20"/>
                <w:szCs w:val="20"/>
              </w:rPr>
              <w:t>Availability (MW)</w:t>
            </w:r>
          </w:p>
        </w:tc>
      </w:tr>
      <w:tr w:rsidR="0075734E" w:rsidRPr="0067180B" w:rsidTr="00C3187B">
        <w:trPr>
          <w:cnfStyle w:val="100000000000" w:firstRow="1" w:lastRow="0" w:firstColumn="0" w:lastColumn="0" w:oddVBand="0" w:evenVBand="0" w:oddHBand="0" w:evenHBand="0" w:firstRowFirstColumn="0" w:firstRowLastColumn="0" w:lastRowFirstColumn="0" w:lastRowLastColumn="0"/>
          <w:tblHeader/>
        </w:trPr>
        <w:tc>
          <w:tcPr>
            <w:tcW w:w="533" w:type="pct"/>
            <w:shd w:val="clear" w:color="auto" w:fill="007192" w:themeFill="accent3" w:themeFillShade="BF"/>
            <w:hideMark/>
          </w:tcPr>
          <w:p w:rsidR="0075734E" w:rsidRPr="0067180B" w:rsidRDefault="0075734E" w:rsidP="00C3187B">
            <w:pPr>
              <w:pStyle w:val="tableheadingline2"/>
              <w:rPr>
                <w:rFonts w:cs="Arial"/>
                <w:sz w:val="20"/>
                <w:szCs w:val="20"/>
              </w:rPr>
            </w:pPr>
            <w:r w:rsidRPr="0067180B">
              <w:rPr>
                <w:rFonts w:cs="Arial"/>
                <w:sz w:val="20"/>
                <w:szCs w:val="20"/>
              </w:rPr>
              <w:t> </w:t>
            </w:r>
          </w:p>
        </w:tc>
        <w:tc>
          <w:tcPr>
            <w:tcW w:w="611" w:type="pct"/>
            <w:shd w:val="clear" w:color="auto" w:fill="007192" w:themeFill="accent3" w:themeFillShade="BF"/>
            <w:hideMark/>
          </w:tcPr>
          <w:p w:rsidR="0075734E" w:rsidRPr="0067180B" w:rsidRDefault="0075734E" w:rsidP="00C3187B">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75734E" w:rsidRPr="0067180B" w:rsidRDefault="0075734E" w:rsidP="00C3187B">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75734E" w:rsidRPr="0067180B" w:rsidRDefault="0075734E" w:rsidP="00C3187B">
            <w:pPr>
              <w:pStyle w:val="tableheadingline2"/>
              <w:rPr>
                <w:rFonts w:cs="Arial"/>
                <w:sz w:val="20"/>
                <w:szCs w:val="20"/>
              </w:rPr>
            </w:pPr>
            <w:r w:rsidRPr="0067180B">
              <w:rPr>
                <w:rFonts w:cs="Arial"/>
                <w:sz w:val="20"/>
                <w:szCs w:val="20"/>
              </w:rPr>
              <w:t>12 hr forecast</w:t>
            </w:r>
          </w:p>
        </w:tc>
        <w:tc>
          <w:tcPr>
            <w:tcW w:w="418" w:type="pct"/>
            <w:shd w:val="clear" w:color="auto" w:fill="007192" w:themeFill="accent3" w:themeFillShade="BF"/>
            <w:hideMark/>
          </w:tcPr>
          <w:p w:rsidR="0075734E" w:rsidRPr="0067180B" w:rsidRDefault="0075734E" w:rsidP="00C3187B">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75734E" w:rsidRPr="0067180B" w:rsidRDefault="0075734E" w:rsidP="00C3187B">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75734E" w:rsidRPr="0067180B" w:rsidRDefault="0075734E" w:rsidP="00C3187B">
            <w:pPr>
              <w:pStyle w:val="tableheadingline2"/>
              <w:rPr>
                <w:rFonts w:cs="Arial"/>
                <w:sz w:val="20"/>
                <w:szCs w:val="20"/>
              </w:rPr>
            </w:pPr>
            <w:r w:rsidRPr="0067180B">
              <w:rPr>
                <w:rFonts w:cs="Arial"/>
                <w:sz w:val="20"/>
                <w:szCs w:val="20"/>
              </w:rPr>
              <w:t>12 hr forecast</w:t>
            </w:r>
          </w:p>
        </w:tc>
        <w:tc>
          <w:tcPr>
            <w:tcW w:w="425" w:type="pct"/>
            <w:shd w:val="clear" w:color="auto" w:fill="007192" w:themeFill="accent3" w:themeFillShade="BF"/>
            <w:hideMark/>
          </w:tcPr>
          <w:p w:rsidR="0075734E" w:rsidRPr="0067180B" w:rsidRDefault="0075734E" w:rsidP="00C3187B">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75734E" w:rsidRPr="0067180B" w:rsidRDefault="0075734E" w:rsidP="00C3187B">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75734E" w:rsidRPr="0067180B" w:rsidRDefault="0075734E" w:rsidP="00C3187B">
            <w:pPr>
              <w:pStyle w:val="tableheadingline2"/>
              <w:rPr>
                <w:rFonts w:cs="Arial"/>
                <w:sz w:val="20"/>
                <w:szCs w:val="20"/>
              </w:rPr>
            </w:pPr>
            <w:r w:rsidRPr="0067180B">
              <w:rPr>
                <w:rFonts w:cs="Arial"/>
                <w:sz w:val="20"/>
                <w:szCs w:val="20"/>
              </w:rPr>
              <w:t>12 hr forecast</w:t>
            </w:r>
          </w:p>
        </w:tc>
      </w:tr>
      <w:tr w:rsidR="0075734E" w:rsidRPr="0067180B" w:rsidTr="00C3187B">
        <w:trPr>
          <w:trHeight w:val="510"/>
        </w:trPr>
        <w:tc>
          <w:tcPr>
            <w:tcW w:w="533" w:type="pct"/>
            <w:vAlign w:val="center"/>
          </w:tcPr>
          <w:p w:rsidR="0075734E" w:rsidRPr="000070C4" w:rsidRDefault="0075734E" w:rsidP="00C3187B">
            <w:pPr>
              <w:pStyle w:val="NormalWeb"/>
              <w:jc w:val="center"/>
              <w:rPr>
                <w:rFonts w:asciiTheme="minorHAnsi" w:hAnsiTheme="minorHAnsi" w:cstheme="minorHAnsi"/>
                <w:sz w:val="18"/>
              </w:rPr>
            </w:pPr>
            <w:r>
              <w:rPr>
                <w:rFonts w:asciiTheme="minorHAnsi" w:hAnsiTheme="minorHAnsi" w:cstheme="minorHAnsi"/>
                <w:b/>
                <w:bCs/>
                <w:sz w:val="18"/>
                <w:szCs w:val="16"/>
              </w:rPr>
              <w:t>2</w:t>
            </w:r>
            <w:r w:rsidRPr="000070C4">
              <w:rPr>
                <w:rFonts w:asciiTheme="minorHAnsi" w:hAnsiTheme="minorHAnsi" w:cstheme="minorHAnsi"/>
                <w:b/>
                <w:bCs/>
                <w:sz w:val="18"/>
                <w:szCs w:val="16"/>
              </w:rPr>
              <w:t xml:space="preserve">:30 </w:t>
            </w:r>
            <w:r>
              <w:rPr>
                <w:rFonts w:asciiTheme="minorHAnsi" w:hAnsiTheme="minorHAnsi" w:cstheme="minorHAnsi"/>
                <w:b/>
                <w:bCs/>
                <w:sz w:val="18"/>
                <w:szCs w:val="16"/>
              </w:rPr>
              <w:t>pm</w:t>
            </w:r>
          </w:p>
        </w:tc>
        <w:tc>
          <w:tcPr>
            <w:tcW w:w="611" w:type="pct"/>
            <w:vAlign w:val="center"/>
          </w:tcPr>
          <w:p w:rsidR="0075734E" w:rsidRPr="000070C4" w:rsidRDefault="0075734E" w:rsidP="00C3187B">
            <w:pPr>
              <w:pStyle w:val="NormalWeb"/>
              <w:jc w:val="center"/>
              <w:rPr>
                <w:rFonts w:asciiTheme="minorHAnsi" w:hAnsiTheme="minorHAnsi" w:cstheme="minorHAnsi"/>
                <w:sz w:val="18"/>
              </w:rPr>
            </w:pPr>
            <w:r>
              <w:rPr>
                <w:rFonts w:asciiTheme="minorHAnsi" w:hAnsiTheme="minorHAnsi" w:cstheme="minorHAnsi"/>
                <w:sz w:val="18"/>
                <w:szCs w:val="16"/>
              </w:rPr>
              <w:t>1993</w:t>
            </w:r>
            <w:r w:rsidRPr="000070C4">
              <w:rPr>
                <w:rFonts w:asciiTheme="minorHAnsi" w:hAnsiTheme="minorHAnsi" w:cstheme="minorHAnsi"/>
                <w:sz w:val="18"/>
                <w:szCs w:val="16"/>
              </w:rPr>
              <w:t>.</w:t>
            </w:r>
            <w:r>
              <w:rPr>
                <w:rFonts w:asciiTheme="minorHAnsi" w:hAnsiTheme="minorHAnsi" w:cstheme="minorHAnsi"/>
                <w:sz w:val="18"/>
                <w:szCs w:val="16"/>
              </w:rPr>
              <w:t>58</w:t>
            </w:r>
          </w:p>
        </w:tc>
        <w:tc>
          <w:tcPr>
            <w:tcW w:w="502" w:type="pct"/>
            <w:vAlign w:val="center"/>
          </w:tcPr>
          <w:p w:rsidR="0075734E" w:rsidRPr="000070C4" w:rsidRDefault="0075734E" w:rsidP="00C3187B">
            <w:pPr>
              <w:pStyle w:val="NormalWeb"/>
              <w:jc w:val="center"/>
              <w:rPr>
                <w:rFonts w:asciiTheme="minorHAnsi" w:hAnsiTheme="minorHAnsi" w:cstheme="minorHAnsi"/>
                <w:sz w:val="18"/>
              </w:rPr>
            </w:pPr>
            <w:r>
              <w:rPr>
                <w:rFonts w:asciiTheme="minorHAnsi" w:hAnsiTheme="minorHAnsi" w:cstheme="minorHAnsi"/>
                <w:sz w:val="18"/>
                <w:szCs w:val="16"/>
              </w:rPr>
              <w:t>84.77</w:t>
            </w:r>
          </w:p>
        </w:tc>
        <w:tc>
          <w:tcPr>
            <w:tcW w:w="502" w:type="pct"/>
            <w:vAlign w:val="center"/>
          </w:tcPr>
          <w:p w:rsidR="0075734E" w:rsidRPr="000070C4" w:rsidRDefault="0075734E" w:rsidP="00C3187B">
            <w:pPr>
              <w:pStyle w:val="NormalWeb"/>
              <w:jc w:val="center"/>
              <w:rPr>
                <w:rFonts w:asciiTheme="minorHAnsi" w:hAnsiTheme="minorHAnsi" w:cstheme="minorHAnsi"/>
                <w:sz w:val="18"/>
              </w:rPr>
            </w:pPr>
            <w:r>
              <w:rPr>
                <w:rFonts w:asciiTheme="minorHAnsi" w:hAnsiTheme="minorHAnsi" w:cstheme="minorHAnsi"/>
                <w:sz w:val="18"/>
                <w:szCs w:val="16"/>
              </w:rPr>
              <w:t>81.03</w:t>
            </w:r>
          </w:p>
        </w:tc>
        <w:tc>
          <w:tcPr>
            <w:tcW w:w="418" w:type="pct"/>
            <w:vAlign w:val="center"/>
          </w:tcPr>
          <w:p w:rsidR="0075734E" w:rsidRPr="000070C4" w:rsidRDefault="0075734E" w:rsidP="00C3187B">
            <w:pPr>
              <w:pStyle w:val="NormalWeb"/>
              <w:jc w:val="center"/>
              <w:rPr>
                <w:rFonts w:asciiTheme="minorHAnsi" w:hAnsiTheme="minorHAnsi" w:cstheme="minorHAnsi"/>
                <w:sz w:val="18"/>
              </w:rPr>
            </w:pPr>
            <w:r>
              <w:rPr>
                <w:rFonts w:asciiTheme="minorHAnsi" w:hAnsiTheme="minorHAnsi" w:cstheme="minorHAnsi"/>
                <w:sz w:val="18"/>
                <w:szCs w:val="16"/>
              </w:rPr>
              <w:t>894</w:t>
            </w:r>
          </w:p>
        </w:tc>
        <w:tc>
          <w:tcPr>
            <w:tcW w:w="502" w:type="pct"/>
            <w:vAlign w:val="center"/>
          </w:tcPr>
          <w:p w:rsidR="0075734E" w:rsidRPr="000070C4" w:rsidRDefault="0075734E" w:rsidP="00C3187B">
            <w:pPr>
              <w:pStyle w:val="NormalWeb"/>
              <w:jc w:val="center"/>
              <w:rPr>
                <w:rFonts w:asciiTheme="minorHAnsi" w:hAnsiTheme="minorHAnsi" w:cstheme="minorHAnsi"/>
                <w:sz w:val="18"/>
              </w:rPr>
            </w:pPr>
            <w:r>
              <w:rPr>
                <w:rFonts w:asciiTheme="minorHAnsi" w:hAnsiTheme="minorHAnsi" w:cstheme="minorHAnsi"/>
                <w:sz w:val="18"/>
                <w:szCs w:val="16"/>
              </w:rPr>
              <w:t>1019</w:t>
            </w:r>
          </w:p>
        </w:tc>
        <w:tc>
          <w:tcPr>
            <w:tcW w:w="502" w:type="pct"/>
            <w:vAlign w:val="center"/>
          </w:tcPr>
          <w:p w:rsidR="0075734E" w:rsidRPr="000070C4" w:rsidRDefault="0075734E" w:rsidP="00C3187B">
            <w:pPr>
              <w:pStyle w:val="NormalWeb"/>
              <w:jc w:val="center"/>
              <w:rPr>
                <w:rFonts w:asciiTheme="minorHAnsi" w:hAnsiTheme="minorHAnsi" w:cstheme="minorHAnsi"/>
                <w:sz w:val="18"/>
              </w:rPr>
            </w:pPr>
            <w:r>
              <w:rPr>
                <w:rFonts w:asciiTheme="minorHAnsi" w:hAnsiTheme="minorHAnsi" w:cstheme="minorHAnsi"/>
                <w:sz w:val="18"/>
                <w:szCs w:val="16"/>
              </w:rPr>
              <w:t>1028</w:t>
            </w:r>
          </w:p>
        </w:tc>
        <w:tc>
          <w:tcPr>
            <w:tcW w:w="425" w:type="pct"/>
            <w:vAlign w:val="center"/>
          </w:tcPr>
          <w:p w:rsidR="0075734E" w:rsidRPr="000070C4" w:rsidRDefault="0075734E" w:rsidP="00C3187B">
            <w:pPr>
              <w:pStyle w:val="NormalWeb"/>
              <w:jc w:val="center"/>
              <w:rPr>
                <w:rFonts w:asciiTheme="minorHAnsi" w:hAnsiTheme="minorHAnsi" w:cstheme="minorHAnsi"/>
                <w:sz w:val="18"/>
              </w:rPr>
            </w:pPr>
            <w:r>
              <w:rPr>
                <w:rFonts w:asciiTheme="minorHAnsi" w:hAnsiTheme="minorHAnsi" w:cstheme="minorHAnsi"/>
                <w:sz w:val="18"/>
                <w:szCs w:val="16"/>
              </w:rPr>
              <w:t>2189</w:t>
            </w:r>
          </w:p>
        </w:tc>
        <w:tc>
          <w:tcPr>
            <w:tcW w:w="502" w:type="pct"/>
            <w:vAlign w:val="center"/>
          </w:tcPr>
          <w:p w:rsidR="0075734E" w:rsidRPr="000070C4" w:rsidRDefault="0075734E" w:rsidP="00C3187B">
            <w:pPr>
              <w:pStyle w:val="NormalWeb"/>
              <w:jc w:val="center"/>
              <w:rPr>
                <w:rFonts w:asciiTheme="minorHAnsi" w:hAnsiTheme="minorHAnsi" w:cstheme="minorHAnsi"/>
                <w:sz w:val="18"/>
              </w:rPr>
            </w:pPr>
            <w:r>
              <w:rPr>
                <w:rFonts w:asciiTheme="minorHAnsi" w:hAnsiTheme="minorHAnsi" w:cstheme="minorHAnsi"/>
                <w:sz w:val="18"/>
                <w:szCs w:val="16"/>
              </w:rPr>
              <w:t>2286</w:t>
            </w:r>
          </w:p>
        </w:tc>
        <w:tc>
          <w:tcPr>
            <w:tcW w:w="502" w:type="pct"/>
            <w:vAlign w:val="center"/>
          </w:tcPr>
          <w:p w:rsidR="0075734E" w:rsidRPr="000070C4" w:rsidRDefault="0075734E" w:rsidP="00C3187B">
            <w:pPr>
              <w:pStyle w:val="NormalWeb"/>
              <w:jc w:val="center"/>
              <w:rPr>
                <w:rFonts w:asciiTheme="minorHAnsi" w:hAnsiTheme="minorHAnsi" w:cstheme="minorHAnsi"/>
                <w:sz w:val="18"/>
              </w:rPr>
            </w:pPr>
            <w:r>
              <w:rPr>
                <w:rFonts w:asciiTheme="minorHAnsi" w:hAnsiTheme="minorHAnsi" w:cstheme="minorHAnsi"/>
                <w:sz w:val="18"/>
                <w:szCs w:val="16"/>
              </w:rPr>
              <w:t>2287</w:t>
            </w:r>
          </w:p>
        </w:tc>
      </w:tr>
    </w:tbl>
    <w:p w:rsidR="0075734E" w:rsidRDefault="0075734E" w:rsidP="00896A23">
      <w:pPr>
        <w:pStyle w:val="AERbodytext"/>
      </w:pPr>
      <w:r>
        <w:t>Conditions at the time saw demand 125</w:t>
      </w:r>
      <w:r w:rsidR="00CF0539">
        <w:t> </w:t>
      </w:r>
      <w:r>
        <w:t>MW less than forecast four hours ahead and available capacity less than 97</w:t>
      </w:r>
      <w:r w:rsidR="00CF0539">
        <w:t> </w:t>
      </w:r>
      <w:r>
        <w:t xml:space="preserve">MW less than forecast four hours ahead. </w:t>
      </w:r>
    </w:p>
    <w:p w:rsidR="0075734E" w:rsidRDefault="0075734E" w:rsidP="00896A23">
      <w:pPr>
        <w:pStyle w:val="AERbodytext"/>
      </w:pPr>
      <w:r>
        <w:t>At around 2.25</w:t>
      </w:r>
      <w:r w:rsidR="00CF0539">
        <w:t> </w:t>
      </w:r>
      <w:r>
        <w:t xml:space="preserve">pm, a fault occurred on the </w:t>
      </w:r>
      <w:proofErr w:type="spellStart"/>
      <w:r>
        <w:t>Basslink</w:t>
      </w:r>
      <w:proofErr w:type="spellEnd"/>
      <w:r>
        <w:t xml:space="preserve"> interconnector, separating Tasmania from the National Electricity Market. At the same time, demand increased by 132</w:t>
      </w:r>
      <w:r w:rsidR="00CF0539">
        <w:t> </w:t>
      </w:r>
      <w:r>
        <w:t xml:space="preserve">MW. The loss of </w:t>
      </w:r>
      <w:proofErr w:type="spellStart"/>
      <w:r>
        <w:t>Basslink</w:t>
      </w:r>
      <w:proofErr w:type="spellEnd"/>
      <w:r>
        <w:t xml:space="preserve"> meant that </w:t>
      </w:r>
      <w:r w:rsidR="00CF0539">
        <w:t>all of Tasmania’s energy</w:t>
      </w:r>
      <w:r>
        <w:t xml:space="preserve"> and FCAS requirements had to be sourced locally. With cheaper generation either rate ramp limited or stranded, higher priced generation had to be dispatched to meet demand and FCAS requirements. </w:t>
      </w:r>
      <w:r w:rsidR="00BE3C5A">
        <w:t xml:space="preserve">Consequently </w:t>
      </w:r>
      <w:r>
        <w:t xml:space="preserve">the dispatch price </w:t>
      </w:r>
      <w:r w:rsidR="00BE3C5A">
        <w:t>increased</w:t>
      </w:r>
      <w:r w:rsidR="00CF0539">
        <w:t xml:space="preserve"> from $40/MWh at 2.20 </w:t>
      </w:r>
      <w:r>
        <w:t>pm to $11</w:t>
      </w:r>
      <w:r w:rsidR="00CF0539">
        <w:t> </w:t>
      </w:r>
      <w:r>
        <w:t>7</w:t>
      </w:r>
      <w:r w:rsidR="00CF0539">
        <w:t xml:space="preserve">07/MWh </w:t>
      </w:r>
      <w:r w:rsidR="00BE3C5A">
        <w:t xml:space="preserve">and at 2.25 pm the </w:t>
      </w:r>
      <w:r>
        <w:t>ra</w:t>
      </w:r>
      <w:r w:rsidR="00BE3C5A">
        <w:t>ise regulation service price increased</w:t>
      </w:r>
      <w:r w:rsidR="00CF0539">
        <w:t xml:space="preserve"> from $2/MW at 2.20 pm to $11 </w:t>
      </w:r>
      <w:r>
        <w:t xml:space="preserve">711/MW. </w:t>
      </w:r>
      <w:r w:rsidR="00BE3C5A">
        <w:t>All other FCAS prices remained low.</w:t>
      </w:r>
    </w:p>
    <w:p w:rsidR="0075734E" w:rsidRDefault="0075734E" w:rsidP="00896A23">
      <w:pPr>
        <w:pStyle w:val="AERbodytext"/>
      </w:pPr>
      <w:r>
        <w:t xml:space="preserve">The </w:t>
      </w:r>
      <w:r w:rsidR="00CF0539">
        <w:t xml:space="preserve">energy </w:t>
      </w:r>
      <w:r>
        <w:t xml:space="preserve">and raise regulation services fell in the following dispatch interval as local generators were no longer ramp rate limited or stranded. </w:t>
      </w:r>
    </w:p>
    <w:p w:rsidR="006B6B3E" w:rsidRPr="0075734E" w:rsidRDefault="006B6B3E" w:rsidP="00896A23">
      <w:pPr>
        <w:pStyle w:val="AERbodytext"/>
      </w:pPr>
      <w:r>
        <w:t xml:space="preserve">The AER understands that this fault may make </w:t>
      </w:r>
      <w:proofErr w:type="spellStart"/>
      <w:r>
        <w:t>Basslink</w:t>
      </w:r>
      <w:proofErr w:type="spellEnd"/>
      <w:r>
        <w:t xml:space="preserve"> unavailable for </w:t>
      </w:r>
      <w:r w:rsidR="00896A23">
        <w:t>around 60 days</w:t>
      </w:r>
      <w:r>
        <w:t>.</w:t>
      </w:r>
    </w:p>
    <w:p w:rsidR="00855A23" w:rsidRPr="0067180B" w:rsidRDefault="00CF15CC" w:rsidP="00855A23">
      <w:pPr>
        <w:pStyle w:val="AERHeading3"/>
      </w:pPr>
      <w:r>
        <w:t>South Australia</w:t>
      </w:r>
    </w:p>
    <w:p w:rsidR="00A41727" w:rsidRPr="00BA0CBB" w:rsidRDefault="00CF15CC" w:rsidP="00BA0CBB">
      <w:pPr>
        <w:pStyle w:val="AERbodytext"/>
      </w:pPr>
      <w:r w:rsidRPr="00BA0CBB">
        <w:t>There were five</w:t>
      </w:r>
      <w:r w:rsidR="00A41727" w:rsidRPr="00BA0CBB">
        <w:t xml:space="preserve"> occasion</w:t>
      </w:r>
      <w:r w:rsidRPr="00BA0CBB">
        <w:t>s</w:t>
      </w:r>
      <w:r w:rsidR="00A41727" w:rsidRPr="00BA0CBB">
        <w:t xml:space="preserve"> where t</w:t>
      </w:r>
      <w:r w:rsidRPr="00BA0CBB">
        <w:t>he spot price in South Australia</w:t>
      </w:r>
      <w:r w:rsidR="00A41727" w:rsidRPr="00BA0CBB">
        <w:t xml:space="preserve"> was greater than three times the </w:t>
      </w:r>
      <w:r w:rsidR="0075734E" w:rsidRPr="00BA0CBB">
        <w:t>South Australia</w:t>
      </w:r>
      <w:r w:rsidRPr="00BA0CBB">
        <w:t xml:space="preserve"> weekly average price of $55</w:t>
      </w:r>
      <w:r w:rsidR="00A41727" w:rsidRPr="00BA0CBB">
        <w:t>/MWh and above $250/MWh.</w:t>
      </w:r>
    </w:p>
    <w:p w:rsidR="00A17C7C" w:rsidRPr="0067180B" w:rsidRDefault="00CF15CC" w:rsidP="00A17C7C">
      <w:pPr>
        <w:pStyle w:val="AERHeading3"/>
      </w:pPr>
      <w:r>
        <w:t>Thursday, 24</w:t>
      </w:r>
      <w:r w:rsidR="00A17C7C">
        <w:t xml:space="preserve"> </w:t>
      </w:r>
      <w:r w:rsidR="00E64CEC">
        <w:t>December</w:t>
      </w:r>
      <w:r w:rsidR="00A17C7C" w:rsidRPr="0067180B">
        <w:t xml:space="preserve"> </w:t>
      </w:r>
    </w:p>
    <w:p w:rsidR="00A17C7C" w:rsidRPr="0067180B" w:rsidRDefault="0075734E" w:rsidP="00A17C7C">
      <w:pPr>
        <w:pStyle w:val="Caption"/>
      </w:pPr>
      <w:r>
        <w:t>Table 4</w:t>
      </w:r>
      <w:r w:rsidR="00A17C7C" w:rsidRPr="0067180B">
        <w:t>: Price, Demand and Availability</w:t>
      </w:r>
    </w:p>
    <w:tbl>
      <w:tblPr>
        <w:tblStyle w:val="AERTable-Text"/>
        <w:tblW w:w="5128" w:type="pct"/>
        <w:tblLook w:val="04A0" w:firstRow="1" w:lastRow="0" w:firstColumn="1" w:lastColumn="0" w:noHBand="0" w:noVBand="1"/>
      </w:tblPr>
      <w:tblGrid>
        <w:gridCol w:w="1102"/>
        <w:gridCol w:w="1014"/>
        <w:gridCol w:w="929"/>
        <w:gridCol w:w="929"/>
        <w:gridCol w:w="773"/>
        <w:gridCol w:w="929"/>
        <w:gridCol w:w="929"/>
        <w:gridCol w:w="787"/>
        <w:gridCol w:w="929"/>
        <w:gridCol w:w="1158"/>
      </w:tblGrid>
      <w:tr w:rsidR="00A17C7C" w:rsidRPr="00BE3C5A" w:rsidTr="00BE3C5A">
        <w:trPr>
          <w:cnfStyle w:val="100000000000" w:firstRow="1" w:lastRow="0" w:firstColumn="0" w:lastColumn="0" w:oddVBand="0" w:evenVBand="0" w:oddHBand="0" w:evenHBand="0" w:firstRowFirstColumn="0" w:firstRowLastColumn="0" w:lastRowFirstColumn="0" w:lastRowLastColumn="0"/>
          <w:tblHeader/>
        </w:trPr>
        <w:tc>
          <w:tcPr>
            <w:tcW w:w="581" w:type="pct"/>
            <w:hideMark/>
          </w:tcPr>
          <w:p w:rsidR="00A17C7C" w:rsidRPr="00BE3C5A" w:rsidRDefault="00A17C7C" w:rsidP="002C624D">
            <w:pPr>
              <w:pStyle w:val="TableHeading"/>
              <w:jc w:val="center"/>
              <w:rPr>
                <w:rFonts w:cs="Arial"/>
                <w:b w:val="0"/>
                <w:sz w:val="20"/>
                <w:szCs w:val="20"/>
              </w:rPr>
            </w:pPr>
            <w:r w:rsidRPr="00BE3C5A">
              <w:rPr>
                <w:rFonts w:cs="Arial"/>
                <w:b w:val="0"/>
                <w:sz w:val="20"/>
                <w:szCs w:val="20"/>
              </w:rPr>
              <w:t xml:space="preserve">Time </w:t>
            </w:r>
          </w:p>
        </w:tc>
        <w:tc>
          <w:tcPr>
            <w:tcW w:w="1514" w:type="pct"/>
            <w:gridSpan w:val="3"/>
            <w:hideMark/>
          </w:tcPr>
          <w:p w:rsidR="00A17C7C" w:rsidRPr="00BE3C5A" w:rsidRDefault="00A17C7C" w:rsidP="002C624D">
            <w:pPr>
              <w:pStyle w:val="TableHeading"/>
              <w:jc w:val="center"/>
              <w:rPr>
                <w:rFonts w:cs="Arial"/>
                <w:b w:val="0"/>
                <w:sz w:val="20"/>
                <w:szCs w:val="20"/>
              </w:rPr>
            </w:pPr>
            <w:r w:rsidRPr="00BE3C5A">
              <w:rPr>
                <w:rFonts w:cs="Arial"/>
                <w:b w:val="0"/>
                <w:sz w:val="20"/>
                <w:szCs w:val="20"/>
              </w:rPr>
              <w:t>Price ($/MWh)</w:t>
            </w:r>
          </w:p>
        </w:tc>
        <w:tc>
          <w:tcPr>
            <w:tcW w:w="1387" w:type="pct"/>
            <w:gridSpan w:val="3"/>
            <w:hideMark/>
          </w:tcPr>
          <w:p w:rsidR="00A17C7C" w:rsidRPr="00BE3C5A" w:rsidRDefault="00A17C7C" w:rsidP="002C624D">
            <w:pPr>
              <w:pStyle w:val="TableHeading"/>
              <w:jc w:val="center"/>
              <w:rPr>
                <w:rFonts w:cs="Arial"/>
                <w:b w:val="0"/>
                <w:sz w:val="20"/>
                <w:szCs w:val="20"/>
              </w:rPr>
            </w:pPr>
            <w:r w:rsidRPr="00BE3C5A">
              <w:rPr>
                <w:rFonts w:cs="Arial"/>
                <w:b w:val="0"/>
                <w:sz w:val="20"/>
                <w:szCs w:val="20"/>
              </w:rPr>
              <w:t>Demand (MW)</w:t>
            </w:r>
          </w:p>
        </w:tc>
        <w:tc>
          <w:tcPr>
            <w:tcW w:w="1518" w:type="pct"/>
            <w:gridSpan w:val="3"/>
            <w:hideMark/>
          </w:tcPr>
          <w:p w:rsidR="00A17C7C" w:rsidRPr="00BE3C5A" w:rsidRDefault="00A17C7C" w:rsidP="002C624D">
            <w:pPr>
              <w:pStyle w:val="TableHeading"/>
              <w:jc w:val="center"/>
              <w:rPr>
                <w:rFonts w:cs="Arial"/>
                <w:b w:val="0"/>
                <w:sz w:val="20"/>
                <w:szCs w:val="20"/>
              </w:rPr>
            </w:pPr>
            <w:r w:rsidRPr="00BE3C5A">
              <w:rPr>
                <w:rFonts w:cs="Arial"/>
                <w:b w:val="0"/>
                <w:sz w:val="20"/>
                <w:szCs w:val="20"/>
              </w:rPr>
              <w:t>Availability (MW)</w:t>
            </w:r>
          </w:p>
        </w:tc>
      </w:tr>
      <w:tr w:rsidR="00A17C7C" w:rsidRPr="00BE3C5A" w:rsidTr="00BE3C5A">
        <w:trPr>
          <w:cnfStyle w:val="100000000000" w:firstRow="1" w:lastRow="0" w:firstColumn="0" w:lastColumn="0" w:oddVBand="0" w:evenVBand="0" w:oddHBand="0" w:evenHBand="0" w:firstRowFirstColumn="0" w:firstRowLastColumn="0" w:lastRowFirstColumn="0" w:lastRowLastColumn="0"/>
          <w:tblHeader/>
        </w:trPr>
        <w:tc>
          <w:tcPr>
            <w:tcW w:w="581" w:type="pct"/>
            <w:hideMark/>
          </w:tcPr>
          <w:p w:rsidR="00A17C7C" w:rsidRPr="00BE3C5A" w:rsidRDefault="00A17C7C" w:rsidP="002C624D">
            <w:pPr>
              <w:pStyle w:val="tableheadingline2"/>
              <w:rPr>
                <w:rFonts w:cs="Arial"/>
                <w:sz w:val="20"/>
                <w:szCs w:val="20"/>
              </w:rPr>
            </w:pPr>
            <w:r w:rsidRPr="00BE3C5A">
              <w:rPr>
                <w:rFonts w:cs="Arial"/>
                <w:sz w:val="20"/>
                <w:szCs w:val="20"/>
              </w:rPr>
              <w:t> </w:t>
            </w:r>
          </w:p>
        </w:tc>
        <w:tc>
          <w:tcPr>
            <w:tcW w:w="535" w:type="pct"/>
            <w:hideMark/>
          </w:tcPr>
          <w:p w:rsidR="00A17C7C" w:rsidRPr="00BE3C5A" w:rsidRDefault="00A17C7C" w:rsidP="002C624D">
            <w:pPr>
              <w:pStyle w:val="tableheadingline2"/>
              <w:rPr>
                <w:rFonts w:cs="Arial"/>
                <w:sz w:val="20"/>
                <w:szCs w:val="20"/>
              </w:rPr>
            </w:pPr>
            <w:r w:rsidRPr="00BE3C5A">
              <w:rPr>
                <w:rFonts w:cs="Arial"/>
                <w:sz w:val="20"/>
                <w:szCs w:val="20"/>
              </w:rPr>
              <w:t>Actual</w:t>
            </w:r>
          </w:p>
        </w:tc>
        <w:tc>
          <w:tcPr>
            <w:tcW w:w="490" w:type="pct"/>
            <w:hideMark/>
          </w:tcPr>
          <w:p w:rsidR="00A17C7C" w:rsidRPr="00BE3C5A" w:rsidRDefault="00A17C7C" w:rsidP="002C624D">
            <w:pPr>
              <w:pStyle w:val="tableheadingline2"/>
              <w:rPr>
                <w:rFonts w:cs="Arial"/>
                <w:sz w:val="20"/>
                <w:szCs w:val="20"/>
              </w:rPr>
            </w:pPr>
            <w:r w:rsidRPr="00BE3C5A">
              <w:rPr>
                <w:rFonts w:cs="Arial"/>
                <w:sz w:val="20"/>
                <w:szCs w:val="20"/>
              </w:rPr>
              <w:t>4 hr forecast</w:t>
            </w:r>
          </w:p>
        </w:tc>
        <w:tc>
          <w:tcPr>
            <w:tcW w:w="490" w:type="pct"/>
            <w:hideMark/>
          </w:tcPr>
          <w:p w:rsidR="00A17C7C" w:rsidRPr="00BE3C5A" w:rsidRDefault="00A17C7C" w:rsidP="002C624D">
            <w:pPr>
              <w:pStyle w:val="tableheadingline2"/>
              <w:rPr>
                <w:rFonts w:cs="Arial"/>
                <w:sz w:val="20"/>
                <w:szCs w:val="20"/>
              </w:rPr>
            </w:pPr>
            <w:r w:rsidRPr="00BE3C5A">
              <w:rPr>
                <w:rFonts w:cs="Arial"/>
                <w:sz w:val="20"/>
                <w:szCs w:val="20"/>
              </w:rPr>
              <w:t>12 hr forecast</w:t>
            </w:r>
          </w:p>
        </w:tc>
        <w:tc>
          <w:tcPr>
            <w:tcW w:w="408" w:type="pct"/>
            <w:hideMark/>
          </w:tcPr>
          <w:p w:rsidR="00A17C7C" w:rsidRPr="00BE3C5A" w:rsidRDefault="00A17C7C" w:rsidP="002C624D">
            <w:pPr>
              <w:pStyle w:val="tableheadingline2"/>
              <w:rPr>
                <w:rFonts w:cs="Arial"/>
                <w:sz w:val="20"/>
                <w:szCs w:val="20"/>
              </w:rPr>
            </w:pPr>
            <w:r w:rsidRPr="00BE3C5A">
              <w:rPr>
                <w:rFonts w:cs="Arial"/>
                <w:sz w:val="20"/>
                <w:szCs w:val="20"/>
              </w:rPr>
              <w:t>Actual</w:t>
            </w:r>
          </w:p>
        </w:tc>
        <w:tc>
          <w:tcPr>
            <w:tcW w:w="490" w:type="pct"/>
            <w:hideMark/>
          </w:tcPr>
          <w:p w:rsidR="00A17C7C" w:rsidRPr="00BE3C5A" w:rsidRDefault="00A17C7C" w:rsidP="002C624D">
            <w:pPr>
              <w:pStyle w:val="tableheadingline2"/>
              <w:rPr>
                <w:rFonts w:cs="Arial"/>
                <w:sz w:val="20"/>
                <w:szCs w:val="20"/>
              </w:rPr>
            </w:pPr>
            <w:r w:rsidRPr="00BE3C5A">
              <w:rPr>
                <w:rFonts w:cs="Arial"/>
                <w:sz w:val="20"/>
                <w:szCs w:val="20"/>
              </w:rPr>
              <w:t>4 hr forecast</w:t>
            </w:r>
          </w:p>
        </w:tc>
        <w:tc>
          <w:tcPr>
            <w:tcW w:w="490" w:type="pct"/>
            <w:hideMark/>
          </w:tcPr>
          <w:p w:rsidR="00A17C7C" w:rsidRPr="00BE3C5A" w:rsidRDefault="00A17C7C" w:rsidP="002C624D">
            <w:pPr>
              <w:pStyle w:val="tableheadingline2"/>
              <w:rPr>
                <w:rFonts w:cs="Arial"/>
                <w:sz w:val="20"/>
                <w:szCs w:val="20"/>
              </w:rPr>
            </w:pPr>
            <w:r w:rsidRPr="00BE3C5A">
              <w:rPr>
                <w:rFonts w:cs="Arial"/>
                <w:sz w:val="20"/>
                <w:szCs w:val="20"/>
              </w:rPr>
              <w:t>12 hr forecast</w:t>
            </w:r>
          </w:p>
        </w:tc>
        <w:tc>
          <w:tcPr>
            <w:tcW w:w="415" w:type="pct"/>
            <w:hideMark/>
          </w:tcPr>
          <w:p w:rsidR="00A17C7C" w:rsidRPr="00BE3C5A" w:rsidRDefault="00A17C7C" w:rsidP="002C624D">
            <w:pPr>
              <w:pStyle w:val="tableheadingline2"/>
              <w:rPr>
                <w:rFonts w:cs="Arial"/>
                <w:sz w:val="20"/>
                <w:szCs w:val="20"/>
              </w:rPr>
            </w:pPr>
            <w:r w:rsidRPr="00BE3C5A">
              <w:rPr>
                <w:rFonts w:cs="Arial"/>
                <w:sz w:val="20"/>
                <w:szCs w:val="20"/>
              </w:rPr>
              <w:t>Actual</w:t>
            </w:r>
          </w:p>
        </w:tc>
        <w:tc>
          <w:tcPr>
            <w:tcW w:w="490" w:type="pct"/>
            <w:hideMark/>
          </w:tcPr>
          <w:p w:rsidR="00A17C7C" w:rsidRPr="00BE3C5A" w:rsidRDefault="00A17C7C" w:rsidP="002C624D">
            <w:pPr>
              <w:pStyle w:val="tableheadingline2"/>
              <w:rPr>
                <w:rFonts w:cs="Arial"/>
                <w:sz w:val="20"/>
                <w:szCs w:val="20"/>
              </w:rPr>
            </w:pPr>
            <w:r w:rsidRPr="00BE3C5A">
              <w:rPr>
                <w:rFonts w:cs="Arial"/>
                <w:sz w:val="20"/>
                <w:szCs w:val="20"/>
              </w:rPr>
              <w:t>4 hr forecast</w:t>
            </w:r>
          </w:p>
        </w:tc>
        <w:tc>
          <w:tcPr>
            <w:tcW w:w="614" w:type="pct"/>
            <w:hideMark/>
          </w:tcPr>
          <w:p w:rsidR="00A17C7C" w:rsidRPr="00BE3C5A" w:rsidRDefault="00A17C7C" w:rsidP="002C624D">
            <w:pPr>
              <w:pStyle w:val="tableheadingline2"/>
              <w:rPr>
                <w:rFonts w:cs="Arial"/>
                <w:sz w:val="20"/>
                <w:szCs w:val="20"/>
              </w:rPr>
            </w:pPr>
            <w:r w:rsidRPr="00BE3C5A">
              <w:rPr>
                <w:rFonts w:cs="Arial"/>
                <w:sz w:val="20"/>
                <w:szCs w:val="20"/>
              </w:rPr>
              <w:t>12 hr forecast</w:t>
            </w:r>
          </w:p>
        </w:tc>
      </w:tr>
      <w:tr w:rsidR="00BE3C5A" w:rsidRPr="0067180B" w:rsidTr="00BA0CBB">
        <w:trPr>
          <w:trHeight w:val="357"/>
        </w:trPr>
        <w:tc>
          <w:tcPr>
            <w:tcW w:w="581" w:type="pct"/>
            <w:vAlign w:val="center"/>
          </w:tcPr>
          <w:p w:rsidR="00E64CEC" w:rsidRPr="00E64CEC" w:rsidRDefault="00CF15CC" w:rsidP="00BA0CBB">
            <w:pPr>
              <w:pStyle w:val="NormalWeb"/>
              <w:jc w:val="center"/>
              <w:rPr>
                <w:rFonts w:asciiTheme="minorHAnsi" w:hAnsiTheme="minorHAnsi" w:cstheme="minorHAnsi"/>
                <w:b/>
                <w:bCs/>
                <w:sz w:val="18"/>
                <w:szCs w:val="16"/>
              </w:rPr>
            </w:pPr>
            <w:r>
              <w:rPr>
                <w:rFonts w:asciiTheme="minorHAnsi" w:hAnsiTheme="minorHAnsi" w:cstheme="minorHAnsi"/>
                <w:b/>
                <w:bCs/>
                <w:sz w:val="18"/>
                <w:szCs w:val="16"/>
              </w:rPr>
              <w:t>10.30</w:t>
            </w:r>
            <w:r w:rsidR="00D66B09">
              <w:rPr>
                <w:rFonts w:asciiTheme="minorHAnsi" w:hAnsiTheme="minorHAnsi" w:cstheme="minorHAnsi"/>
                <w:b/>
                <w:bCs/>
                <w:sz w:val="18"/>
                <w:szCs w:val="16"/>
              </w:rPr>
              <w:t xml:space="preserve"> pm</w:t>
            </w:r>
          </w:p>
        </w:tc>
        <w:tc>
          <w:tcPr>
            <w:tcW w:w="535" w:type="pct"/>
            <w:vAlign w:val="center"/>
          </w:tcPr>
          <w:p w:rsidR="00E64CE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350.99</w:t>
            </w:r>
          </w:p>
        </w:tc>
        <w:tc>
          <w:tcPr>
            <w:tcW w:w="490" w:type="pct"/>
            <w:vAlign w:val="center"/>
          </w:tcPr>
          <w:p w:rsidR="00E64CE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44.07</w:t>
            </w:r>
          </w:p>
        </w:tc>
        <w:tc>
          <w:tcPr>
            <w:tcW w:w="490" w:type="pct"/>
            <w:vAlign w:val="center"/>
          </w:tcPr>
          <w:p w:rsidR="00E64CE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37.05</w:t>
            </w:r>
          </w:p>
        </w:tc>
        <w:tc>
          <w:tcPr>
            <w:tcW w:w="408" w:type="pct"/>
            <w:vAlign w:val="center"/>
          </w:tcPr>
          <w:p w:rsidR="00E64CE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1891</w:t>
            </w:r>
          </w:p>
        </w:tc>
        <w:tc>
          <w:tcPr>
            <w:tcW w:w="490" w:type="pct"/>
            <w:vAlign w:val="center"/>
          </w:tcPr>
          <w:p w:rsidR="00E64CE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1877</w:t>
            </w:r>
          </w:p>
        </w:tc>
        <w:tc>
          <w:tcPr>
            <w:tcW w:w="490" w:type="pct"/>
            <w:vAlign w:val="center"/>
          </w:tcPr>
          <w:p w:rsidR="00E64CE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1855</w:t>
            </w:r>
          </w:p>
        </w:tc>
        <w:tc>
          <w:tcPr>
            <w:tcW w:w="415" w:type="pct"/>
            <w:vAlign w:val="center"/>
          </w:tcPr>
          <w:p w:rsidR="00E64CE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2405</w:t>
            </w:r>
          </w:p>
        </w:tc>
        <w:tc>
          <w:tcPr>
            <w:tcW w:w="490" w:type="pct"/>
            <w:vAlign w:val="center"/>
          </w:tcPr>
          <w:p w:rsidR="00E64CE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2758</w:t>
            </w:r>
          </w:p>
        </w:tc>
        <w:tc>
          <w:tcPr>
            <w:tcW w:w="614" w:type="pct"/>
            <w:vAlign w:val="center"/>
          </w:tcPr>
          <w:p w:rsidR="00E64CE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2842</w:t>
            </w:r>
          </w:p>
        </w:tc>
      </w:tr>
      <w:tr w:rsidR="00CF15CC" w:rsidRPr="0067180B" w:rsidTr="00BA0CBB">
        <w:trPr>
          <w:cnfStyle w:val="000000010000" w:firstRow="0" w:lastRow="0" w:firstColumn="0" w:lastColumn="0" w:oddVBand="0" w:evenVBand="0" w:oddHBand="0" w:evenHBand="1" w:firstRowFirstColumn="0" w:firstRowLastColumn="0" w:lastRowFirstColumn="0" w:lastRowLastColumn="0"/>
          <w:trHeight w:val="418"/>
        </w:trPr>
        <w:tc>
          <w:tcPr>
            <w:tcW w:w="581" w:type="pct"/>
            <w:vAlign w:val="center"/>
          </w:tcPr>
          <w:p w:rsidR="00CF15CC" w:rsidRDefault="00CF15CC" w:rsidP="00BA0CBB">
            <w:pPr>
              <w:pStyle w:val="NormalWeb"/>
              <w:jc w:val="center"/>
              <w:rPr>
                <w:rFonts w:asciiTheme="minorHAnsi" w:hAnsiTheme="minorHAnsi" w:cstheme="minorHAnsi"/>
                <w:b/>
                <w:bCs/>
                <w:sz w:val="18"/>
                <w:szCs w:val="16"/>
              </w:rPr>
            </w:pPr>
            <w:r>
              <w:rPr>
                <w:rFonts w:asciiTheme="minorHAnsi" w:hAnsiTheme="minorHAnsi" w:cstheme="minorHAnsi"/>
                <w:b/>
                <w:bCs/>
                <w:sz w:val="18"/>
                <w:szCs w:val="16"/>
              </w:rPr>
              <w:t>11 pm</w:t>
            </w:r>
          </w:p>
        </w:tc>
        <w:tc>
          <w:tcPr>
            <w:tcW w:w="535" w:type="pct"/>
            <w:vAlign w:val="center"/>
          </w:tcPr>
          <w:p w:rsidR="00CF15C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255.66</w:t>
            </w:r>
          </w:p>
        </w:tc>
        <w:tc>
          <w:tcPr>
            <w:tcW w:w="490" w:type="pct"/>
            <w:vAlign w:val="center"/>
          </w:tcPr>
          <w:p w:rsidR="00CF15C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42.09</w:t>
            </w:r>
          </w:p>
        </w:tc>
        <w:tc>
          <w:tcPr>
            <w:tcW w:w="490" w:type="pct"/>
            <w:vAlign w:val="center"/>
          </w:tcPr>
          <w:p w:rsidR="00CF15C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35.82</w:t>
            </w:r>
          </w:p>
        </w:tc>
        <w:tc>
          <w:tcPr>
            <w:tcW w:w="408" w:type="pct"/>
            <w:vAlign w:val="center"/>
          </w:tcPr>
          <w:p w:rsidR="00CF15C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1746</w:t>
            </w:r>
          </w:p>
        </w:tc>
        <w:tc>
          <w:tcPr>
            <w:tcW w:w="490" w:type="pct"/>
            <w:vAlign w:val="center"/>
          </w:tcPr>
          <w:p w:rsidR="00CF15C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1811</w:t>
            </w:r>
          </w:p>
        </w:tc>
        <w:tc>
          <w:tcPr>
            <w:tcW w:w="490" w:type="pct"/>
            <w:vAlign w:val="center"/>
          </w:tcPr>
          <w:p w:rsidR="00CF15C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1808</w:t>
            </w:r>
          </w:p>
        </w:tc>
        <w:tc>
          <w:tcPr>
            <w:tcW w:w="415" w:type="pct"/>
            <w:vAlign w:val="center"/>
          </w:tcPr>
          <w:p w:rsidR="00CF15C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2504</w:t>
            </w:r>
          </w:p>
        </w:tc>
        <w:tc>
          <w:tcPr>
            <w:tcW w:w="490" w:type="pct"/>
            <w:vAlign w:val="center"/>
          </w:tcPr>
          <w:p w:rsidR="00CF15C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2751</w:t>
            </w:r>
          </w:p>
        </w:tc>
        <w:tc>
          <w:tcPr>
            <w:tcW w:w="614" w:type="pct"/>
            <w:vAlign w:val="center"/>
          </w:tcPr>
          <w:p w:rsidR="00CF15CC" w:rsidRPr="00E64CEC" w:rsidRDefault="00CF15CC" w:rsidP="00BA0CBB">
            <w:pPr>
              <w:pStyle w:val="NormalWeb"/>
              <w:jc w:val="center"/>
              <w:rPr>
                <w:rFonts w:asciiTheme="minorHAnsi" w:hAnsiTheme="minorHAnsi" w:cstheme="minorHAnsi"/>
                <w:bCs/>
                <w:sz w:val="18"/>
                <w:szCs w:val="16"/>
              </w:rPr>
            </w:pPr>
            <w:r>
              <w:rPr>
                <w:rFonts w:asciiTheme="minorHAnsi" w:hAnsiTheme="minorHAnsi" w:cstheme="minorHAnsi"/>
                <w:bCs/>
                <w:sz w:val="18"/>
                <w:szCs w:val="16"/>
              </w:rPr>
              <w:t>2829</w:t>
            </w:r>
          </w:p>
        </w:tc>
      </w:tr>
    </w:tbl>
    <w:p w:rsidR="0060036F" w:rsidRPr="00BA0CBB" w:rsidRDefault="00CA2FF0" w:rsidP="00BA0CBB">
      <w:pPr>
        <w:pStyle w:val="AERbodytext"/>
      </w:pPr>
      <w:r w:rsidRPr="00BA0CBB">
        <w:lastRenderedPageBreak/>
        <w:t xml:space="preserve">Conditions at the time saw demand </w:t>
      </w:r>
      <w:r w:rsidR="00315EDE" w:rsidRPr="00BA0CBB">
        <w:t>close to</w:t>
      </w:r>
      <w:r w:rsidR="00AC4102" w:rsidRPr="00BA0CBB">
        <w:t xml:space="preserve"> forecast </w:t>
      </w:r>
      <w:r w:rsidR="00F57647" w:rsidRPr="00BA0CBB">
        <w:t xml:space="preserve">four hours head </w:t>
      </w:r>
      <w:r w:rsidRPr="00BA0CBB">
        <w:t>and available capacity</w:t>
      </w:r>
      <w:r w:rsidR="00AC4102" w:rsidRPr="00BA0CBB">
        <w:t xml:space="preserve"> </w:t>
      </w:r>
      <w:r w:rsidR="00A33F71" w:rsidRPr="00BA0CBB">
        <w:t>up to</w:t>
      </w:r>
      <w:r w:rsidR="00764BAA" w:rsidRPr="00BA0CBB">
        <w:t xml:space="preserve"> </w:t>
      </w:r>
      <w:r w:rsidR="00A33F71" w:rsidRPr="00BA0CBB">
        <w:t>353</w:t>
      </w:r>
      <w:r w:rsidR="00F57647" w:rsidRPr="00BA0CBB">
        <w:t xml:space="preserve"> MW</w:t>
      </w:r>
      <w:r w:rsidR="00AC4102" w:rsidRPr="00BA0CBB">
        <w:t xml:space="preserve"> </w:t>
      </w:r>
      <w:r w:rsidR="00764BAA" w:rsidRPr="00BA0CBB">
        <w:t xml:space="preserve">less than </w:t>
      </w:r>
      <w:r w:rsidRPr="00BA0CBB">
        <w:t>forecast</w:t>
      </w:r>
      <w:r w:rsidR="00F57647" w:rsidRPr="00BA0CBB">
        <w:t xml:space="preserve"> four hours ahead</w:t>
      </w:r>
      <w:r w:rsidRPr="00BA0CBB">
        <w:t xml:space="preserve">. </w:t>
      </w:r>
    </w:p>
    <w:p w:rsidR="001639C3" w:rsidRPr="001639C3" w:rsidRDefault="0075734E" w:rsidP="001639C3">
      <w:pPr>
        <w:pStyle w:val="Caption"/>
      </w:pPr>
      <w:r>
        <w:t>Table 5</w:t>
      </w:r>
      <w:r w:rsidR="001639C3">
        <w:t xml:space="preserve">: Rebids for 10.30 pm and 11 pm trading intervals </w:t>
      </w:r>
    </w:p>
    <w:tbl>
      <w:tblPr>
        <w:tblW w:w="5159" w:type="pct"/>
        <w:tblCellMar>
          <w:left w:w="0" w:type="dxa"/>
          <w:right w:w="0" w:type="dxa"/>
        </w:tblCellMar>
        <w:tblLook w:val="04A0" w:firstRow="1" w:lastRow="0" w:firstColumn="1" w:lastColumn="0" w:noHBand="0" w:noVBand="1"/>
      </w:tblPr>
      <w:tblGrid>
        <w:gridCol w:w="891"/>
        <w:gridCol w:w="767"/>
        <w:gridCol w:w="980"/>
        <w:gridCol w:w="937"/>
        <w:gridCol w:w="869"/>
        <w:gridCol w:w="796"/>
        <w:gridCol w:w="770"/>
        <w:gridCol w:w="3386"/>
      </w:tblGrid>
      <w:tr w:rsidR="001639C3" w:rsidRPr="00A33F71" w:rsidTr="0060036F">
        <w:trPr>
          <w:trHeight w:val="208"/>
        </w:trPr>
        <w:tc>
          <w:tcPr>
            <w:tcW w:w="0" w:type="auto"/>
            <w:tcBorders>
              <w:top w:val="nil"/>
              <w:left w:val="nil"/>
              <w:bottom w:val="nil"/>
              <w:right w:val="nil"/>
            </w:tcBorders>
            <w:shd w:val="clear" w:color="auto" w:fill="076A92"/>
            <w:tcMar>
              <w:top w:w="40" w:type="dxa"/>
              <w:left w:w="40" w:type="dxa"/>
              <w:bottom w:w="40" w:type="dxa"/>
              <w:right w:w="40" w:type="dxa"/>
            </w:tcMar>
            <w:hideMark/>
          </w:tcPr>
          <w:p w:rsidR="00A33F71" w:rsidRPr="00A33F71" w:rsidRDefault="00A33F71" w:rsidP="0060036F">
            <w:pPr>
              <w:spacing w:before="0" w:after="120" w:line="240" w:lineRule="auto"/>
              <w:jc w:val="center"/>
              <w:textAlignment w:val="top"/>
              <w:rPr>
                <w:rFonts w:eastAsia="Times New Roman" w:cs="Arial"/>
                <w:color w:val="FFFFFF"/>
                <w:sz w:val="18"/>
                <w:szCs w:val="18"/>
                <w:lang w:eastAsia="en-AU"/>
              </w:rPr>
            </w:pPr>
            <w:r w:rsidRPr="0060036F">
              <w:rPr>
                <w:rFonts w:eastAsia="Times New Roman" w:cs="Arial"/>
                <w:color w:val="FFFFFF"/>
                <w:sz w:val="18"/>
                <w:szCs w:val="18"/>
                <w:lang w:eastAsia="en-AU"/>
              </w:rPr>
              <w:t>Submitted</w:t>
            </w:r>
            <w:r w:rsidRPr="00A33F71">
              <w:rPr>
                <w:rFonts w:eastAsia="Times New Roman" w:cs="Arial"/>
                <w:color w:val="FFFFFF"/>
                <w:sz w:val="18"/>
                <w:szCs w:val="18"/>
                <w:lang w:eastAsia="en-AU"/>
              </w:rPr>
              <w:br/>
            </w:r>
            <w:r w:rsidRPr="0060036F">
              <w:rPr>
                <w:rFonts w:eastAsia="Times New Roman" w:cs="Arial"/>
                <w:color w:val="FFFFFF"/>
                <w:sz w:val="18"/>
                <w:szCs w:val="18"/>
                <w:lang w:eastAsia="en-AU"/>
              </w:rPr>
              <w:t>time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A33F71" w:rsidRPr="00A33F71" w:rsidRDefault="00A33F71" w:rsidP="0060036F">
            <w:pPr>
              <w:spacing w:before="0" w:after="120" w:line="240" w:lineRule="auto"/>
              <w:jc w:val="center"/>
              <w:textAlignment w:val="top"/>
              <w:rPr>
                <w:rFonts w:eastAsia="Times New Roman" w:cs="Arial"/>
                <w:color w:val="FFFFFF"/>
                <w:sz w:val="18"/>
                <w:szCs w:val="18"/>
                <w:lang w:eastAsia="en-AU"/>
              </w:rPr>
            </w:pPr>
            <w:r w:rsidRPr="0060036F">
              <w:rPr>
                <w:rFonts w:eastAsia="Times New Roman" w:cs="Arial"/>
                <w:color w:val="FFFFFF"/>
                <w:sz w:val="18"/>
                <w:szCs w:val="18"/>
                <w:lang w:eastAsia="en-AU"/>
              </w:rPr>
              <w:t>Time</w:t>
            </w:r>
            <w:r w:rsidRPr="00A33F71">
              <w:rPr>
                <w:rFonts w:eastAsia="Times New Roman" w:cs="Arial"/>
                <w:color w:val="FFFFFF"/>
                <w:sz w:val="18"/>
                <w:szCs w:val="18"/>
                <w:lang w:eastAsia="en-AU"/>
              </w:rPr>
              <w:br/>
            </w:r>
            <w:r w:rsidRPr="0060036F">
              <w:rPr>
                <w:rFonts w:eastAsia="Times New Roman" w:cs="Arial"/>
                <w:color w:val="FFFFFF"/>
                <w:sz w:val="18"/>
                <w:szCs w:val="18"/>
                <w:lang w:eastAsia="en-AU"/>
              </w:rPr>
              <w:t>effective</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A33F71" w:rsidRPr="00A33F71" w:rsidRDefault="00A33F71" w:rsidP="0060036F">
            <w:pPr>
              <w:spacing w:before="0" w:after="120" w:line="240" w:lineRule="auto"/>
              <w:jc w:val="center"/>
              <w:textAlignment w:val="top"/>
              <w:rPr>
                <w:rFonts w:eastAsia="Times New Roman" w:cs="Arial"/>
                <w:color w:val="FFFFFF"/>
                <w:sz w:val="18"/>
                <w:szCs w:val="18"/>
                <w:lang w:eastAsia="en-AU"/>
              </w:rPr>
            </w:pPr>
            <w:r w:rsidRPr="00A33F71">
              <w:rPr>
                <w:rFonts w:eastAsia="Times New Roman" w:cs="Arial"/>
                <w:color w:val="FFFFFF"/>
                <w:sz w:val="18"/>
                <w:szCs w:val="18"/>
                <w:lang w:eastAsia="en-AU"/>
              </w:rPr>
              <w:t>Participant</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A33F71" w:rsidRPr="00A33F71" w:rsidRDefault="00A33F71" w:rsidP="0060036F">
            <w:pPr>
              <w:spacing w:before="0" w:after="120" w:line="240" w:lineRule="auto"/>
              <w:jc w:val="center"/>
              <w:textAlignment w:val="top"/>
              <w:rPr>
                <w:rFonts w:eastAsia="Times New Roman" w:cs="Arial"/>
                <w:color w:val="FFFFFF"/>
                <w:sz w:val="18"/>
                <w:szCs w:val="18"/>
                <w:lang w:eastAsia="en-AU"/>
              </w:rPr>
            </w:pPr>
            <w:r w:rsidRPr="00A33F71">
              <w:rPr>
                <w:rFonts w:eastAsia="Times New Roman" w:cs="Arial"/>
                <w:color w:val="FFFFFF"/>
                <w:sz w:val="18"/>
                <w:szCs w:val="18"/>
                <w:lang w:eastAsia="en-AU"/>
              </w:rPr>
              <w:t>Station</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A33F71" w:rsidRPr="00A33F71" w:rsidRDefault="00A33F71" w:rsidP="0060036F">
            <w:pPr>
              <w:spacing w:before="0" w:after="120" w:line="240" w:lineRule="auto"/>
              <w:jc w:val="center"/>
              <w:textAlignment w:val="top"/>
              <w:rPr>
                <w:rFonts w:eastAsia="Times New Roman" w:cs="Arial"/>
                <w:color w:val="FFFFFF"/>
                <w:sz w:val="18"/>
                <w:szCs w:val="18"/>
                <w:lang w:eastAsia="en-AU"/>
              </w:rPr>
            </w:pPr>
            <w:r w:rsidRPr="0060036F">
              <w:rPr>
                <w:rFonts w:eastAsia="Times New Roman" w:cs="Arial"/>
                <w:color w:val="FFFFFF"/>
                <w:sz w:val="18"/>
                <w:szCs w:val="18"/>
                <w:lang w:eastAsia="en-AU"/>
              </w:rPr>
              <w:t>Capacity rebid</w:t>
            </w:r>
            <w:r w:rsidRPr="00A33F71">
              <w:rPr>
                <w:rFonts w:eastAsia="Times New Roman" w:cs="Arial"/>
                <w:color w:val="FFFFFF"/>
                <w:sz w:val="18"/>
                <w:szCs w:val="18"/>
                <w:lang w:eastAsia="en-AU"/>
              </w:rPr>
              <w:br/>
            </w:r>
            <w:r w:rsidRPr="0060036F">
              <w:rPr>
                <w:rFonts w:eastAsia="Times New Roman" w:cs="Arial"/>
                <w:color w:val="FFFFFF"/>
                <w:sz w:val="18"/>
                <w:szCs w:val="18"/>
                <w:lang w:eastAsia="en-AU"/>
              </w:rPr>
              <w:t>(MW)</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A33F71" w:rsidRPr="00A33F71" w:rsidRDefault="00A33F71" w:rsidP="0060036F">
            <w:pPr>
              <w:spacing w:before="0" w:after="120" w:line="240" w:lineRule="auto"/>
              <w:jc w:val="center"/>
              <w:textAlignment w:val="top"/>
              <w:rPr>
                <w:rFonts w:eastAsia="Times New Roman" w:cs="Arial"/>
                <w:color w:val="FFFFFF"/>
                <w:sz w:val="18"/>
                <w:szCs w:val="18"/>
                <w:lang w:eastAsia="en-AU"/>
              </w:rPr>
            </w:pPr>
            <w:r w:rsidRPr="0060036F">
              <w:rPr>
                <w:rFonts w:eastAsia="Times New Roman" w:cs="Arial"/>
                <w:color w:val="FFFFFF"/>
                <w:sz w:val="18"/>
                <w:szCs w:val="18"/>
                <w:lang w:eastAsia="en-AU"/>
              </w:rPr>
              <w:t>Price from</w:t>
            </w:r>
            <w:r w:rsidRPr="00A33F71">
              <w:rPr>
                <w:rFonts w:eastAsia="Times New Roman" w:cs="Arial"/>
                <w:color w:val="FFFFFF"/>
                <w:sz w:val="18"/>
                <w:szCs w:val="18"/>
                <w:lang w:eastAsia="en-AU"/>
              </w:rPr>
              <w:br/>
            </w:r>
            <w:r w:rsidRPr="0060036F">
              <w:rPr>
                <w:rFonts w:eastAsia="Times New Roman" w:cs="Arial"/>
                <w:color w:val="FFFFFF"/>
                <w:sz w:val="18"/>
                <w:szCs w:val="18"/>
                <w:lang w:eastAsia="en-AU"/>
              </w:rPr>
              <w:t>($/MWh)</w:t>
            </w:r>
          </w:p>
        </w:tc>
        <w:tc>
          <w:tcPr>
            <w:tcW w:w="0" w:type="auto"/>
            <w:tcBorders>
              <w:top w:val="nil"/>
              <w:left w:val="nil"/>
              <w:bottom w:val="nil"/>
              <w:right w:val="nil"/>
            </w:tcBorders>
            <w:shd w:val="clear" w:color="auto" w:fill="076A92"/>
            <w:tcMar>
              <w:top w:w="40" w:type="dxa"/>
              <w:left w:w="40" w:type="dxa"/>
              <w:bottom w:w="40" w:type="dxa"/>
              <w:right w:w="40" w:type="dxa"/>
            </w:tcMar>
            <w:hideMark/>
          </w:tcPr>
          <w:p w:rsidR="00A33F71" w:rsidRPr="00A33F71" w:rsidRDefault="00A33F71" w:rsidP="0060036F">
            <w:pPr>
              <w:spacing w:before="0" w:after="120" w:line="240" w:lineRule="auto"/>
              <w:jc w:val="center"/>
              <w:textAlignment w:val="top"/>
              <w:rPr>
                <w:rFonts w:eastAsia="Times New Roman" w:cs="Arial"/>
                <w:color w:val="FFFFFF"/>
                <w:sz w:val="18"/>
                <w:szCs w:val="18"/>
                <w:lang w:eastAsia="en-AU"/>
              </w:rPr>
            </w:pPr>
            <w:r w:rsidRPr="0060036F">
              <w:rPr>
                <w:rFonts w:eastAsia="Times New Roman" w:cs="Arial"/>
                <w:color w:val="FFFFFF"/>
                <w:sz w:val="18"/>
                <w:szCs w:val="18"/>
                <w:lang w:eastAsia="en-AU"/>
              </w:rPr>
              <w:t>Price to</w:t>
            </w:r>
            <w:r w:rsidRPr="00A33F71">
              <w:rPr>
                <w:rFonts w:eastAsia="Times New Roman" w:cs="Arial"/>
                <w:color w:val="FFFFFF"/>
                <w:sz w:val="18"/>
                <w:szCs w:val="18"/>
                <w:lang w:eastAsia="en-AU"/>
              </w:rPr>
              <w:br/>
            </w:r>
            <w:r w:rsidRPr="0060036F">
              <w:rPr>
                <w:rFonts w:eastAsia="Times New Roman" w:cs="Arial"/>
                <w:color w:val="FFFFFF"/>
                <w:sz w:val="18"/>
                <w:szCs w:val="18"/>
                <w:lang w:eastAsia="en-AU"/>
              </w:rPr>
              <w:t>($/MWh)</w:t>
            </w:r>
          </w:p>
        </w:tc>
        <w:tc>
          <w:tcPr>
            <w:tcW w:w="3386" w:type="dxa"/>
            <w:tcBorders>
              <w:top w:val="nil"/>
              <w:left w:val="nil"/>
              <w:bottom w:val="nil"/>
              <w:right w:val="nil"/>
            </w:tcBorders>
            <w:shd w:val="clear" w:color="auto" w:fill="076A92"/>
            <w:tcMar>
              <w:top w:w="40" w:type="dxa"/>
              <w:left w:w="40" w:type="dxa"/>
              <w:bottom w:w="40" w:type="dxa"/>
              <w:right w:w="40" w:type="dxa"/>
            </w:tcMar>
            <w:hideMark/>
          </w:tcPr>
          <w:p w:rsidR="00A33F71" w:rsidRPr="00A33F71" w:rsidRDefault="00A33F71" w:rsidP="0060036F">
            <w:pPr>
              <w:spacing w:before="0" w:after="120" w:line="240" w:lineRule="auto"/>
              <w:jc w:val="center"/>
              <w:textAlignment w:val="top"/>
              <w:rPr>
                <w:rFonts w:eastAsia="Times New Roman" w:cs="Arial"/>
                <w:color w:val="FFFFFF"/>
                <w:sz w:val="18"/>
                <w:szCs w:val="18"/>
                <w:lang w:eastAsia="en-AU"/>
              </w:rPr>
            </w:pPr>
            <w:r w:rsidRPr="00A33F71">
              <w:rPr>
                <w:rFonts w:eastAsia="Times New Roman" w:cs="Arial"/>
                <w:color w:val="FFFFFF"/>
                <w:sz w:val="18"/>
                <w:szCs w:val="18"/>
                <w:lang w:eastAsia="en-AU"/>
              </w:rPr>
              <w:t>Rebid reason</w:t>
            </w:r>
          </w:p>
        </w:tc>
      </w:tr>
      <w:tr w:rsidR="001639C3" w:rsidRPr="00A33F71" w:rsidTr="0060036F">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937C92" w:rsidRPr="00A33F71" w:rsidRDefault="00937C92"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9.04 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937C92" w:rsidRPr="00A33F71" w:rsidRDefault="00937C92" w:rsidP="0060036F">
            <w:pPr>
              <w:spacing w:before="0" w:after="120" w:line="240" w:lineRule="auto"/>
              <w:jc w:val="center"/>
              <w:rPr>
                <w:rFonts w:eastAsia="Times New Roman" w:cs="Arial"/>
                <w:color w:val="000000"/>
                <w:sz w:val="18"/>
                <w:szCs w:val="18"/>
                <w:lang w:eastAsia="en-AU"/>
              </w:rPr>
            </w:pPr>
            <w:r w:rsidRPr="00A33F71">
              <w:rPr>
                <w:rFonts w:eastAsia="Times New Roman" w:cs="Arial"/>
                <w:color w:val="000000"/>
                <w:sz w:val="18"/>
                <w:szCs w:val="18"/>
                <w:lang w:eastAsia="en-AU"/>
              </w:rPr>
              <w:t> </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937C92" w:rsidRPr="00A33F71" w:rsidRDefault="00937C92" w:rsidP="0060036F">
            <w:pPr>
              <w:spacing w:before="0" w:after="120" w:line="240" w:lineRule="auto"/>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AGL Energy</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937C92" w:rsidRPr="00A33F71" w:rsidRDefault="00937C92" w:rsidP="0060036F">
            <w:pPr>
              <w:spacing w:before="0" w:after="120" w:line="240" w:lineRule="auto"/>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Torrens Island</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937C92" w:rsidRPr="00A33F71" w:rsidRDefault="00937C92"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120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937C92" w:rsidRPr="00A33F71" w:rsidRDefault="00937C92"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95</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937C92" w:rsidRPr="00A33F71" w:rsidRDefault="00937C92"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351</w:t>
            </w:r>
          </w:p>
        </w:tc>
        <w:tc>
          <w:tcPr>
            <w:tcW w:w="3386" w:type="dxa"/>
            <w:tcBorders>
              <w:top w:val="nil"/>
              <w:left w:val="nil"/>
              <w:bottom w:val="nil"/>
              <w:right w:val="nil"/>
            </w:tcBorders>
            <w:shd w:val="clear" w:color="auto" w:fill="FFFFFF"/>
            <w:tcMar>
              <w:top w:w="40" w:type="dxa"/>
              <w:left w:w="40" w:type="dxa"/>
              <w:bottom w:w="40" w:type="dxa"/>
              <w:right w:w="40" w:type="dxa"/>
            </w:tcMar>
            <w:vAlign w:val="center"/>
            <w:hideMark/>
          </w:tcPr>
          <w:p w:rsidR="00937C92" w:rsidRPr="00A33F71" w:rsidRDefault="00937C92" w:rsidP="0060036F">
            <w:pPr>
              <w:spacing w:before="0" w:after="120" w:line="240" w:lineRule="auto"/>
              <w:textAlignment w:val="center"/>
              <w:rPr>
                <w:rFonts w:eastAsia="Times New Roman" w:cs="Arial"/>
                <w:color w:val="000000"/>
                <w:sz w:val="18"/>
                <w:szCs w:val="18"/>
                <w:lang w:eastAsia="en-AU"/>
              </w:rPr>
            </w:pPr>
            <w:r w:rsidRPr="0060036F">
              <w:rPr>
                <w:rFonts w:eastAsia="Times New Roman" w:cs="Arial"/>
                <w:color w:val="000000"/>
                <w:sz w:val="18"/>
                <w:szCs w:val="18"/>
                <w:lang w:eastAsia="en-AU"/>
              </w:rPr>
              <w:t xml:space="preserve">2031~p~080 </w:t>
            </w:r>
            <w:proofErr w:type="spellStart"/>
            <w:r w:rsidRPr="0060036F">
              <w:rPr>
                <w:rFonts w:eastAsia="Times New Roman" w:cs="Arial"/>
                <w:color w:val="000000"/>
                <w:sz w:val="18"/>
                <w:szCs w:val="18"/>
                <w:lang w:eastAsia="en-AU"/>
              </w:rPr>
              <w:t>chg</w:t>
            </w:r>
            <w:proofErr w:type="spellEnd"/>
            <w:r w:rsidRPr="0060036F">
              <w:rPr>
                <w:rFonts w:eastAsia="Times New Roman" w:cs="Arial"/>
                <w:color w:val="000000"/>
                <w:sz w:val="18"/>
                <w:szCs w:val="18"/>
                <w:lang w:eastAsia="en-AU"/>
              </w:rPr>
              <w:t xml:space="preserve"> in pipeline cond~801 change in </w:t>
            </w:r>
            <w:proofErr w:type="spellStart"/>
            <w:r w:rsidRPr="0060036F">
              <w:rPr>
                <w:rFonts w:eastAsia="Times New Roman" w:cs="Arial"/>
                <w:color w:val="000000"/>
                <w:sz w:val="18"/>
                <w:szCs w:val="18"/>
                <w:lang w:eastAsia="en-AU"/>
              </w:rPr>
              <w:t>imbal</w:t>
            </w:r>
            <w:proofErr w:type="spellEnd"/>
            <w:r w:rsidRPr="0060036F">
              <w:rPr>
                <w:rFonts w:eastAsia="Times New Roman" w:cs="Arial"/>
                <w:color w:val="000000"/>
                <w:sz w:val="18"/>
                <w:szCs w:val="18"/>
                <w:lang w:eastAsia="en-AU"/>
              </w:rPr>
              <w:t xml:space="preserve"> </w:t>
            </w:r>
            <w:proofErr w:type="spellStart"/>
            <w:r w:rsidRPr="0060036F">
              <w:rPr>
                <w:rFonts w:eastAsia="Times New Roman" w:cs="Arial"/>
                <w:color w:val="000000"/>
                <w:sz w:val="18"/>
                <w:szCs w:val="18"/>
                <w:lang w:eastAsia="en-AU"/>
              </w:rPr>
              <w:t>pos</w:t>
            </w:r>
            <w:proofErr w:type="spellEnd"/>
            <w:r w:rsidRPr="0060036F">
              <w:rPr>
                <w:rFonts w:eastAsia="Times New Roman" w:cs="Arial"/>
                <w:color w:val="000000"/>
                <w:sz w:val="18"/>
                <w:szCs w:val="18"/>
                <w:lang w:eastAsia="en-AU"/>
              </w:rPr>
              <w:t xml:space="preserve"> </w:t>
            </w:r>
            <w:proofErr w:type="spellStart"/>
            <w:r w:rsidRPr="0060036F">
              <w:rPr>
                <w:rFonts w:eastAsia="Times New Roman" w:cs="Arial"/>
                <w:color w:val="000000"/>
                <w:sz w:val="18"/>
                <w:szCs w:val="18"/>
                <w:lang w:eastAsia="en-AU"/>
              </w:rPr>
              <w:t>seagas</w:t>
            </w:r>
            <w:proofErr w:type="spellEnd"/>
          </w:p>
        </w:tc>
      </w:tr>
      <w:tr w:rsidR="001639C3" w:rsidRPr="00A33F71" w:rsidTr="0060036F">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A33F71" w:rsidRPr="00A33F71" w:rsidRDefault="00A33F71"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9.06 pm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A33F71" w:rsidRPr="00A33F71" w:rsidRDefault="00A33F71" w:rsidP="0060036F">
            <w:pPr>
              <w:spacing w:before="0" w:after="120" w:line="240" w:lineRule="auto"/>
              <w:jc w:val="center"/>
              <w:rPr>
                <w:rFonts w:eastAsia="Times New Roman" w:cs="Arial"/>
                <w:color w:val="000000"/>
                <w:sz w:val="18"/>
                <w:szCs w:val="18"/>
                <w:lang w:eastAsia="en-AU"/>
              </w:rPr>
            </w:pPr>
            <w:r w:rsidRPr="00A33F71">
              <w:rPr>
                <w:rFonts w:eastAsia="Times New Roman" w:cs="Arial"/>
                <w:color w:val="000000"/>
                <w:sz w:val="18"/>
                <w:szCs w:val="18"/>
                <w:lang w:eastAsia="en-AU"/>
              </w:rPr>
              <w:t> </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A33F71" w:rsidRPr="00A33F71" w:rsidRDefault="00A33F71" w:rsidP="0060036F">
            <w:pPr>
              <w:spacing w:before="0" w:after="120" w:line="240" w:lineRule="auto"/>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AGL Energy</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A33F71" w:rsidRPr="00A33F71" w:rsidRDefault="00A33F71" w:rsidP="0060036F">
            <w:pPr>
              <w:spacing w:before="0" w:after="120" w:line="240" w:lineRule="auto"/>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Torrens Island</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A33F71" w:rsidRPr="00A33F71" w:rsidRDefault="00A33F71"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40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A33F71" w:rsidRPr="00A33F71" w:rsidRDefault="00A33F71"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95</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A33F71" w:rsidRPr="00A33F71" w:rsidRDefault="00A33F71"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&gt;351</w:t>
            </w:r>
          </w:p>
        </w:tc>
        <w:tc>
          <w:tcPr>
            <w:tcW w:w="3386" w:type="dxa"/>
            <w:tcBorders>
              <w:top w:val="nil"/>
              <w:left w:val="nil"/>
              <w:bottom w:val="nil"/>
              <w:right w:val="nil"/>
            </w:tcBorders>
            <w:shd w:val="clear" w:color="auto" w:fill="DBE5F1"/>
            <w:tcMar>
              <w:top w:w="40" w:type="dxa"/>
              <w:left w:w="40" w:type="dxa"/>
              <w:bottom w:w="40" w:type="dxa"/>
              <w:right w:w="40" w:type="dxa"/>
            </w:tcMar>
            <w:vAlign w:val="center"/>
            <w:hideMark/>
          </w:tcPr>
          <w:p w:rsidR="00A33F71" w:rsidRPr="00A33F71" w:rsidRDefault="00A33F71" w:rsidP="0060036F">
            <w:pPr>
              <w:spacing w:before="0" w:after="120" w:line="240" w:lineRule="auto"/>
              <w:textAlignment w:val="center"/>
              <w:rPr>
                <w:rFonts w:eastAsia="Times New Roman" w:cs="Arial"/>
                <w:color w:val="000000"/>
                <w:sz w:val="18"/>
                <w:szCs w:val="18"/>
                <w:lang w:eastAsia="en-AU"/>
              </w:rPr>
            </w:pPr>
            <w:r w:rsidRPr="0060036F">
              <w:rPr>
                <w:rFonts w:eastAsia="Times New Roman" w:cs="Arial"/>
                <w:color w:val="000000"/>
                <w:sz w:val="18"/>
                <w:szCs w:val="18"/>
                <w:lang w:eastAsia="en-AU"/>
              </w:rPr>
              <w:t xml:space="preserve">2101~p~050 </w:t>
            </w:r>
            <w:proofErr w:type="spellStart"/>
            <w:r w:rsidRPr="0060036F">
              <w:rPr>
                <w:rFonts w:eastAsia="Times New Roman" w:cs="Arial"/>
                <w:color w:val="000000"/>
                <w:sz w:val="18"/>
                <w:szCs w:val="18"/>
                <w:lang w:eastAsia="en-AU"/>
              </w:rPr>
              <w:t>chg</w:t>
            </w:r>
            <w:proofErr w:type="spellEnd"/>
            <w:r w:rsidRPr="0060036F">
              <w:rPr>
                <w:rFonts w:eastAsia="Times New Roman" w:cs="Arial"/>
                <w:color w:val="000000"/>
                <w:sz w:val="18"/>
                <w:szCs w:val="18"/>
                <w:lang w:eastAsia="en-AU"/>
              </w:rPr>
              <w:t xml:space="preserve"> in unit </w:t>
            </w:r>
            <w:proofErr w:type="spellStart"/>
            <w:r w:rsidRPr="0060036F">
              <w:rPr>
                <w:rFonts w:eastAsia="Times New Roman" w:cs="Arial"/>
                <w:color w:val="000000"/>
                <w:sz w:val="18"/>
                <w:szCs w:val="18"/>
                <w:lang w:eastAsia="en-AU"/>
              </w:rPr>
              <w:t>operation~min</w:t>
            </w:r>
            <w:proofErr w:type="spellEnd"/>
            <w:r w:rsidRPr="0060036F">
              <w:rPr>
                <w:rFonts w:eastAsia="Times New Roman" w:cs="Arial"/>
                <w:color w:val="000000"/>
                <w:sz w:val="18"/>
                <w:szCs w:val="18"/>
                <w:lang w:eastAsia="en-AU"/>
              </w:rPr>
              <w:t xml:space="preserve"> load required for unit shutdown</w:t>
            </w:r>
          </w:p>
        </w:tc>
      </w:tr>
      <w:tr w:rsidR="001639C3" w:rsidRPr="00A33F71" w:rsidTr="0060036F">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A33F71" w:rsidRPr="00A33F71" w:rsidRDefault="00A33F71"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9.06 pm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A33F71" w:rsidRPr="00A33F71" w:rsidRDefault="00A33F71" w:rsidP="0060036F">
            <w:pPr>
              <w:spacing w:before="0" w:after="120" w:line="240" w:lineRule="auto"/>
              <w:jc w:val="center"/>
              <w:rPr>
                <w:rFonts w:eastAsia="Times New Roman" w:cs="Arial"/>
                <w:color w:val="000000"/>
                <w:sz w:val="18"/>
                <w:szCs w:val="18"/>
                <w:lang w:eastAsia="en-AU"/>
              </w:rPr>
            </w:pPr>
            <w:r w:rsidRPr="00A33F71">
              <w:rPr>
                <w:rFonts w:eastAsia="Times New Roman" w:cs="Arial"/>
                <w:color w:val="000000"/>
                <w:sz w:val="18"/>
                <w:szCs w:val="18"/>
                <w:lang w:eastAsia="en-AU"/>
              </w:rPr>
              <w:t> </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A33F71" w:rsidRPr="00A33F71" w:rsidRDefault="00A33F71" w:rsidP="0060036F">
            <w:pPr>
              <w:spacing w:before="0" w:after="120" w:line="240" w:lineRule="auto"/>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Origin Energy</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A33F71" w:rsidRPr="00A33F71" w:rsidRDefault="00A33F71" w:rsidP="0060036F">
            <w:pPr>
              <w:spacing w:before="0" w:after="120" w:line="240" w:lineRule="auto"/>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Ladbroke Grove</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A33F71" w:rsidRPr="00A33F71" w:rsidRDefault="00A33F71"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40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A33F71" w:rsidRPr="00A33F71" w:rsidRDefault="00A33F71"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65</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A33F71" w:rsidRPr="00A33F71" w:rsidRDefault="00A33F71"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13</w:t>
            </w:r>
            <w:r w:rsidR="00051AD6">
              <w:rPr>
                <w:rFonts w:eastAsia="Times New Roman" w:cs="Arial"/>
                <w:color w:val="000000"/>
                <w:sz w:val="18"/>
                <w:szCs w:val="18"/>
                <w:lang w:eastAsia="en-AU"/>
              </w:rPr>
              <w:t> </w:t>
            </w:r>
            <w:r w:rsidRPr="00A33F71">
              <w:rPr>
                <w:rFonts w:eastAsia="Times New Roman" w:cs="Arial"/>
                <w:color w:val="000000"/>
                <w:sz w:val="18"/>
                <w:szCs w:val="18"/>
                <w:lang w:eastAsia="en-AU"/>
              </w:rPr>
              <w:t>800</w:t>
            </w:r>
          </w:p>
        </w:tc>
        <w:tc>
          <w:tcPr>
            <w:tcW w:w="3386" w:type="dxa"/>
            <w:tcBorders>
              <w:top w:val="nil"/>
              <w:left w:val="nil"/>
              <w:bottom w:val="nil"/>
              <w:right w:val="nil"/>
            </w:tcBorders>
            <w:shd w:val="clear" w:color="auto" w:fill="FFFFFF"/>
            <w:tcMar>
              <w:top w:w="40" w:type="dxa"/>
              <w:left w:w="40" w:type="dxa"/>
              <w:bottom w:w="40" w:type="dxa"/>
              <w:right w:w="40" w:type="dxa"/>
            </w:tcMar>
            <w:vAlign w:val="center"/>
            <w:hideMark/>
          </w:tcPr>
          <w:p w:rsidR="00A33F71" w:rsidRPr="00A33F71" w:rsidRDefault="00A33F71" w:rsidP="0060036F">
            <w:pPr>
              <w:spacing w:before="0" w:after="120" w:line="240" w:lineRule="auto"/>
              <w:textAlignment w:val="center"/>
              <w:rPr>
                <w:rFonts w:eastAsia="Times New Roman" w:cs="Arial"/>
                <w:color w:val="000000"/>
                <w:sz w:val="18"/>
                <w:szCs w:val="18"/>
                <w:lang w:eastAsia="en-AU"/>
              </w:rPr>
            </w:pPr>
            <w:r w:rsidRPr="0060036F">
              <w:rPr>
                <w:rFonts w:eastAsia="Times New Roman" w:cs="Arial"/>
                <w:color w:val="000000"/>
                <w:sz w:val="18"/>
                <w:szCs w:val="18"/>
                <w:lang w:eastAsia="en-AU"/>
              </w:rPr>
              <w:t xml:space="preserve">2105a avoid uneconomic start </w:t>
            </w:r>
            <w:proofErr w:type="spellStart"/>
            <w:r w:rsidRPr="0060036F">
              <w:rPr>
                <w:rFonts w:eastAsia="Times New Roman" w:cs="Arial"/>
                <w:color w:val="000000"/>
                <w:sz w:val="18"/>
                <w:szCs w:val="18"/>
                <w:lang w:eastAsia="en-AU"/>
              </w:rPr>
              <w:t>sl</w:t>
            </w:r>
            <w:proofErr w:type="spellEnd"/>
          </w:p>
        </w:tc>
      </w:tr>
      <w:tr w:rsidR="001639C3" w:rsidRPr="00A33F71" w:rsidTr="0060036F">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A33F71" w:rsidRPr="00A33F71" w:rsidRDefault="00A33F71"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9.08 pm</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A33F71" w:rsidRPr="00A33F71" w:rsidRDefault="00A33F71" w:rsidP="0060036F">
            <w:pPr>
              <w:spacing w:before="0" w:after="120" w:line="240" w:lineRule="auto"/>
              <w:jc w:val="center"/>
              <w:rPr>
                <w:rFonts w:eastAsia="Times New Roman" w:cs="Arial"/>
                <w:color w:val="000000"/>
                <w:sz w:val="18"/>
                <w:szCs w:val="18"/>
                <w:lang w:eastAsia="en-AU"/>
              </w:rPr>
            </w:pPr>
            <w:r w:rsidRPr="00A33F71">
              <w:rPr>
                <w:rFonts w:eastAsia="Times New Roman" w:cs="Arial"/>
                <w:color w:val="000000"/>
                <w:sz w:val="18"/>
                <w:szCs w:val="18"/>
                <w:lang w:eastAsia="en-AU"/>
              </w:rPr>
              <w:t> </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A33F71" w:rsidRPr="00A33F71" w:rsidRDefault="00A33F71" w:rsidP="0060036F">
            <w:pPr>
              <w:spacing w:before="0" w:after="120" w:line="240" w:lineRule="auto"/>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Origin Energy</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A33F71" w:rsidRPr="00A33F71" w:rsidRDefault="00A33F71" w:rsidP="0060036F">
            <w:pPr>
              <w:spacing w:before="0" w:after="120" w:line="240" w:lineRule="auto"/>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Ladbroke Grove</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A33F71" w:rsidRPr="00A33F71" w:rsidRDefault="00A33F71"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40</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A33F71" w:rsidRPr="00A33F71" w:rsidRDefault="00A33F71"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65</w:t>
            </w:r>
          </w:p>
        </w:tc>
        <w:tc>
          <w:tcPr>
            <w:tcW w:w="0" w:type="auto"/>
            <w:tcBorders>
              <w:top w:val="nil"/>
              <w:left w:val="nil"/>
              <w:bottom w:val="nil"/>
              <w:right w:val="nil"/>
            </w:tcBorders>
            <w:shd w:val="clear" w:color="auto" w:fill="DBE5F1"/>
            <w:tcMar>
              <w:top w:w="40" w:type="dxa"/>
              <w:left w:w="40" w:type="dxa"/>
              <w:bottom w:w="40" w:type="dxa"/>
              <w:right w:w="40" w:type="dxa"/>
            </w:tcMar>
            <w:vAlign w:val="center"/>
            <w:hideMark/>
          </w:tcPr>
          <w:p w:rsidR="00A33F71" w:rsidRPr="00A33F71" w:rsidRDefault="00A33F71"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13</w:t>
            </w:r>
            <w:r w:rsidR="00051AD6">
              <w:rPr>
                <w:rFonts w:eastAsia="Times New Roman" w:cs="Arial"/>
                <w:color w:val="000000"/>
                <w:sz w:val="18"/>
                <w:szCs w:val="18"/>
                <w:lang w:eastAsia="en-AU"/>
              </w:rPr>
              <w:t> </w:t>
            </w:r>
            <w:r w:rsidRPr="00A33F71">
              <w:rPr>
                <w:rFonts w:eastAsia="Times New Roman" w:cs="Arial"/>
                <w:color w:val="000000"/>
                <w:sz w:val="18"/>
                <w:szCs w:val="18"/>
                <w:lang w:eastAsia="en-AU"/>
              </w:rPr>
              <w:t>800</w:t>
            </w:r>
          </w:p>
        </w:tc>
        <w:tc>
          <w:tcPr>
            <w:tcW w:w="3386" w:type="dxa"/>
            <w:tcBorders>
              <w:top w:val="nil"/>
              <w:left w:val="nil"/>
              <w:bottom w:val="nil"/>
              <w:right w:val="nil"/>
            </w:tcBorders>
            <w:shd w:val="clear" w:color="auto" w:fill="DBE5F1"/>
            <w:tcMar>
              <w:top w:w="40" w:type="dxa"/>
              <w:left w:w="40" w:type="dxa"/>
              <w:bottom w:w="40" w:type="dxa"/>
              <w:right w:w="40" w:type="dxa"/>
            </w:tcMar>
            <w:vAlign w:val="center"/>
            <w:hideMark/>
          </w:tcPr>
          <w:p w:rsidR="00A33F71" w:rsidRPr="00A33F71" w:rsidRDefault="00A33F71" w:rsidP="0060036F">
            <w:pPr>
              <w:spacing w:before="0" w:after="120" w:line="240" w:lineRule="auto"/>
              <w:textAlignment w:val="center"/>
              <w:rPr>
                <w:rFonts w:eastAsia="Times New Roman" w:cs="Arial"/>
                <w:color w:val="000000"/>
                <w:sz w:val="18"/>
                <w:szCs w:val="18"/>
                <w:lang w:eastAsia="en-AU"/>
              </w:rPr>
            </w:pPr>
            <w:r w:rsidRPr="0060036F">
              <w:rPr>
                <w:rFonts w:eastAsia="Times New Roman" w:cs="Arial"/>
                <w:color w:val="000000"/>
                <w:sz w:val="18"/>
                <w:szCs w:val="18"/>
                <w:lang w:eastAsia="en-AU"/>
              </w:rPr>
              <w:t xml:space="preserve">2105a ensure stop </w:t>
            </w:r>
            <w:proofErr w:type="spellStart"/>
            <w:r w:rsidRPr="0060036F">
              <w:rPr>
                <w:rFonts w:eastAsia="Times New Roman" w:cs="Arial"/>
                <w:color w:val="000000"/>
                <w:sz w:val="18"/>
                <w:szCs w:val="18"/>
                <w:lang w:eastAsia="en-AU"/>
              </w:rPr>
              <w:t>sl</w:t>
            </w:r>
            <w:proofErr w:type="spellEnd"/>
          </w:p>
        </w:tc>
      </w:tr>
      <w:tr w:rsidR="001639C3" w:rsidRPr="00A33F71" w:rsidTr="00CF17DE">
        <w:trPr>
          <w:trHeight w:val="577"/>
        </w:trPr>
        <w:tc>
          <w:tcPr>
            <w:tcW w:w="0" w:type="auto"/>
            <w:tcBorders>
              <w:top w:val="nil"/>
              <w:left w:val="nil"/>
              <w:right w:val="nil"/>
            </w:tcBorders>
            <w:shd w:val="clear" w:color="auto" w:fill="FFFFFF"/>
            <w:tcMar>
              <w:top w:w="40" w:type="dxa"/>
              <w:left w:w="40" w:type="dxa"/>
              <w:bottom w:w="40" w:type="dxa"/>
              <w:right w:w="40" w:type="dxa"/>
            </w:tcMar>
            <w:vAlign w:val="center"/>
            <w:hideMark/>
          </w:tcPr>
          <w:p w:rsidR="00937C92" w:rsidRPr="00A33F71" w:rsidRDefault="00937C92"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9.52 pm</w:t>
            </w:r>
          </w:p>
        </w:tc>
        <w:tc>
          <w:tcPr>
            <w:tcW w:w="0" w:type="auto"/>
            <w:tcBorders>
              <w:top w:val="nil"/>
              <w:left w:val="nil"/>
              <w:right w:val="nil"/>
            </w:tcBorders>
            <w:shd w:val="clear" w:color="auto" w:fill="FFFFFF"/>
            <w:tcMar>
              <w:top w:w="40" w:type="dxa"/>
              <w:left w:w="40" w:type="dxa"/>
              <w:bottom w:w="40" w:type="dxa"/>
              <w:right w:w="40" w:type="dxa"/>
            </w:tcMar>
            <w:vAlign w:val="center"/>
            <w:hideMark/>
          </w:tcPr>
          <w:p w:rsidR="00937C92" w:rsidRPr="00A33F71" w:rsidRDefault="00937C92" w:rsidP="0060036F">
            <w:pPr>
              <w:spacing w:before="0" w:after="120" w:line="240" w:lineRule="auto"/>
              <w:jc w:val="center"/>
              <w:rPr>
                <w:rFonts w:eastAsia="Times New Roman" w:cs="Arial"/>
                <w:color w:val="000000"/>
                <w:sz w:val="18"/>
                <w:szCs w:val="18"/>
                <w:lang w:eastAsia="en-AU"/>
              </w:rPr>
            </w:pPr>
            <w:r w:rsidRPr="00A33F71">
              <w:rPr>
                <w:rFonts w:eastAsia="Times New Roman" w:cs="Arial"/>
                <w:color w:val="000000"/>
                <w:sz w:val="18"/>
                <w:szCs w:val="18"/>
                <w:lang w:eastAsia="en-AU"/>
              </w:rPr>
              <w:t> </w:t>
            </w:r>
          </w:p>
        </w:tc>
        <w:tc>
          <w:tcPr>
            <w:tcW w:w="0" w:type="auto"/>
            <w:tcBorders>
              <w:top w:val="nil"/>
              <w:left w:val="nil"/>
              <w:right w:val="nil"/>
            </w:tcBorders>
            <w:shd w:val="clear" w:color="auto" w:fill="FFFFFF"/>
            <w:tcMar>
              <w:top w:w="40" w:type="dxa"/>
              <w:left w:w="40" w:type="dxa"/>
              <w:bottom w:w="40" w:type="dxa"/>
              <w:right w:w="40" w:type="dxa"/>
            </w:tcMar>
            <w:vAlign w:val="center"/>
            <w:hideMark/>
          </w:tcPr>
          <w:p w:rsidR="00937C92" w:rsidRPr="00A33F71" w:rsidRDefault="00937C92" w:rsidP="0060036F">
            <w:pPr>
              <w:spacing w:before="0" w:after="120" w:line="240" w:lineRule="auto"/>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AGL Energy</w:t>
            </w:r>
          </w:p>
        </w:tc>
        <w:tc>
          <w:tcPr>
            <w:tcW w:w="0" w:type="auto"/>
            <w:tcBorders>
              <w:top w:val="nil"/>
              <w:left w:val="nil"/>
              <w:right w:val="nil"/>
            </w:tcBorders>
            <w:shd w:val="clear" w:color="auto" w:fill="FFFFFF"/>
            <w:tcMar>
              <w:top w:w="40" w:type="dxa"/>
              <w:left w:w="40" w:type="dxa"/>
              <w:bottom w:w="40" w:type="dxa"/>
              <w:right w:w="40" w:type="dxa"/>
            </w:tcMar>
            <w:vAlign w:val="center"/>
            <w:hideMark/>
          </w:tcPr>
          <w:p w:rsidR="00937C92" w:rsidRPr="00A33F71" w:rsidRDefault="00937C92" w:rsidP="0060036F">
            <w:pPr>
              <w:spacing w:before="0" w:after="120" w:line="240" w:lineRule="auto"/>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Torrens Island</w:t>
            </w:r>
          </w:p>
        </w:tc>
        <w:tc>
          <w:tcPr>
            <w:tcW w:w="0" w:type="auto"/>
            <w:tcBorders>
              <w:top w:val="nil"/>
              <w:left w:val="nil"/>
              <w:right w:val="nil"/>
            </w:tcBorders>
            <w:shd w:val="clear" w:color="auto" w:fill="FFFFFF"/>
            <w:tcMar>
              <w:top w:w="40" w:type="dxa"/>
              <w:left w:w="40" w:type="dxa"/>
              <w:bottom w:w="40" w:type="dxa"/>
              <w:right w:w="40" w:type="dxa"/>
            </w:tcMar>
            <w:vAlign w:val="center"/>
            <w:hideMark/>
          </w:tcPr>
          <w:p w:rsidR="00937C92" w:rsidRPr="00A33F71" w:rsidRDefault="00937C92"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240</w:t>
            </w:r>
          </w:p>
        </w:tc>
        <w:tc>
          <w:tcPr>
            <w:tcW w:w="0" w:type="auto"/>
            <w:tcBorders>
              <w:top w:val="nil"/>
              <w:left w:val="nil"/>
              <w:right w:val="nil"/>
            </w:tcBorders>
            <w:shd w:val="clear" w:color="auto" w:fill="FFFFFF"/>
            <w:tcMar>
              <w:top w:w="40" w:type="dxa"/>
              <w:left w:w="40" w:type="dxa"/>
              <w:bottom w:w="40" w:type="dxa"/>
              <w:right w:w="40" w:type="dxa"/>
            </w:tcMar>
            <w:vAlign w:val="center"/>
            <w:hideMark/>
          </w:tcPr>
          <w:p w:rsidR="00937C92" w:rsidRPr="00A33F71" w:rsidRDefault="00937C92"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125</w:t>
            </w:r>
          </w:p>
        </w:tc>
        <w:tc>
          <w:tcPr>
            <w:tcW w:w="0" w:type="auto"/>
            <w:tcBorders>
              <w:top w:val="nil"/>
              <w:left w:val="nil"/>
              <w:right w:val="nil"/>
            </w:tcBorders>
            <w:shd w:val="clear" w:color="auto" w:fill="FFFFFF"/>
            <w:tcMar>
              <w:top w:w="40" w:type="dxa"/>
              <w:left w:w="40" w:type="dxa"/>
              <w:bottom w:w="40" w:type="dxa"/>
              <w:right w:w="40" w:type="dxa"/>
            </w:tcMar>
            <w:vAlign w:val="center"/>
            <w:hideMark/>
          </w:tcPr>
          <w:p w:rsidR="00937C92" w:rsidRPr="00A33F71" w:rsidRDefault="00937C92"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351</w:t>
            </w:r>
          </w:p>
        </w:tc>
        <w:tc>
          <w:tcPr>
            <w:tcW w:w="3386" w:type="dxa"/>
            <w:tcBorders>
              <w:top w:val="nil"/>
              <w:left w:val="nil"/>
              <w:right w:val="nil"/>
            </w:tcBorders>
            <w:shd w:val="clear" w:color="auto" w:fill="FFFFFF"/>
            <w:tcMar>
              <w:top w:w="40" w:type="dxa"/>
              <w:left w:w="40" w:type="dxa"/>
              <w:bottom w:w="40" w:type="dxa"/>
              <w:right w:w="40" w:type="dxa"/>
            </w:tcMar>
            <w:vAlign w:val="center"/>
            <w:hideMark/>
          </w:tcPr>
          <w:p w:rsidR="00937C92" w:rsidRPr="00A33F71" w:rsidRDefault="00937C92" w:rsidP="0060036F">
            <w:pPr>
              <w:spacing w:before="0" w:after="120" w:line="240" w:lineRule="auto"/>
              <w:textAlignment w:val="center"/>
              <w:rPr>
                <w:rFonts w:eastAsia="Times New Roman" w:cs="Arial"/>
                <w:color w:val="000000"/>
                <w:sz w:val="18"/>
                <w:szCs w:val="18"/>
                <w:lang w:eastAsia="en-AU"/>
              </w:rPr>
            </w:pPr>
            <w:r w:rsidRPr="0060036F">
              <w:rPr>
                <w:rFonts w:eastAsia="Times New Roman" w:cs="Arial"/>
                <w:color w:val="000000"/>
                <w:sz w:val="18"/>
                <w:szCs w:val="18"/>
                <w:lang w:eastAsia="en-AU"/>
              </w:rPr>
              <w:t xml:space="preserve">2131~f~080 </w:t>
            </w:r>
            <w:proofErr w:type="spellStart"/>
            <w:r w:rsidRPr="0060036F">
              <w:rPr>
                <w:rFonts w:eastAsia="Times New Roman" w:cs="Arial"/>
                <w:color w:val="000000"/>
                <w:sz w:val="18"/>
                <w:szCs w:val="18"/>
                <w:lang w:eastAsia="en-AU"/>
              </w:rPr>
              <w:t>chg</w:t>
            </w:r>
            <w:proofErr w:type="spellEnd"/>
            <w:r w:rsidRPr="0060036F">
              <w:rPr>
                <w:rFonts w:eastAsia="Times New Roman" w:cs="Arial"/>
                <w:color w:val="000000"/>
                <w:sz w:val="18"/>
                <w:szCs w:val="18"/>
                <w:lang w:eastAsia="en-AU"/>
              </w:rPr>
              <w:t xml:space="preserve"> in pipeline cond~82 change in </w:t>
            </w:r>
            <w:proofErr w:type="spellStart"/>
            <w:r w:rsidRPr="0060036F">
              <w:rPr>
                <w:rFonts w:eastAsia="Times New Roman" w:cs="Arial"/>
                <w:color w:val="000000"/>
                <w:sz w:val="18"/>
                <w:szCs w:val="18"/>
                <w:lang w:eastAsia="en-AU"/>
              </w:rPr>
              <w:t>imbal</w:t>
            </w:r>
            <w:proofErr w:type="spellEnd"/>
            <w:r w:rsidRPr="0060036F">
              <w:rPr>
                <w:rFonts w:eastAsia="Times New Roman" w:cs="Arial"/>
                <w:color w:val="000000"/>
                <w:sz w:val="18"/>
                <w:szCs w:val="18"/>
                <w:lang w:eastAsia="en-AU"/>
              </w:rPr>
              <w:t xml:space="preserve"> </w:t>
            </w:r>
            <w:proofErr w:type="spellStart"/>
            <w:r w:rsidRPr="0060036F">
              <w:rPr>
                <w:rFonts w:eastAsia="Times New Roman" w:cs="Arial"/>
                <w:color w:val="000000"/>
                <w:sz w:val="18"/>
                <w:szCs w:val="18"/>
                <w:lang w:eastAsia="en-AU"/>
              </w:rPr>
              <w:t>pos</w:t>
            </w:r>
            <w:proofErr w:type="spellEnd"/>
            <w:r w:rsidRPr="0060036F">
              <w:rPr>
                <w:rFonts w:eastAsia="Times New Roman" w:cs="Arial"/>
                <w:color w:val="000000"/>
                <w:sz w:val="18"/>
                <w:szCs w:val="18"/>
                <w:lang w:eastAsia="en-AU"/>
              </w:rPr>
              <w:t xml:space="preserve"> </w:t>
            </w:r>
            <w:proofErr w:type="spellStart"/>
            <w:r w:rsidRPr="0060036F">
              <w:rPr>
                <w:rFonts w:eastAsia="Times New Roman" w:cs="Arial"/>
                <w:color w:val="000000"/>
                <w:sz w:val="18"/>
                <w:szCs w:val="18"/>
                <w:lang w:eastAsia="en-AU"/>
              </w:rPr>
              <w:t>seagas</w:t>
            </w:r>
            <w:proofErr w:type="spellEnd"/>
            <w:r w:rsidRPr="0060036F">
              <w:rPr>
                <w:rFonts w:eastAsia="Times New Roman" w:cs="Arial"/>
                <w:color w:val="000000"/>
                <w:sz w:val="18"/>
                <w:szCs w:val="18"/>
                <w:lang w:eastAsia="en-AU"/>
              </w:rPr>
              <w:t xml:space="preserve"> - conserve gas</w:t>
            </w:r>
          </w:p>
        </w:tc>
      </w:tr>
      <w:tr w:rsidR="001639C3" w:rsidRPr="00A33F71" w:rsidTr="00CF17DE">
        <w:trPr>
          <w:trHeight w:val="577"/>
        </w:trPr>
        <w:tc>
          <w:tcPr>
            <w:tcW w:w="0" w:type="auto"/>
            <w:tcBorders>
              <w:top w:val="nil"/>
              <w:left w:val="nil"/>
              <w:bottom w:val="single" w:sz="4" w:space="0" w:color="auto"/>
              <w:right w:val="nil"/>
            </w:tcBorders>
            <w:shd w:val="clear" w:color="auto" w:fill="DBE5F1"/>
            <w:tcMar>
              <w:top w:w="40" w:type="dxa"/>
              <w:left w:w="40" w:type="dxa"/>
              <w:bottom w:w="40" w:type="dxa"/>
              <w:right w:w="40" w:type="dxa"/>
            </w:tcMar>
            <w:vAlign w:val="center"/>
            <w:hideMark/>
          </w:tcPr>
          <w:p w:rsidR="00937C92" w:rsidRPr="00A33F71" w:rsidRDefault="00937C92"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10.19 pm</w:t>
            </w:r>
          </w:p>
        </w:tc>
        <w:tc>
          <w:tcPr>
            <w:tcW w:w="0" w:type="auto"/>
            <w:tcBorders>
              <w:top w:val="nil"/>
              <w:left w:val="nil"/>
              <w:bottom w:val="single" w:sz="4" w:space="0" w:color="auto"/>
              <w:right w:val="nil"/>
            </w:tcBorders>
            <w:shd w:val="clear" w:color="auto" w:fill="DBE5F1"/>
            <w:tcMar>
              <w:top w:w="40" w:type="dxa"/>
              <w:left w:w="40" w:type="dxa"/>
              <w:bottom w:w="40" w:type="dxa"/>
              <w:right w:w="40" w:type="dxa"/>
            </w:tcMar>
            <w:vAlign w:val="center"/>
            <w:hideMark/>
          </w:tcPr>
          <w:p w:rsidR="00937C92" w:rsidRPr="00A33F71" w:rsidRDefault="00937C92"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10.30 pm</w:t>
            </w:r>
          </w:p>
        </w:tc>
        <w:tc>
          <w:tcPr>
            <w:tcW w:w="0" w:type="auto"/>
            <w:tcBorders>
              <w:top w:val="nil"/>
              <w:left w:val="nil"/>
              <w:bottom w:val="single" w:sz="4" w:space="0" w:color="auto"/>
              <w:right w:val="nil"/>
            </w:tcBorders>
            <w:shd w:val="clear" w:color="auto" w:fill="DBE5F1"/>
            <w:tcMar>
              <w:top w:w="40" w:type="dxa"/>
              <w:left w:w="40" w:type="dxa"/>
              <w:bottom w:w="40" w:type="dxa"/>
              <w:right w:w="40" w:type="dxa"/>
            </w:tcMar>
            <w:vAlign w:val="center"/>
            <w:hideMark/>
          </w:tcPr>
          <w:p w:rsidR="00937C92" w:rsidRPr="00A33F71" w:rsidRDefault="00937C92" w:rsidP="0060036F">
            <w:pPr>
              <w:spacing w:before="0" w:after="120" w:line="240" w:lineRule="auto"/>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AGL Energy</w:t>
            </w:r>
          </w:p>
        </w:tc>
        <w:tc>
          <w:tcPr>
            <w:tcW w:w="0" w:type="auto"/>
            <w:tcBorders>
              <w:top w:val="nil"/>
              <w:left w:val="nil"/>
              <w:bottom w:val="single" w:sz="4" w:space="0" w:color="auto"/>
              <w:right w:val="nil"/>
            </w:tcBorders>
            <w:shd w:val="clear" w:color="auto" w:fill="DBE5F1"/>
            <w:tcMar>
              <w:top w:w="40" w:type="dxa"/>
              <w:left w:w="40" w:type="dxa"/>
              <w:bottom w:w="40" w:type="dxa"/>
              <w:right w:w="40" w:type="dxa"/>
            </w:tcMar>
            <w:vAlign w:val="center"/>
            <w:hideMark/>
          </w:tcPr>
          <w:p w:rsidR="00937C92" w:rsidRPr="00A33F71" w:rsidRDefault="00937C92" w:rsidP="0060036F">
            <w:pPr>
              <w:spacing w:before="0" w:after="120" w:line="240" w:lineRule="auto"/>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Torrens Island</w:t>
            </w:r>
          </w:p>
        </w:tc>
        <w:tc>
          <w:tcPr>
            <w:tcW w:w="0" w:type="auto"/>
            <w:tcBorders>
              <w:top w:val="nil"/>
              <w:left w:val="nil"/>
              <w:bottom w:val="single" w:sz="4" w:space="0" w:color="auto"/>
              <w:right w:val="nil"/>
            </w:tcBorders>
            <w:shd w:val="clear" w:color="auto" w:fill="DBE5F1"/>
            <w:tcMar>
              <w:top w:w="40" w:type="dxa"/>
              <w:left w:w="40" w:type="dxa"/>
              <w:bottom w:w="40" w:type="dxa"/>
              <w:right w:w="40" w:type="dxa"/>
            </w:tcMar>
            <w:vAlign w:val="center"/>
            <w:hideMark/>
          </w:tcPr>
          <w:p w:rsidR="00937C92" w:rsidRPr="00A33F71" w:rsidRDefault="00937C92"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80</w:t>
            </w:r>
          </w:p>
        </w:tc>
        <w:tc>
          <w:tcPr>
            <w:tcW w:w="0" w:type="auto"/>
            <w:tcBorders>
              <w:top w:val="nil"/>
              <w:left w:val="nil"/>
              <w:bottom w:val="single" w:sz="4" w:space="0" w:color="auto"/>
              <w:right w:val="nil"/>
            </w:tcBorders>
            <w:shd w:val="clear" w:color="auto" w:fill="DBE5F1"/>
            <w:tcMar>
              <w:top w:w="40" w:type="dxa"/>
              <w:left w:w="40" w:type="dxa"/>
              <w:bottom w:w="40" w:type="dxa"/>
              <w:right w:w="40" w:type="dxa"/>
            </w:tcMar>
            <w:vAlign w:val="center"/>
            <w:hideMark/>
          </w:tcPr>
          <w:p w:rsidR="00937C92" w:rsidRPr="00A33F71" w:rsidRDefault="00937C92"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65</w:t>
            </w:r>
          </w:p>
        </w:tc>
        <w:tc>
          <w:tcPr>
            <w:tcW w:w="0" w:type="auto"/>
            <w:tcBorders>
              <w:top w:val="nil"/>
              <w:left w:val="nil"/>
              <w:bottom w:val="single" w:sz="4" w:space="0" w:color="auto"/>
              <w:right w:val="nil"/>
            </w:tcBorders>
            <w:shd w:val="clear" w:color="auto" w:fill="DBE5F1"/>
            <w:tcMar>
              <w:top w:w="40" w:type="dxa"/>
              <w:left w:w="40" w:type="dxa"/>
              <w:bottom w:w="40" w:type="dxa"/>
              <w:right w:w="40" w:type="dxa"/>
            </w:tcMar>
            <w:vAlign w:val="center"/>
            <w:hideMark/>
          </w:tcPr>
          <w:p w:rsidR="00937C92" w:rsidRPr="00A33F71" w:rsidRDefault="00937C92" w:rsidP="0060036F">
            <w:pPr>
              <w:spacing w:before="0" w:after="120" w:line="240" w:lineRule="auto"/>
              <w:jc w:val="center"/>
              <w:textAlignment w:val="center"/>
              <w:rPr>
                <w:rFonts w:eastAsia="Times New Roman" w:cs="Arial"/>
                <w:color w:val="000000"/>
                <w:sz w:val="18"/>
                <w:szCs w:val="18"/>
                <w:lang w:eastAsia="en-AU"/>
              </w:rPr>
            </w:pPr>
            <w:r w:rsidRPr="00A33F71">
              <w:rPr>
                <w:rFonts w:eastAsia="Times New Roman" w:cs="Arial"/>
                <w:color w:val="000000"/>
                <w:sz w:val="18"/>
                <w:szCs w:val="18"/>
                <w:lang w:eastAsia="en-AU"/>
              </w:rPr>
              <w:t>351</w:t>
            </w:r>
          </w:p>
        </w:tc>
        <w:tc>
          <w:tcPr>
            <w:tcW w:w="3386" w:type="dxa"/>
            <w:tcBorders>
              <w:top w:val="nil"/>
              <w:left w:val="nil"/>
              <w:bottom w:val="single" w:sz="4" w:space="0" w:color="auto"/>
              <w:right w:val="nil"/>
            </w:tcBorders>
            <w:shd w:val="clear" w:color="auto" w:fill="DBE5F1"/>
            <w:tcMar>
              <w:top w:w="40" w:type="dxa"/>
              <w:left w:w="40" w:type="dxa"/>
              <w:bottom w:w="40" w:type="dxa"/>
              <w:right w:w="40" w:type="dxa"/>
            </w:tcMar>
            <w:vAlign w:val="center"/>
            <w:hideMark/>
          </w:tcPr>
          <w:p w:rsidR="00937C92" w:rsidRPr="00A33F71" w:rsidRDefault="00937C92" w:rsidP="0060036F">
            <w:pPr>
              <w:spacing w:before="0" w:after="120" w:line="240" w:lineRule="auto"/>
              <w:textAlignment w:val="center"/>
              <w:rPr>
                <w:rFonts w:eastAsia="Times New Roman" w:cs="Arial"/>
                <w:color w:val="000000"/>
                <w:sz w:val="18"/>
                <w:szCs w:val="18"/>
                <w:lang w:eastAsia="en-AU"/>
              </w:rPr>
            </w:pPr>
            <w:r w:rsidRPr="0060036F">
              <w:rPr>
                <w:rFonts w:eastAsia="Times New Roman" w:cs="Arial"/>
                <w:color w:val="000000"/>
                <w:sz w:val="18"/>
                <w:szCs w:val="18"/>
                <w:lang w:eastAsia="en-AU"/>
              </w:rPr>
              <w:t xml:space="preserve">2201~p~080 </w:t>
            </w:r>
            <w:proofErr w:type="spellStart"/>
            <w:r w:rsidRPr="0060036F">
              <w:rPr>
                <w:rFonts w:eastAsia="Times New Roman" w:cs="Arial"/>
                <w:color w:val="000000"/>
                <w:sz w:val="18"/>
                <w:szCs w:val="18"/>
                <w:lang w:eastAsia="en-AU"/>
              </w:rPr>
              <w:t>chg</w:t>
            </w:r>
            <w:proofErr w:type="spellEnd"/>
            <w:r w:rsidRPr="0060036F">
              <w:rPr>
                <w:rFonts w:eastAsia="Times New Roman" w:cs="Arial"/>
                <w:color w:val="000000"/>
                <w:sz w:val="18"/>
                <w:szCs w:val="18"/>
                <w:lang w:eastAsia="en-AU"/>
              </w:rPr>
              <w:t xml:space="preserve"> in pipeline cond~801 change in </w:t>
            </w:r>
            <w:proofErr w:type="spellStart"/>
            <w:r w:rsidRPr="0060036F">
              <w:rPr>
                <w:rFonts w:eastAsia="Times New Roman" w:cs="Arial"/>
                <w:color w:val="000000"/>
                <w:sz w:val="18"/>
                <w:szCs w:val="18"/>
                <w:lang w:eastAsia="en-AU"/>
              </w:rPr>
              <w:t>imbal</w:t>
            </w:r>
            <w:proofErr w:type="spellEnd"/>
            <w:r w:rsidRPr="0060036F">
              <w:rPr>
                <w:rFonts w:eastAsia="Times New Roman" w:cs="Arial"/>
                <w:color w:val="000000"/>
                <w:sz w:val="18"/>
                <w:szCs w:val="18"/>
                <w:lang w:eastAsia="en-AU"/>
              </w:rPr>
              <w:t xml:space="preserve"> </w:t>
            </w:r>
            <w:proofErr w:type="spellStart"/>
            <w:r w:rsidRPr="0060036F">
              <w:rPr>
                <w:rFonts w:eastAsia="Times New Roman" w:cs="Arial"/>
                <w:color w:val="000000"/>
                <w:sz w:val="18"/>
                <w:szCs w:val="18"/>
                <w:lang w:eastAsia="en-AU"/>
              </w:rPr>
              <w:t>pos</w:t>
            </w:r>
            <w:proofErr w:type="spellEnd"/>
            <w:r w:rsidRPr="0060036F">
              <w:rPr>
                <w:rFonts w:eastAsia="Times New Roman" w:cs="Arial"/>
                <w:color w:val="000000"/>
                <w:sz w:val="18"/>
                <w:szCs w:val="18"/>
                <w:lang w:eastAsia="en-AU"/>
              </w:rPr>
              <w:t xml:space="preserve"> </w:t>
            </w:r>
            <w:proofErr w:type="spellStart"/>
            <w:r w:rsidRPr="0060036F">
              <w:rPr>
                <w:rFonts w:eastAsia="Times New Roman" w:cs="Arial"/>
                <w:color w:val="000000"/>
                <w:sz w:val="18"/>
                <w:szCs w:val="18"/>
                <w:lang w:eastAsia="en-AU"/>
              </w:rPr>
              <w:t>seagas</w:t>
            </w:r>
            <w:proofErr w:type="spellEnd"/>
            <w:r w:rsidRPr="0060036F">
              <w:rPr>
                <w:rFonts w:eastAsia="Times New Roman" w:cs="Arial"/>
                <w:color w:val="000000"/>
                <w:sz w:val="18"/>
                <w:szCs w:val="18"/>
                <w:lang w:eastAsia="en-AU"/>
              </w:rPr>
              <w:t xml:space="preserve"> - conserve gas</w:t>
            </w:r>
          </w:p>
        </w:tc>
      </w:tr>
    </w:tbl>
    <w:p w:rsidR="00CA2FF0" w:rsidRDefault="00735A7F" w:rsidP="00896A23">
      <w:pPr>
        <w:pStyle w:val="AERbodytext"/>
      </w:pPr>
      <w:r>
        <w:t xml:space="preserve">Northern Power Station unit 2 suffered a tube leak and started reducing its output from 8 pm and was off line after 9.40 pm. </w:t>
      </w:r>
      <w:r w:rsidR="001639C3">
        <w:t>As a result of rebidding</w:t>
      </w:r>
      <w:r>
        <w:t xml:space="preserve"> and the reduction in available generation </w:t>
      </w:r>
      <w:r w:rsidR="001639C3">
        <w:t xml:space="preserve">the dispatch interval price from </w:t>
      </w:r>
      <w:r w:rsidR="00A3638F">
        <w:t>10.05</w:t>
      </w:r>
      <w:r>
        <w:t> </w:t>
      </w:r>
      <w:r w:rsidR="00A3638F">
        <w:t>pm to 10.45</w:t>
      </w:r>
      <w:r>
        <w:t> </w:t>
      </w:r>
      <w:r w:rsidR="00A3638F">
        <w:t>p</w:t>
      </w:r>
      <w:r w:rsidR="001639C3">
        <w:t xml:space="preserve">m was </w:t>
      </w:r>
      <w:r>
        <w:t xml:space="preserve">set by Torrens Island at </w:t>
      </w:r>
      <w:r w:rsidR="001639C3">
        <w:t xml:space="preserve">around $350/MWh. </w:t>
      </w:r>
      <w:r w:rsidR="00A3638F">
        <w:t>At 10.50</w:t>
      </w:r>
      <w:r>
        <w:t> </w:t>
      </w:r>
      <w:r w:rsidR="00A3638F">
        <w:t xml:space="preserve">pm </w:t>
      </w:r>
      <w:r>
        <w:t xml:space="preserve">demand decreased by around 107 MW (in part due to an increase in non-scheduled generation) and </w:t>
      </w:r>
      <w:r w:rsidR="00A3638F">
        <w:t xml:space="preserve">the dispatch fell to $65/MWh. </w:t>
      </w:r>
      <w:r w:rsidR="00CA2FF0">
        <w:t xml:space="preserve"> </w:t>
      </w:r>
    </w:p>
    <w:p w:rsidR="00735A7F" w:rsidRDefault="00735A7F">
      <w:pPr>
        <w:spacing w:line="240" w:lineRule="auto"/>
        <w:rPr>
          <w:rFonts w:eastAsia="Times New Roman" w:cs="Times New Roman"/>
          <w:b/>
          <w:bCs/>
          <w:color w:val="51626F"/>
          <w:sz w:val="24"/>
          <w:szCs w:val="20"/>
        </w:rPr>
      </w:pPr>
      <w:r>
        <w:br w:type="page"/>
      </w:r>
    </w:p>
    <w:p w:rsidR="008A6722" w:rsidRPr="0067180B" w:rsidRDefault="008A6722" w:rsidP="008A6722">
      <w:pPr>
        <w:pStyle w:val="AERHeading3"/>
      </w:pPr>
      <w:r>
        <w:lastRenderedPageBreak/>
        <w:t>Friday, 25 December</w:t>
      </w:r>
      <w:r w:rsidRPr="0067180B">
        <w:t xml:space="preserve"> </w:t>
      </w:r>
    </w:p>
    <w:p w:rsidR="008A6722" w:rsidRPr="0067180B" w:rsidRDefault="0075734E" w:rsidP="008A6722">
      <w:pPr>
        <w:pStyle w:val="Caption"/>
      </w:pPr>
      <w:r>
        <w:t>Table 6</w:t>
      </w:r>
      <w:r w:rsidR="008A6722" w:rsidRPr="0067180B">
        <w:t>: Price, Demand and Availability</w:t>
      </w:r>
      <w:r w:rsidR="00051AD6">
        <w:t xml:space="preserve"> for 10 am</w:t>
      </w:r>
    </w:p>
    <w:tbl>
      <w:tblPr>
        <w:tblStyle w:val="AERTable-Text"/>
        <w:tblW w:w="5000" w:type="pct"/>
        <w:tblLook w:val="04A0" w:firstRow="1" w:lastRow="0" w:firstColumn="1" w:lastColumn="0" w:noHBand="0" w:noVBand="1"/>
      </w:tblPr>
      <w:tblGrid>
        <w:gridCol w:w="1101"/>
        <w:gridCol w:w="1014"/>
        <w:gridCol w:w="928"/>
        <w:gridCol w:w="928"/>
        <w:gridCol w:w="773"/>
        <w:gridCol w:w="928"/>
        <w:gridCol w:w="928"/>
        <w:gridCol w:w="786"/>
        <w:gridCol w:w="928"/>
        <w:gridCol w:w="928"/>
      </w:tblGrid>
      <w:tr w:rsidR="008A6722" w:rsidRPr="0067180B" w:rsidTr="00F21A07">
        <w:trPr>
          <w:cnfStyle w:val="100000000000" w:firstRow="1" w:lastRow="0" w:firstColumn="0" w:lastColumn="0" w:oddVBand="0" w:evenVBand="0" w:oddHBand="0" w:evenHBand="0" w:firstRowFirstColumn="0" w:firstRowLastColumn="0" w:lastRowFirstColumn="0" w:lastRowLastColumn="0"/>
          <w:tblHeader/>
        </w:trPr>
        <w:tc>
          <w:tcPr>
            <w:tcW w:w="596" w:type="pct"/>
            <w:hideMark/>
          </w:tcPr>
          <w:p w:rsidR="008A6722" w:rsidRPr="0067180B" w:rsidRDefault="008A6722" w:rsidP="00F21A07">
            <w:pPr>
              <w:pStyle w:val="TableHeading"/>
              <w:jc w:val="center"/>
              <w:rPr>
                <w:rFonts w:cs="Arial"/>
                <w:sz w:val="20"/>
                <w:szCs w:val="20"/>
              </w:rPr>
            </w:pPr>
            <w:r w:rsidRPr="0067180B">
              <w:rPr>
                <w:rFonts w:cs="Arial"/>
                <w:sz w:val="20"/>
                <w:szCs w:val="20"/>
              </w:rPr>
              <w:t xml:space="preserve">Time </w:t>
            </w:r>
          </w:p>
        </w:tc>
        <w:tc>
          <w:tcPr>
            <w:tcW w:w="1553" w:type="pct"/>
            <w:gridSpan w:val="3"/>
            <w:hideMark/>
          </w:tcPr>
          <w:p w:rsidR="008A6722" w:rsidRPr="0067180B" w:rsidRDefault="008A6722" w:rsidP="00F21A07">
            <w:pPr>
              <w:pStyle w:val="TableHeading"/>
              <w:jc w:val="center"/>
              <w:rPr>
                <w:rFonts w:cs="Arial"/>
                <w:sz w:val="20"/>
                <w:szCs w:val="20"/>
              </w:rPr>
            </w:pPr>
            <w:r w:rsidRPr="0067180B">
              <w:rPr>
                <w:rFonts w:cs="Arial"/>
                <w:sz w:val="20"/>
                <w:szCs w:val="20"/>
              </w:rPr>
              <w:t>Price ($/MWh)</w:t>
            </w:r>
          </w:p>
        </w:tc>
        <w:tc>
          <w:tcPr>
            <w:tcW w:w="1422" w:type="pct"/>
            <w:gridSpan w:val="3"/>
            <w:hideMark/>
          </w:tcPr>
          <w:p w:rsidR="008A6722" w:rsidRPr="0067180B" w:rsidRDefault="008A6722" w:rsidP="00F21A07">
            <w:pPr>
              <w:pStyle w:val="TableHeading"/>
              <w:jc w:val="center"/>
              <w:rPr>
                <w:rFonts w:cs="Arial"/>
                <w:sz w:val="20"/>
                <w:szCs w:val="20"/>
              </w:rPr>
            </w:pPr>
            <w:r w:rsidRPr="0067180B">
              <w:rPr>
                <w:rFonts w:cs="Arial"/>
                <w:sz w:val="20"/>
                <w:szCs w:val="20"/>
              </w:rPr>
              <w:t>Demand (MW)</w:t>
            </w:r>
          </w:p>
        </w:tc>
        <w:tc>
          <w:tcPr>
            <w:tcW w:w="1429" w:type="pct"/>
            <w:gridSpan w:val="3"/>
            <w:hideMark/>
          </w:tcPr>
          <w:p w:rsidR="008A6722" w:rsidRPr="0067180B" w:rsidRDefault="008A6722" w:rsidP="00F21A07">
            <w:pPr>
              <w:pStyle w:val="TableHeading"/>
              <w:jc w:val="center"/>
              <w:rPr>
                <w:rFonts w:cs="Arial"/>
                <w:sz w:val="20"/>
                <w:szCs w:val="20"/>
              </w:rPr>
            </w:pPr>
            <w:r w:rsidRPr="0067180B">
              <w:rPr>
                <w:rFonts w:cs="Arial"/>
                <w:sz w:val="20"/>
                <w:szCs w:val="20"/>
              </w:rPr>
              <w:t>Availability (MW)</w:t>
            </w:r>
          </w:p>
        </w:tc>
      </w:tr>
      <w:tr w:rsidR="008A6722" w:rsidRPr="0067180B" w:rsidTr="00F21A07">
        <w:trPr>
          <w:cnfStyle w:val="100000000000" w:firstRow="1" w:lastRow="0" w:firstColumn="0" w:lastColumn="0" w:oddVBand="0" w:evenVBand="0" w:oddHBand="0" w:evenHBand="0" w:firstRowFirstColumn="0" w:firstRowLastColumn="0" w:lastRowFirstColumn="0" w:lastRowLastColumn="0"/>
          <w:tblHeader/>
        </w:trPr>
        <w:tc>
          <w:tcPr>
            <w:tcW w:w="596" w:type="pct"/>
            <w:shd w:val="clear" w:color="auto" w:fill="007192" w:themeFill="accent3" w:themeFillShade="BF"/>
            <w:hideMark/>
          </w:tcPr>
          <w:p w:rsidR="008A6722" w:rsidRPr="0067180B" w:rsidRDefault="008A6722" w:rsidP="00F21A07">
            <w:pPr>
              <w:pStyle w:val="tableheadingline2"/>
              <w:rPr>
                <w:rFonts w:cs="Arial"/>
                <w:sz w:val="20"/>
                <w:szCs w:val="20"/>
              </w:rPr>
            </w:pPr>
            <w:r w:rsidRPr="0067180B">
              <w:rPr>
                <w:rFonts w:cs="Arial"/>
                <w:sz w:val="20"/>
                <w:szCs w:val="20"/>
              </w:rPr>
              <w:t> </w:t>
            </w:r>
          </w:p>
        </w:tc>
        <w:tc>
          <w:tcPr>
            <w:tcW w:w="549" w:type="pct"/>
            <w:shd w:val="clear" w:color="auto" w:fill="007192" w:themeFill="accent3" w:themeFillShade="BF"/>
            <w:hideMark/>
          </w:tcPr>
          <w:p w:rsidR="008A6722" w:rsidRPr="0067180B" w:rsidRDefault="008A6722" w:rsidP="00F21A07">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8A6722" w:rsidRPr="0067180B" w:rsidRDefault="008A6722" w:rsidP="00F21A07">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8A6722" w:rsidRPr="0067180B" w:rsidRDefault="008A6722" w:rsidP="00F21A07">
            <w:pPr>
              <w:pStyle w:val="tableheadingline2"/>
              <w:rPr>
                <w:rFonts w:cs="Arial"/>
                <w:sz w:val="20"/>
                <w:szCs w:val="20"/>
              </w:rPr>
            </w:pPr>
            <w:r w:rsidRPr="0067180B">
              <w:rPr>
                <w:rFonts w:cs="Arial"/>
                <w:sz w:val="20"/>
                <w:szCs w:val="20"/>
              </w:rPr>
              <w:t>12 hr forecast</w:t>
            </w:r>
          </w:p>
        </w:tc>
        <w:tc>
          <w:tcPr>
            <w:tcW w:w="418" w:type="pct"/>
            <w:shd w:val="clear" w:color="auto" w:fill="007192" w:themeFill="accent3" w:themeFillShade="BF"/>
            <w:hideMark/>
          </w:tcPr>
          <w:p w:rsidR="008A6722" w:rsidRPr="0067180B" w:rsidRDefault="008A6722" w:rsidP="00F21A07">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8A6722" w:rsidRPr="0067180B" w:rsidRDefault="008A6722" w:rsidP="00F21A07">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8A6722" w:rsidRPr="0067180B" w:rsidRDefault="008A6722" w:rsidP="00F21A07">
            <w:pPr>
              <w:pStyle w:val="tableheadingline2"/>
              <w:rPr>
                <w:rFonts w:cs="Arial"/>
                <w:sz w:val="20"/>
                <w:szCs w:val="20"/>
              </w:rPr>
            </w:pPr>
            <w:r w:rsidRPr="0067180B">
              <w:rPr>
                <w:rFonts w:cs="Arial"/>
                <w:sz w:val="20"/>
                <w:szCs w:val="20"/>
              </w:rPr>
              <w:t>12 hr forecast</w:t>
            </w:r>
          </w:p>
        </w:tc>
        <w:tc>
          <w:tcPr>
            <w:tcW w:w="425" w:type="pct"/>
            <w:shd w:val="clear" w:color="auto" w:fill="007192" w:themeFill="accent3" w:themeFillShade="BF"/>
            <w:hideMark/>
          </w:tcPr>
          <w:p w:rsidR="008A6722" w:rsidRPr="0067180B" w:rsidRDefault="008A6722" w:rsidP="00F21A07">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8A6722" w:rsidRPr="0067180B" w:rsidRDefault="008A6722" w:rsidP="00F21A07">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8A6722" w:rsidRPr="0067180B" w:rsidRDefault="008A6722" w:rsidP="00F21A07">
            <w:pPr>
              <w:pStyle w:val="tableheadingline2"/>
              <w:rPr>
                <w:rFonts w:cs="Arial"/>
                <w:sz w:val="20"/>
                <w:szCs w:val="20"/>
              </w:rPr>
            </w:pPr>
            <w:r w:rsidRPr="0067180B">
              <w:rPr>
                <w:rFonts w:cs="Arial"/>
                <w:sz w:val="20"/>
                <w:szCs w:val="20"/>
              </w:rPr>
              <w:t>12 hr forecast</w:t>
            </w:r>
          </w:p>
        </w:tc>
      </w:tr>
      <w:tr w:rsidR="008A6722" w:rsidRPr="0067180B" w:rsidTr="00F21A07">
        <w:trPr>
          <w:trHeight w:val="510"/>
        </w:trPr>
        <w:tc>
          <w:tcPr>
            <w:tcW w:w="596" w:type="pct"/>
            <w:vAlign w:val="center"/>
          </w:tcPr>
          <w:p w:rsidR="008A6722" w:rsidRPr="00E64CEC" w:rsidRDefault="008A6722" w:rsidP="00F21A07">
            <w:pPr>
              <w:pStyle w:val="NormalWeb"/>
              <w:jc w:val="center"/>
              <w:rPr>
                <w:rFonts w:asciiTheme="minorHAnsi" w:hAnsiTheme="minorHAnsi" w:cstheme="minorHAnsi"/>
                <w:b/>
                <w:bCs/>
                <w:sz w:val="18"/>
                <w:szCs w:val="16"/>
              </w:rPr>
            </w:pPr>
            <w:r>
              <w:rPr>
                <w:rFonts w:asciiTheme="minorHAnsi" w:hAnsiTheme="minorHAnsi" w:cstheme="minorHAnsi"/>
                <w:b/>
                <w:bCs/>
                <w:sz w:val="18"/>
                <w:szCs w:val="16"/>
              </w:rPr>
              <w:t>10 am</w:t>
            </w:r>
          </w:p>
        </w:tc>
        <w:tc>
          <w:tcPr>
            <w:tcW w:w="549" w:type="pct"/>
            <w:vAlign w:val="center"/>
          </w:tcPr>
          <w:p w:rsidR="008A6722" w:rsidRPr="00E64CEC" w:rsidRDefault="008A6722"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901.11</w:t>
            </w:r>
          </w:p>
        </w:tc>
        <w:tc>
          <w:tcPr>
            <w:tcW w:w="502" w:type="pct"/>
            <w:vAlign w:val="center"/>
          </w:tcPr>
          <w:p w:rsidR="008A6722" w:rsidRPr="00E64CEC" w:rsidRDefault="008A6722"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22.08</w:t>
            </w:r>
          </w:p>
        </w:tc>
        <w:tc>
          <w:tcPr>
            <w:tcW w:w="502" w:type="pct"/>
            <w:vAlign w:val="center"/>
          </w:tcPr>
          <w:p w:rsidR="008A6722" w:rsidRPr="00E64CEC" w:rsidRDefault="008A6722"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14.87</w:t>
            </w:r>
          </w:p>
        </w:tc>
        <w:tc>
          <w:tcPr>
            <w:tcW w:w="418" w:type="pct"/>
            <w:vAlign w:val="center"/>
          </w:tcPr>
          <w:p w:rsidR="008A6722" w:rsidRPr="00E64CEC" w:rsidRDefault="008A6722"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1524</w:t>
            </w:r>
          </w:p>
        </w:tc>
        <w:tc>
          <w:tcPr>
            <w:tcW w:w="502" w:type="pct"/>
            <w:vAlign w:val="center"/>
          </w:tcPr>
          <w:p w:rsidR="008A6722" w:rsidRPr="00E64CEC" w:rsidRDefault="008A6722"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1431</w:t>
            </w:r>
          </w:p>
        </w:tc>
        <w:tc>
          <w:tcPr>
            <w:tcW w:w="502" w:type="pct"/>
            <w:vAlign w:val="center"/>
          </w:tcPr>
          <w:p w:rsidR="008A6722" w:rsidRPr="00E64CEC" w:rsidRDefault="008A6722"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1438</w:t>
            </w:r>
          </w:p>
        </w:tc>
        <w:tc>
          <w:tcPr>
            <w:tcW w:w="425" w:type="pct"/>
            <w:vAlign w:val="center"/>
          </w:tcPr>
          <w:p w:rsidR="008A6722" w:rsidRPr="00E64CEC" w:rsidRDefault="008A6722"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2445</w:t>
            </w:r>
          </w:p>
        </w:tc>
        <w:tc>
          <w:tcPr>
            <w:tcW w:w="502" w:type="pct"/>
            <w:vAlign w:val="center"/>
          </w:tcPr>
          <w:p w:rsidR="008A6722" w:rsidRPr="00E64CEC" w:rsidRDefault="008A6722"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2536</w:t>
            </w:r>
          </w:p>
        </w:tc>
        <w:tc>
          <w:tcPr>
            <w:tcW w:w="502" w:type="pct"/>
            <w:vAlign w:val="center"/>
          </w:tcPr>
          <w:p w:rsidR="008A6722" w:rsidRPr="00E64CEC" w:rsidRDefault="008A6722"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2535</w:t>
            </w:r>
          </w:p>
        </w:tc>
      </w:tr>
    </w:tbl>
    <w:p w:rsidR="008A6722" w:rsidRDefault="00E06FFF" w:rsidP="00896A23">
      <w:pPr>
        <w:pStyle w:val="AERbodytext"/>
      </w:pPr>
      <w:r>
        <w:t>Conditions at the time saw demand 92</w:t>
      </w:r>
      <w:r w:rsidR="00735A7F">
        <w:t> </w:t>
      </w:r>
      <w:r>
        <w:t>MW more than forecast four hours ahead and available capacity 91</w:t>
      </w:r>
      <w:r w:rsidR="00735A7F">
        <w:t> </w:t>
      </w:r>
      <w:r>
        <w:t xml:space="preserve">MW less than forecast. </w:t>
      </w:r>
    </w:p>
    <w:p w:rsidR="00E06FFF" w:rsidRDefault="00E06FFF" w:rsidP="00896A23">
      <w:pPr>
        <w:pStyle w:val="AERbodytext"/>
      </w:pPr>
      <w:r>
        <w:t>At 9.27</w:t>
      </w:r>
      <w:r w:rsidR="00735A7F">
        <w:t> </w:t>
      </w:r>
      <w:r>
        <w:t>am, effective from 9.35</w:t>
      </w:r>
      <w:r w:rsidR="00735A7F">
        <w:t> </w:t>
      </w:r>
      <w:r>
        <w:t>am, AGL</w:t>
      </w:r>
      <w:r w:rsidR="00F967D7">
        <w:t xml:space="preserve"> Energy</w:t>
      </w:r>
      <w:r>
        <w:t xml:space="preserve"> rebid 300</w:t>
      </w:r>
      <w:r w:rsidR="00735A7F">
        <w:t> </w:t>
      </w:r>
      <w:r>
        <w:t xml:space="preserve">MW of available capacity at Torrens Island from under $125/MW to the price cap. The reason for the rebid was </w:t>
      </w:r>
      <w:r w:rsidR="005D1AC7">
        <w:t xml:space="preserve">‘0925~a~050 </w:t>
      </w:r>
      <w:proofErr w:type="spellStart"/>
      <w:r w:rsidR="005D1AC7">
        <w:t>chg</w:t>
      </w:r>
      <w:proofErr w:type="spellEnd"/>
      <w:r w:rsidR="005D1AC7">
        <w:t xml:space="preserve"> in </w:t>
      </w:r>
      <w:proofErr w:type="spellStart"/>
      <w:r w:rsidR="005D1AC7">
        <w:t>aemo</w:t>
      </w:r>
      <w:proofErr w:type="spellEnd"/>
      <w:r w:rsidR="005D1AC7">
        <w:t xml:space="preserve"> </w:t>
      </w:r>
      <w:proofErr w:type="gramStart"/>
      <w:r w:rsidR="005D1AC7">
        <w:t>pd~</w:t>
      </w:r>
      <w:proofErr w:type="gramEnd"/>
      <w:r w:rsidR="005D1AC7">
        <w:t xml:space="preserve">56 price increase $102 5mpd’. </w:t>
      </w:r>
    </w:p>
    <w:p w:rsidR="00BC3582" w:rsidRDefault="005035E6" w:rsidP="00896A23">
      <w:pPr>
        <w:pStyle w:val="AERbodytext"/>
      </w:pPr>
      <w:r>
        <w:t>As a result of the rebid</w:t>
      </w:r>
      <w:r w:rsidR="006D41C3">
        <w:t>ding, the dispatch interval price increased from $351/MWh at 9.30</w:t>
      </w:r>
      <w:r w:rsidR="00735A7F">
        <w:t> </w:t>
      </w:r>
      <w:r w:rsidR="006D41C3">
        <w:t>am to $5236/MWh at 9.35</w:t>
      </w:r>
      <w:r w:rsidR="00735A7F">
        <w:t> </w:t>
      </w:r>
      <w:r w:rsidR="006D41C3">
        <w:t xml:space="preserve">am. In the following dispatch interval </w:t>
      </w:r>
      <w:r w:rsidR="00735A7F">
        <w:t xml:space="preserve">a 139 MW decrease in demand (mostly due to an increase in non-scheduled generation) </w:t>
      </w:r>
      <w:r w:rsidR="00150885">
        <w:t>and rebid</w:t>
      </w:r>
      <w:r w:rsidR="00051AD6">
        <w:t>s for 80 MW of capacity</w:t>
      </w:r>
      <w:r w:rsidR="000D1846">
        <w:t xml:space="preserve"> </w:t>
      </w:r>
      <w:r w:rsidR="00051AD6">
        <w:t xml:space="preserve">priced </w:t>
      </w:r>
      <w:r w:rsidR="00150885">
        <w:t xml:space="preserve">above </w:t>
      </w:r>
      <w:r w:rsidR="006049AF">
        <w:t>$10</w:t>
      </w:r>
      <w:r w:rsidR="00051AD6">
        <w:t> </w:t>
      </w:r>
      <w:r w:rsidR="006049AF">
        <w:t>000/MWh to the price floor</w:t>
      </w:r>
      <w:r w:rsidR="00051AD6">
        <w:t xml:space="preserve"> reduced the price to $23/MWh</w:t>
      </w:r>
      <w:r w:rsidR="006D41C3">
        <w:t xml:space="preserve">.  </w:t>
      </w:r>
    </w:p>
    <w:p w:rsidR="00E06FFF" w:rsidRDefault="0075734E" w:rsidP="005D1AC7">
      <w:pPr>
        <w:pStyle w:val="Caption"/>
      </w:pPr>
      <w:r>
        <w:t>Table 7</w:t>
      </w:r>
      <w:r w:rsidR="005D1AC7" w:rsidRPr="0067180B">
        <w:t>: Price, Demand and Availability</w:t>
      </w:r>
      <w:r w:rsidR="00051AD6">
        <w:t xml:space="preserve"> for 11 am and 11.30 am</w:t>
      </w:r>
    </w:p>
    <w:tbl>
      <w:tblPr>
        <w:tblStyle w:val="AERTable-Text"/>
        <w:tblW w:w="5000" w:type="pct"/>
        <w:tblLook w:val="04A0" w:firstRow="1" w:lastRow="0" w:firstColumn="1" w:lastColumn="0" w:noHBand="0" w:noVBand="1"/>
      </w:tblPr>
      <w:tblGrid>
        <w:gridCol w:w="1101"/>
        <w:gridCol w:w="1014"/>
        <w:gridCol w:w="928"/>
        <w:gridCol w:w="928"/>
        <w:gridCol w:w="773"/>
        <w:gridCol w:w="928"/>
        <w:gridCol w:w="928"/>
        <w:gridCol w:w="786"/>
        <w:gridCol w:w="928"/>
        <w:gridCol w:w="928"/>
      </w:tblGrid>
      <w:tr w:rsidR="00E06FFF" w:rsidRPr="0067180B" w:rsidTr="00F21A07">
        <w:trPr>
          <w:cnfStyle w:val="100000000000" w:firstRow="1" w:lastRow="0" w:firstColumn="0" w:lastColumn="0" w:oddVBand="0" w:evenVBand="0" w:oddHBand="0" w:evenHBand="0" w:firstRowFirstColumn="0" w:firstRowLastColumn="0" w:lastRowFirstColumn="0" w:lastRowLastColumn="0"/>
          <w:tblHeader/>
        </w:trPr>
        <w:tc>
          <w:tcPr>
            <w:tcW w:w="596" w:type="pct"/>
            <w:hideMark/>
          </w:tcPr>
          <w:p w:rsidR="00E06FFF" w:rsidRPr="0067180B" w:rsidRDefault="00E06FFF" w:rsidP="00F21A07">
            <w:pPr>
              <w:pStyle w:val="TableHeading"/>
              <w:jc w:val="center"/>
              <w:rPr>
                <w:rFonts w:cs="Arial"/>
                <w:sz w:val="20"/>
                <w:szCs w:val="20"/>
              </w:rPr>
            </w:pPr>
            <w:r w:rsidRPr="0067180B">
              <w:rPr>
                <w:rFonts w:cs="Arial"/>
                <w:sz w:val="20"/>
                <w:szCs w:val="20"/>
              </w:rPr>
              <w:t xml:space="preserve">Time </w:t>
            </w:r>
          </w:p>
        </w:tc>
        <w:tc>
          <w:tcPr>
            <w:tcW w:w="1553" w:type="pct"/>
            <w:gridSpan w:val="3"/>
            <w:hideMark/>
          </w:tcPr>
          <w:p w:rsidR="00E06FFF" w:rsidRPr="0067180B" w:rsidRDefault="00E06FFF" w:rsidP="00F21A07">
            <w:pPr>
              <w:pStyle w:val="TableHeading"/>
              <w:jc w:val="center"/>
              <w:rPr>
                <w:rFonts w:cs="Arial"/>
                <w:sz w:val="20"/>
                <w:szCs w:val="20"/>
              </w:rPr>
            </w:pPr>
            <w:r w:rsidRPr="0067180B">
              <w:rPr>
                <w:rFonts w:cs="Arial"/>
                <w:sz w:val="20"/>
                <w:szCs w:val="20"/>
              </w:rPr>
              <w:t>Price ($/MWh)</w:t>
            </w:r>
          </w:p>
        </w:tc>
        <w:tc>
          <w:tcPr>
            <w:tcW w:w="1422" w:type="pct"/>
            <w:gridSpan w:val="3"/>
            <w:hideMark/>
          </w:tcPr>
          <w:p w:rsidR="00E06FFF" w:rsidRPr="0067180B" w:rsidRDefault="00E06FFF" w:rsidP="00F21A07">
            <w:pPr>
              <w:pStyle w:val="TableHeading"/>
              <w:jc w:val="center"/>
              <w:rPr>
                <w:rFonts w:cs="Arial"/>
                <w:sz w:val="20"/>
                <w:szCs w:val="20"/>
              </w:rPr>
            </w:pPr>
            <w:r w:rsidRPr="0067180B">
              <w:rPr>
                <w:rFonts w:cs="Arial"/>
                <w:sz w:val="20"/>
                <w:szCs w:val="20"/>
              </w:rPr>
              <w:t>Demand (MW)</w:t>
            </w:r>
          </w:p>
        </w:tc>
        <w:tc>
          <w:tcPr>
            <w:tcW w:w="1429" w:type="pct"/>
            <w:gridSpan w:val="3"/>
            <w:hideMark/>
          </w:tcPr>
          <w:p w:rsidR="00E06FFF" w:rsidRPr="0067180B" w:rsidRDefault="00E06FFF" w:rsidP="00F21A07">
            <w:pPr>
              <w:pStyle w:val="TableHeading"/>
              <w:jc w:val="center"/>
              <w:rPr>
                <w:rFonts w:cs="Arial"/>
                <w:sz w:val="20"/>
                <w:szCs w:val="20"/>
              </w:rPr>
            </w:pPr>
            <w:r w:rsidRPr="0067180B">
              <w:rPr>
                <w:rFonts w:cs="Arial"/>
                <w:sz w:val="20"/>
                <w:szCs w:val="20"/>
              </w:rPr>
              <w:t>Availability (MW)</w:t>
            </w:r>
          </w:p>
        </w:tc>
      </w:tr>
      <w:tr w:rsidR="00E06FFF" w:rsidRPr="0067180B" w:rsidTr="00F21A07">
        <w:trPr>
          <w:cnfStyle w:val="100000000000" w:firstRow="1" w:lastRow="0" w:firstColumn="0" w:lastColumn="0" w:oddVBand="0" w:evenVBand="0" w:oddHBand="0" w:evenHBand="0" w:firstRowFirstColumn="0" w:firstRowLastColumn="0" w:lastRowFirstColumn="0" w:lastRowLastColumn="0"/>
          <w:tblHeader/>
        </w:trPr>
        <w:tc>
          <w:tcPr>
            <w:tcW w:w="596" w:type="pct"/>
            <w:shd w:val="clear" w:color="auto" w:fill="007192" w:themeFill="accent3" w:themeFillShade="BF"/>
            <w:hideMark/>
          </w:tcPr>
          <w:p w:rsidR="00E06FFF" w:rsidRPr="0067180B" w:rsidRDefault="00E06FFF" w:rsidP="00F21A07">
            <w:pPr>
              <w:pStyle w:val="tableheadingline2"/>
              <w:rPr>
                <w:rFonts w:cs="Arial"/>
                <w:sz w:val="20"/>
                <w:szCs w:val="20"/>
              </w:rPr>
            </w:pPr>
            <w:r w:rsidRPr="0067180B">
              <w:rPr>
                <w:rFonts w:cs="Arial"/>
                <w:sz w:val="20"/>
                <w:szCs w:val="20"/>
              </w:rPr>
              <w:t> </w:t>
            </w:r>
          </w:p>
        </w:tc>
        <w:tc>
          <w:tcPr>
            <w:tcW w:w="549" w:type="pct"/>
            <w:shd w:val="clear" w:color="auto" w:fill="007192" w:themeFill="accent3" w:themeFillShade="BF"/>
            <w:hideMark/>
          </w:tcPr>
          <w:p w:rsidR="00E06FFF" w:rsidRPr="0067180B" w:rsidRDefault="00E06FFF" w:rsidP="00F21A07">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E06FFF" w:rsidRPr="0067180B" w:rsidRDefault="00E06FFF" w:rsidP="00F21A07">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E06FFF" w:rsidRPr="0067180B" w:rsidRDefault="00E06FFF" w:rsidP="00F21A07">
            <w:pPr>
              <w:pStyle w:val="tableheadingline2"/>
              <w:rPr>
                <w:rFonts w:cs="Arial"/>
                <w:sz w:val="20"/>
                <w:szCs w:val="20"/>
              </w:rPr>
            </w:pPr>
            <w:r w:rsidRPr="0067180B">
              <w:rPr>
                <w:rFonts w:cs="Arial"/>
                <w:sz w:val="20"/>
                <w:szCs w:val="20"/>
              </w:rPr>
              <w:t>12 hr forecast</w:t>
            </w:r>
          </w:p>
        </w:tc>
        <w:tc>
          <w:tcPr>
            <w:tcW w:w="418" w:type="pct"/>
            <w:shd w:val="clear" w:color="auto" w:fill="007192" w:themeFill="accent3" w:themeFillShade="BF"/>
            <w:hideMark/>
          </w:tcPr>
          <w:p w:rsidR="00E06FFF" w:rsidRPr="0067180B" w:rsidRDefault="00E06FFF" w:rsidP="00F21A07">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E06FFF" w:rsidRPr="0067180B" w:rsidRDefault="00E06FFF" w:rsidP="00F21A07">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E06FFF" w:rsidRPr="0067180B" w:rsidRDefault="00E06FFF" w:rsidP="00F21A07">
            <w:pPr>
              <w:pStyle w:val="tableheadingline2"/>
              <w:rPr>
                <w:rFonts w:cs="Arial"/>
                <w:sz w:val="20"/>
                <w:szCs w:val="20"/>
              </w:rPr>
            </w:pPr>
            <w:r w:rsidRPr="0067180B">
              <w:rPr>
                <w:rFonts w:cs="Arial"/>
                <w:sz w:val="20"/>
                <w:szCs w:val="20"/>
              </w:rPr>
              <w:t>12 hr forecast</w:t>
            </w:r>
          </w:p>
        </w:tc>
        <w:tc>
          <w:tcPr>
            <w:tcW w:w="425" w:type="pct"/>
            <w:shd w:val="clear" w:color="auto" w:fill="007192" w:themeFill="accent3" w:themeFillShade="BF"/>
            <w:hideMark/>
          </w:tcPr>
          <w:p w:rsidR="00E06FFF" w:rsidRPr="0067180B" w:rsidRDefault="00E06FFF" w:rsidP="00F21A07">
            <w:pPr>
              <w:pStyle w:val="tableheadingline2"/>
              <w:rPr>
                <w:rFonts w:cs="Arial"/>
                <w:sz w:val="20"/>
                <w:szCs w:val="20"/>
              </w:rPr>
            </w:pPr>
            <w:r w:rsidRPr="0067180B">
              <w:rPr>
                <w:rFonts w:cs="Arial"/>
                <w:sz w:val="20"/>
                <w:szCs w:val="20"/>
              </w:rPr>
              <w:t>Actual</w:t>
            </w:r>
          </w:p>
        </w:tc>
        <w:tc>
          <w:tcPr>
            <w:tcW w:w="502" w:type="pct"/>
            <w:shd w:val="clear" w:color="auto" w:fill="007192" w:themeFill="accent3" w:themeFillShade="BF"/>
            <w:hideMark/>
          </w:tcPr>
          <w:p w:rsidR="00E06FFF" w:rsidRPr="0067180B" w:rsidRDefault="00E06FFF" w:rsidP="00F21A07">
            <w:pPr>
              <w:pStyle w:val="tableheadingline2"/>
              <w:rPr>
                <w:rFonts w:cs="Arial"/>
                <w:sz w:val="20"/>
                <w:szCs w:val="20"/>
              </w:rPr>
            </w:pPr>
            <w:r w:rsidRPr="0067180B">
              <w:rPr>
                <w:rFonts w:cs="Arial"/>
                <w:sz w:val="20"/>
                <w:szCs w:val="20"/>
              </w:rPr>
              <w:t>4 hr forecast</w:t>
            </w:r>
          </w:p>
        </w:tc>
        <w:tc>
          <w:tcPr>
            <w:tcW w:w="502" w:type="pct"/>
            <w:shd w:val="clear" w:color="auto" w:fill="007192" w:themeFill="accent3" w:themeFillShade="BF"/>
            <w:hideMark/>
          </w:tcPr>
          <w:p w:rsidR="00E06FFF" w:rsidRPr="0067180B" w:rsidRDefault="00E06FFF" w:rsidP="00F21A07">
            <w:pPr>
              <w:pStyle w:val="tableheadingline2"/>
              <w:rPr>
                <w:rFonts w:cs="Arial"/>
                <w:sz w:val="20"/>
                <w:szCs w:val="20"/>
              </w:rPr>
            </w:pPr>
            <w:r w:rsidRPr="0067180B">
              <w:rPr>
                <w:rFonts w:cs="Arial"/>
                <w:sz w:val="20"/>
                <w:szCs w:val="20"/>
              </w:rPr>
              <w:t>12 hr forecast</w:t>
            </w:r>
          </w:p>
        </w:tc>
      </w:tr>
      <w:tr w:rsidR="006D41C3" w:rsidRPr="00E64CEC" w:rsidTr="00F21A07">
        <w:trPr>
          <w:trHeight w:val="510"/>
        </w:trPr>
        <w:tc>
          <w:tcPr>
            <w:tcW w:w="596" w:type="pct"/>
            <w:vAlign w:val="center"/>
          </w:tcPr>
          <w:p w:rsidR="006D41C3" w:rsidRDefault="006D41C3" w:rsidP="00F21A07">
            <w:pPr>
              <w:pStyle w:val="NormalWeb"/>
              <w:jc w:val="center"/>
              <w:rPr>
                <w:rFonts w:asciiTheme="minorHAnsi" w:hAnsiTheme="minorHAnsi" w:cstheme="minorHAnsi"/>
                <w:b/>
                <w:bCs/>
                <w:sz w:val="18"/>
                <w:szCs w:val="16"/>
              </w:rPr>
            </w:pPr>
            <w:r>
              <w:rPr>
                <w:rFonts w:asciiTheme="minorHAnsi" w:hAnsiTheme="minorHAnsi" w:cstheme="minorHAnsi"/>
                <w:b/>
                <w:bCs/>
                <w:sz w:val="18"/>
                <w:szCs w:val="16"/>
              </w:rPr>
              <w:t>11 am</w:t>
            </w:r>
          </w:p>
        </w:tc>
        <w:tc>
          <w:tcPr>
            <w:tcW w:w="549" w:type="pct"/>
            <w:vAlign w:val="center"/>
          </w:tcPr>
          <w:p w:rsidR="006D41C3" w:rsidRPr="00E64CEC" w:rsidRDefault="006D41C3"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317.40</w:t>
            </w:r>
          </w:p>
        </w:tc>
        <w:tc>
          <w:tcPr>
            <w:tcW w:w="502" w:type="pct"/>
            <w:vAlign w:val="center"/>
          </w:tcPr>
          <w:p w:rsidR="006D41C3" w:rsidRPr="00E64CEC" w:rsidRDefault="006D41C3"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30.17</w:t>
            </w:r>
          </w:p>
        </w:tc>
        <w:tc>
          <w:tcPr>
            <w:tcW w:w="502" w:type="pct"/>
            <w:vAlign w:val="center"/>
          </w:tcPr>
          <w:p w:rsidR="006D41C3" w:rsidRPr="00E64CEC" w:rsidRDefault="006D41C3"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20.47</w:t>
            </w:r>
          </w:p>
        </w:tc>
        <w:tc>
          <w:tcPr>
            <w:tcW w:w="418" w:type="pct"/>
            <w:vAlign w:val="center"/>
          </w:tcPr>
          <w:p w:rsidR="006D41C3" w:rsidRPr="00E64CEC" w:rsidRDefault="006D41C3"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1569</w:t>
            </w:r>
          </w:p>
        </w:tc>
        <w:tc>
          <w:tcPr>
            <w:tcW w:w="502" w:type="pct"/>
            <w:vAlign w:val="center"/>
          </w:tcPr>
          <w:p w:rsidR="006D41C3" w:rsidRPr="00E64CEC" w:rsidRDefault="006D41C3"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1494</w:t>
            </w:r>
          </w:p>
        </w:tc>
        <w:tc>
          <w:tcPr>
            <w:tcW w:w="502" w:type="pct"/>
            <w:vAlign w:val="center"/>
          </w:tcPr>
          <w:p w:rsidR="006D41C3" w:rsidRPr="00E64CEC" w:rsidRDefault="006D41C3"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1450</w:t>
            </w:r>
          </w:p>
        </w:tc>
        <w:tc>
          <w:tcPr>
            <w:tcW w:w="425" w:type="pct"/>
            <w:vAlign w:val="center"/>
          </w:tcPr>
          <w:p w:rsidR="006D41C3" w:rsidRPr="00E64CEC" w:rsidRDefault="006D41C3"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2343</w:t>
            </w:r>
          </w:p>
        </w:tc>
        <w:tc>
          <w:tcPr>
            <w:tcW w:w="502" w:type="pct"/>
            <w:vAlign w:val="center"/>
          </w:tcPr>
          <w:p w:rsidR="006D41C3" w:rsidRPr="00E64CEC" w:rsidRDefault="006D41C3"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2490</w:t>
            </w:r>
          </w:p>
        </w:tc>
        <w:tc>
          <w:tcPr>
            <w:tcW w:w="502" w:type="pct"/>
            <w:vAlign w:val="center"/>
          </w:tcPr>
          <w:p w:rsidR="006D41C3" w:rsidRPr="00E64CEC" w:rsidRDefault="006D41C3"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2458</w:t>
            </w:r>
          </w:p>
        </w:tc>
      </w:tr>
      <w:tr w:rsidR="006D41C3" w:rsidRPr="00E64CEC" w:rsidTr="00F21A07">
        <w:trPr>
          <w:cnfStyle w:val="000000010000" w:firstRow="0" w:lastRow="0" w:firstColumn="0" w:lastColumn="0" w:oddVBand="0" w:evenVBand="0" w:oddHBand="0" w:evenHBand="1" w:firstRowFirstColumn="0" w:firstRowLastColumn="0" w:lastRowFirstColumn="0" w:lastRowLastColumn="0"/>
          <w:trHeight w:val="510"/>
        </w:trPr>
        <w:tc>
          <w:tcPr>
            <w:tcW w:w="596" w:type="pct"/>
            <w:vAlign w:val="center"/>
          </w:tcPr>
          <w:p w:rsidR="006D41C3" w:rsidRDefault="00051AD6" w:rsidP="00F21A07">
            <w:pPr>
              <w:pStyle w:val="NormalWeb"/>
              <w:jc w:val="center"/>
              <w:rPr>
                <w:rFonts w:asciiTheme="minorHAnsi" w:hAnsiTheme="minorHAnsi" w:cstheme="minorHAnsi"/>
                <w:b/>
                <w:bCs/>
                <w:sz w:val="18"/>
                <w:szCs w:val="16"/>
              </w:rPr>
            </w:pPr>
            <w:r>
              <w:rPr>
                <w:rFonts w:asciiTheme="minorHAnsi" w:hAnsiTheme="minorHAnsi" w:cstheme="minorHAnsi"/>
                <w:b/>
                <w:bCs/>
                <w:sz w:val="18"/>
                <w:szCs w:val="16"/>
              </w:rPr>
              <w:t>11.</w:t>
            </w:r>
            <w:r w:rsidR="006D41C3">
              <w:rPr>
                <w:rFonts w:asciiTheme="minorHAnsi" w:hAnsiTheme="minorHAnsi" w:cstheme="minorHAnsi"/>
                <w:b/>
                <w:bCs/>
                <w:sz w:val="18"/>
                <w:szCs w:val="16"/>
              </w:rPr>
              <w:t>30 am</w:t>
            </w:r>
          </w:p>
        </w:tc>
        <w:tc>
          <w:tcPr>
            <w:tcW w:w="549" w:type="pct"/>
            <w:vAlign w:val="center"/>
          </w:tcPr>
          <w:p w:rsidR="006D41C3" w:rsidRDefault="006D41C3"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379.43</w:t>
            </w:r>
          </w:p>
        </w:tc>
        <w:tc>
          <w:tcPr>
            <w:tcW w:w="502" w:type="pct"/>
            <w:vAlign w:val="center"/>
          </w:tcPr>
          <w:p w:rsidR="006D41C3" w:rsidRDefault="00CF17DE"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37.</w:t>
            </w:r>
            <w:r w:rsidR="006D41C3">
              <w:rPr>
                <w:rFonts w:asciiTheme="minorHAnsi" w:hAnsiTheme="minorHAnsi" w:cstheme="minorHAnsi"/>
                <w:bCs/>
                <w:sz w:val="18"/>
                <w:szCs w:val="16"/>
              </w:rPr>
              <w:t>09</w:t>
            </w:r>
          </w:p>
        </w:tc>
        <w:tc>
          <w:tcPr>
            <w:tcW w:w="502" w:type="pct"/>
            <w:vAlign w:val="center"/>
          </w:tcPr>
          <w:p w:rsidR="006D41C3" w:rsidRDefault="006D41C3"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19.82</w:t>
            </w:r>
          </w:p>
        </w:tc>
        <w:tc>
          <w:tcPr>
            <w:tcW w:w="418" w:type="pct"/>
            <w:vAlign w:val="center"/>
          </w:tcPr>
          <w:p w:rsidR="006D41C3" w:rsidRDefault="006D41C3"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1547</w:t>
            </w:r>
          </w:p>
        </w:tc>
        <w:tc>
          <w:tcPr>
            <w:tcW w:w="502" w:type="pct"/>
            <w:vAlign w:val="center"/>
          </w:tcPr>
          <w:p w:rsidR="006D41C3" w:rsidRDefault="006D41C3"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1561</w:t>
            </w:r>
          </w:p>
        </w:tc>
        <w:tc>
          <w:tcPr>
            <w:tcW w:w="502" w:type="pct"/>
            <w:vAlign w:val="center"/>
          </w:tcPr>
          <w:p w:rsidR="006D41C3" w:rsidRDefault="006D41C3"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1453</w:t>
            </w:r>
          </w:p>
        </w:tc>
        <w:tc>
          <w:tcPr>
            <w:tcW w:w="425" w:type="pct"/>
            <w:vAlign w:val="center"/>
          </w:tcPr>
          <w:p w:rsidR="006D41C3" w:rsidRDefault="006D41C3"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2265</w:t>
            </w:r>
          </w:p>
        </w:tc>
        <w:tc>
          <w:tcPr>
            <w:tcW w:w="502" w:type="pct"/>
            <w:vAlign w:val="center"/>
          </w:tcPr>
          <w:p w:rsidR="006D41C3" w:rsidRDefault="006D41C3"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2461</w:t>
            </w:r>
          </w:p>
        </w:tc>
        <w:tc>
          <w:tcPr>
            <w:tcW w:w="502" w:type="pct"/>
            <w:vAlign w:val="center"/>
          </w:tcPr>
          <w:p w:rsidR="006D41C3" w:rsidRDefault="006D41C3" w:rsidP="00F21A07">
            <w:pPr>
              <w:pStyle w:val="NormalWeb"/>
              <w:jc w:val="center"/>
              <w:rPr>
                <w:rFonts w:asciiTheme="minorHAnsi" w:hAnsiTheme="minorHAnsi" w:cstheme="minorHAnsi"/>
                <w:bCs/>
                <w:sz w:val="18"/>
                <w:szCs w:val="16"/>
              </w:rPr>
            </w:pPr>
            <w:r>
              <w:rPr>
                <w:rFonts w:asciiTheme="minorHAnsi" w:hAnsiTheme="minorHAnsi" w:cstheme="minorHAnsi"/>
                <w:bCs/>
                <w:sz w:val="18"/>
                <w:szCs w:val="16"/>
              </w:rPr>
              <w:t>2423</w:t>
            </w:r>
          </w:p>
        </w:tc>
      </w:tr>
    </w:tbl>
    <w:p w:rsidR="00E06FFF" w:rsidRDefault="006D41C3" w:rsidP="00896A23">
      <w:pPr>
        <w:pStyle w:val="AERbodytext"/>
      </w:pPr>
      <w:r>
        <w:t xml:space="preserve">Conditions at the time saw demand </w:t>
      </w:r>
      <w:r w:rsidR="00051AD6">
        <w:t xml:space="preserve">close to forecast but </w:t>
      </w:r>
      <w:r w:rsidR="00662A27">
        <w:t>available capacity up to 196</w:t>
      </w:r>
      <w:r w:rsidR="00051AD6">
        <w:t> </w:t>
      </w:r>
      <w:r w:rsidR="00662A27">
        <w:t>MW less than forecast f</w:t>
      </w:r>
      <w:r w:rsidR="00BC46D7">
        <w:t xml:space="preserve">our hours ahead (mostly attributed to </w:t>
      </w:r>
      <w:r w:rsidR="00D847F0">
        <w:t xml:space="preserve">lower </w:t>
      </w:r>
      <w:r w:rsidR="00BC46D7">
        <w:t xml:space="preserve">wind generation). </w:t>
      </w:r>
    </w:p>
    <w:p w:rsidR="005D1AC7" w:rsidRDefault="0075734E" w:rsidP="005D1AC7">
      <w:pPr>
        <w:pStyle w:val="Caption"/>
      </w:pPr>
      <w:r>
        <w:t>Table 8</w:t>
      </w:r>
      <w:r w:rsidR="005D1AC7">
        <w:t>: Rebids for 11 am</w:t>
      </w:r>
      <w:r w:rsidR="00BC46D7">
        <w:t xml:space="preserve"> and 11.30 am</w:t>
      </w:r>
      <w:r w:rsidR="005D1AC7">
        <w:t xml:space="preserve"> </w:t>
      </w:r>
      <w:r w:rsidR="00BC46D7">
        <w:t>trading interval</w:t>
      </w:r>
      <w:r w:rsidR="005D1AC7">
        <w:t xml:space="preserve"> </w:t>
      </w:r>
    </w:p>
    <w:tbl>
      <w:tblPr>
        <w:tblW w:w="0" w:type="auto"/>
        <w:tblCellMar>
          <w:left w:w="0" w:type="dxa"/>
          <w:right w:w="0" w:type="dxa"/>
        </w:tblCellMar>
        <w:tblLook w:val="04A0" w:firstRow="1" w:lastRow="0" w:firstColumn="1" w:lastColumn="0" w:noHBand="0" w:noVBand="1"/>
      </w:tblPr>
      <w:tblGrid>
        <w:gridCol w:w="891"/>
        <w:gridCol w:w="772"/>
        <w:gridCol w:w="1351"/>
        <w:gridCol w:w="844"/>
        <w:gridCol w:w="1023"/>
        <w:gridCol w:w="804"/>
        <w:gridCol w:w="770"/>
        <w:gridCol w:w="2651"/>
      </w:tblGrid>
      <w:tr w:rsidR="005D1AC7" w:rsidRPr="005D1AC7" w:rsidTr="00051AD6">
        <w:trPr>
          <w:trHeight w:val="208"/>
          <w:tblHeader/>
        </w:trPr>
        <w:tc>
          <w:tcPr>
            <w:tcW w:w="0" w:type="auto"/>
            <w:tcBorders>
              <w:top w:val="nil"/>
              <w:left w:val="nil"/>
              <w:right w:val="nil"/>
            </w:tcBorders>
            <w:shd w:val="clear" w:color="auto" w:fill="076A92"/>
            <w:tcMar>
              <w:top w:w="40" w:type="dxa"/>
              <w:left w:w="40" w:type="dxa"/>
              <w:bottom w:w="40" w:type="dxa"/>
              <w:right w:w="40" w:type="dxa"/>
            </w:tcMar>
            <w:hideMark/>
          </w:tcPr>
          <w:p w:rsidR="005D1AC7" w:rsidRPr="005D1AC7" w:rsidRDefault="005D1AC7" w:rsidP="005D1AC7">
            <w:pPr>
              <w:spacing w:before="0" w:line="240" w:lineRule="auto"/>
              <w:jc w:val="center"/>
              <w:textAlignment w:val="top"/>
              <w:rPr>
                <w:rFonts w:ascii="Times New Roman" w:eastAsia="Times New Roman" w:hAnsi="Times New Roman" w:cs="Times New Roman"/>
                <w:sz w:val="2"/>
                <w:szCs w:val="2"/>
                <w:lang w:eastAsia="en-AU"/>
              </w:rPr>
            </w:pPr>
            <w:r w:rsidRPr="005D1AC7">
              <w:rPr>
                <w:rFonts w:eastAsia="Times New Roman" w:cs="Arial"/>
                <w:color w:val="FFFFFF"/>
                <w:sz w:val="18"/>
                <w:szCs w:val="18"/>
                <w:lang w:eastAsia="en-AU"/>
              </w:rPr>
              <w:t>Submitted</w:t>
            </w:r>
            <w:r w:rsidRPr="005D1AC7">
              <w:rPr>
                <w:rFonts w:eastAsia="Times New Roman" w:cs="Arial"/>
                <w:color w:val="FFFFFF"/>
                <w:sz w:val="18"/>
                <w:szCs w:val="18"/>
                <w:lang w:eastAsia="en-AU"/>
              </w:rPr>
              <w:br/>
              <w:t>time</w:t>
            </w:r>
          </w:p>
        </w:tc>
        <w:tc>
          <w:tcPr>
            <w:tcW w:w="0" w:type="auto"/>
            <w:tcBorders>
              <w:top w:val="nil"/>
              <w:left w:val="nil"/>
              <w:right w:val="nil"/>
            </w:tcBorders>
            <w:shd w:val="clear" w:color="auto" w:fill="076A92"/>
            <w:tcMar>
              <w:top w:w="40" w:type="dxa"/>
              <w:left w:w="40" w:type="dxa"/>
              <w:bottom w:w="40" w:type="dxa"/>
              <w:right w:w="40" w:type="dxa"/>
            </w:tcMar>
            <w:hideMark/>
          </w:tcPr>
          <w:p w:rsidR="005D1AC7" w:rsidRPr="005D1AC7" w:rsidRDefault="005D1AC7" w:rsidP="005D1AC7">
            <w:pPr>
              <w:spacing w:before="0" w:line="240" w:lineRule="auto"/>
              <w:jc w:val="center"/>
              <w:textAlignment w:val="top"/>
              <w:rPr>
                <w:rFonts w:ascii="Times New Roman" w:eastAsia="Times New Roman" w:hAnsi="Times New Roman" w:cs="Times New Roman"/>
                <w:sz w:val="2"/>
                <w:szCs w:val="2"/>
                <w:lang w:eastAsia="en-AU"/>
              </w:rPr>
            </w:pPr>
            <w:r w:rsidRPr="005D1AC7">
              <w:rPr>
                <w:rFonts w:eastAsia="Times New Roman" w:cs="Arial"/>
                <w:color w:val="FFFFFF"/>
                <w:sz w:val="18"/>
                <w:szCs w:val="18"/>
                <w:lang w:eastAsia="en-AU"/>
              </w:rPr>
              <w:t>Time</w:t>
            </w:r>
            <w:r w:rsidRPr="005D1AC7">
              <w:rPr>
                <w:rFonts w:eastAsia="Times New Roman" w:cs="Arial"/>
                <w:color w:val="FFFFFF"/>
                <w:sz w:val="18"/>
                <w:szCs w:val="18"/>
                <w:lang w:eastAsia="en-AU"/>
              </w:rPr>
              <w:br/>
              <w:t>effective</w:t>
            </w:r>
          </w:p>
        </w:tc>
        <w:tc>
          <w:tcPr>
            <w:tcW w:w="0" w:type="auto"/>
            <w:tcBorders>
              <w:top w:val="nil"/>
              <w:left w:val="nil"/>
              <w:right w:val="nil"/>
            </w:tcBorders>
            <w:shd w:val="clear" w:color="auto" w:fill="076A92"/>
            <w:tcMar>
              <w:top w:w="40" w:type="dxa"/>
              <w:left w:w="40" w:type="dxa"/>
              <w:bottom w:w="40" w:type="dxa"/>
              <w:right w:w="40" w:type="dxa"/>
            </w:tcMar>
            <w:hideMark/>
          </w:tcPr>
          <w:p w:rsidR="005D1AC7" w:rsidRPr="005D1AC7" w:rsidRDefault="005D1AC7" w:rsidP="005D1AC7">
            <w:pPr>
              <w:spacing w:before="0" w:line="240" w:lineRule="auto"/>
              <w:jc w:val="center"/>
              <w:textAlignment w:val="top"/>
              <w:rPr>
                <w:rFonts w:eastAsia="Times New Roman" w:cs="Arial"/>
                <w:color w:val="FFFFFF"/>
                <w:sz w:val="18"/>
                <w:szCs w:val="18"/>
                <w:lang w:eastAsia="en-AU"/>
              </w:rPr>
            </w:pPr>
            <w:r w:rsidRPr="005D1AC7">
              <w:rPr>
                <w:rFonts w:eastAsia="Times New Roman" w:cs="Arial"/>
                <w:color w:val="FFFFFF"/>
                <w:sz w:val="18"/>
                <w:szCs w:val="18"/>
                <w:lang w:eastAsia="en-AU"/>
              </w:rPr>
              <w:t>Participant</w:t>
            </w:r>
          </w:p>
        </w:tc>
        <w:tc>
          <w:tcPr>
            <w:tcW w:w="844" w:type="dxa"/>
            <w:tcBorders>
              <w:top w:val="nil"/>
              <w:left w:val="nil"/>
              <w:right w:val="nil"/>
            </w:tcBorders>
            <w:shd w:val="clear" w:color="auto" w:fill="076A92"/>
            <w:tcMar>
              <w:top w:w="40" w:type="dxa"/>
              <w:left w:w="40" w:type="dxa"/>
              <w:bottom w:w="40" w:type="dxa"/>
              <w:right w:w="40" w:type="dxa"/>
            </w:tcMar>
            <w:hideMark/>
          </w:tcPr>
          <w:p w:rsidR="005D1AC7" w:rsidRPr="005D1AC7" w:rsidRDefault="005D1AC7" w:rsidP="005D1AC7">
            <w:pPr>
              <w:spacing w:before="0" w:line="240" w:lineRule="auto"/>
              <w:jc w:val="center"/>
              <w:textAlignment w:val="top"/>
              <w:rPr>
                <w:rFonts w:eastAsia="Times New Roman" w:cs="Arial"/>
                <w:color w:val="FFFFFF"/>
                <w:sz w:val="18"/>
                <w:szCs w:val="18"/>
                <w:lang w:eastAsia="en-AU"/>
              </w:rPr>
            </w:pPr>
            <w:r w:rsidRPr="005D1AC7">
              <w:rPr>
                <w:rFonts w:eastAsia="Times New Roman" w:cs="Arial"/>
                <w:color w:val="FFFFFF"/>
                <w:sz w:val="18"/>
                <w:szCs w:val="18"/>
                <w:lang w:eastAsia="en-AU"/>
              </w:rPr>
              <w:t>Station</w:t>
            </w:r>
          </w:p>
        </w:tc>
        <w:tc>
          <w:tcPr>
            <w:tcW w:w="1023" w:type="dxa"/>
            <w:tcBorders>
              <w:top w:val="nil"/>
              <w:left w:val="nil"/>
              <w:right w:val="nil"/>
            </w:tcBorders>
            <w:shd w:val="clear" w:color="auto" w:fill="076A92"/>
            <w:tcMar>
              <w:top w:w="40" w:type="dxa"/>
              <w:left w:w="40" w:type="dxa"/>
              <w:bottom w:w="40" w:type="dxa"/>
              <w:right w:w="40" w:type="dxa"/>
            </w:tcMar>
            <w:hideMark/>
          </w:tcPr>
          <w:p w:rsidR="005D1AC7" w:rsidRPr="005D1AC7" w:rsidRDefault="005D1AC7" w:rsidP="005D1AC7">
            <w:pPr>
              <w:spacing w:before="0" w:line="240" w:lineRule="auto"/>
              <w:jc w:val="center"/>
              <w:textAlignment w:val="top"/>
              <w:rPr>
                <w:rFonts w:ascii="Times New Roman" w:eastAsia="Times New Roman" w:hAnsi="Times New Roman" w:cs="Times New Roman"/>
                <w:sz w:val="2"/>
                <w:szCs w:val="2"/>
                <w:lang w:eastAsia="en-AU"/>
              </w:rPr>
            </w:pPr>
            <w:r w:rsidRPr="005D1AC7">
              <w:rPr>
                <w:rFonts w:eastAsia="Times New Roman" w:cs="Arial"/>
                <w:color w:val="FFFFFF"/>
                <w:sz w:val="18"/>
                <w:szCs w:val="18"/>
                <w:lang w:eastAsia="en-AU"/>
              </w:rPr>
              <w:t>Capacity rebid</w:t>
            </w:r>
            <w:r w:rsidRPr="005D1AC7">
              <w:rPr>
                <w:rFonts w:eastAsia="Times New Roman" w:cs="Arial"/>
                <w:color w:val="FFFFFF"/>
                <w:sz w:val="18"/>
                <w:szCs w:val="18"/>
                <w:lang w:eastAsia="en-AU"/>
              </w:rPr>
              <w:br/>
              <w:t>(MW)</w:t>
            </w:r>
          </w:p>
        </w:tc>
        <w:tc>
          <w:tcPr>
            <w:tcW w:w="0" w:type="auto"/>
            <w:tcBorders>
              <w:top w:val="nil"/>
              <w:left w:val="nil"/>
              <w:right w:val="nil"/>
            </w:tcBorders>
            <w:shd w:val="clear" w:color="auto" w:fill="076A92"/>
            <w:tcMar>
              <w:top w:w="40" w:type="dxa"/>
              <w:left w:w="40" w:type="dxa"/>
              <w:bottom w:w="40" w:type="dxa"/>
              <w:right w:w="40" w:type="dxa"/>
            </w:tcMar>
            <w:hideMark/>
          </w:tcPr>
          <w:p w:rsidR="005D1AC7" w:rsidRPr="005D1AC7" w:rsidRDefault="005D1AC7" w:rsidP="005D1AC7">
            <w:pPr>
              <w:spacing w:before="0" w:line="240" w:lineRule="auto"/>
              <w:jc w:val="center"/>
              <w:textAlignment w:val="top"/>
              <w:rPr>
                <w:rFonts w:ascii="Times New Roman" w:eastAsia="Times New Roman" w:hAnsi="Times New Roman" w:cs="Times New Roman"/>
                <w:sz w:val="2"/>
                <w:szCs w:val="2"/>
                <w:lang w:eastAsia="en-AU"/>
              </w:rPr>
            </w:pPr>
            <w:r w:rsidRPr="005D1AC7">
              <w:rPr>
                <w:rFonts w:eastAsia="Times New Roman" w:cs="Arial"/>
                <w:color w:val="FFFFFF"/>
                <w:sz w:val="18"/>
                <w:szCs w:val="18"/>
                <w:lang w:eastAsia="en-AU"/>
              </w:rPr>
              <w:t>Price from</w:t>
            </w:r>
            <w:r w:rsidRPr="005D1AC7">
              <w:rPr>
                <w:rFonts w:eastAsia="Times New Roman" w:cs="Arial"/>
                <w:color w:val="FFFFFF"/>
                <w:sz w:val="18"/>
                <w:szCs w:val="18"/>
                <w:lang w:eastAsia="en-AU"/>
              </w:rPr>
              <w:br/>
              <w:t>($/MWh)</w:t>
            </w:r>
          </w:p>
        </w:tc>
        <w:tc>
          <w:tcPr>
            <w:tcW w:w="0" w:type="auto"/>
            <w:tcBorders>
              <w:top w:val="nil"/>
              <w:left w:val="nil"/>
              <w:right w:val="nil"/>
            </w:tcBorders>
            <w:shd w:val="clear" w:color="auto" w:fill="076A92"/>
            <w:tcMar>
              <w:top w:w="40" w:type="dxa"/>
              <w:left w:w="40" w:type="dxa"/>
              <w:bottom w:w="40" w:type="dxa"/>
              <w:right w:w="40" w:type="dxa"/>
            </w:tcMar>
            <w:hideMark/>
          </w:tcPr>
          <w:p w:rsidR="005D1AC7" w:rsidRPr="005D1AC7" w:rsidRDefault="005D1AC7" w:rsidP="005D1AC7">
            <w:pPr>
              <w:spacing w:before="0" w:line="240" w:lineRule="auto"/>
              <w:jc w:val="center"/>
              <w:textAlignment w:val="top"/>
              <w:rPr>
                <w:rFonts w:ascii="Times New Roman" w:eastAsia="Times New Roman" w:hAnsi="Times New Roman" w:cs="Times New Roman"/>
                <w:sz w:val="2"/>
                <w:szCs w:val="2"/>
                <w:lang w:eastAsia="en-AU"/>
              </w:rPr>
            </w:pPr>
            <w:r w:rsidRPr="005D1AC7">
              <w:rPr>
                <w:rFonts w:eastAsia="Times New Roman" w:cs="Arial"/>
                <w:color w:val="FFFFFF"/>
                <w:sz w:val="18"/>
                <w:szCs w:val="18"/>
                <w:lang w:eastAsia="en-AU"/>
              </w:rPr>
              <w:t>Price to</w:t>
            </w:r>
            <w:r w:rsidRPr="005D1AC7">
              <w:rPr>
                <w:rFonts w:eastAsia="Times New Roman" w:cs="Arial"/>
                <w:color w:val="FFFFFF"/>
                <w:sz w:val="18"/>
                <w:szCs w:val="18"/>
                <w:lang w:eastAsia="en-AU"/>
              </w:rPr>
              <w:br/>
              <w:t>($/MWh)</w:t>
            </w:r>
          </w:p>
        </w:tc>
        <w:tc>
          <w:tcPr>
            <w:tcW w:w="0" w:type="auto"/>
            <w:tcBorders>
              <w:top w:val="nil"/>
              <w:left w:val="nil"/>
              <w:right w:val="nil"/>
            </w:tcBorders>
            <w:shd w:val="clear" w:color="auto" w:fill="076A92"/>
            <w:tcMar>
              <w:top w:w="40" w:type="dxa"/>
              <w:left w:w="40" w:type="dxa"/>
              <w:bottom w:w="40" w:type="dxa"/>
              <w:right w:w="40" w:type="dxa"/>
            </w:tcMar>
            <w:hideMark/>
          </w:tcPr>
          <w:p w:rsidR="005D1AC7" w:rsidRPr="005D1AC7" w:rsidRDefault="005D1AC7" w:rsidP="005D1AC7">
            <w:pPr>
              <w:spacing w:before="0" w:line="240" w:lineRule="auto"/>
              <w:jc w:val="center"/>
              <w:textAlignment w:val="top"/>
              <w:rPr>
                <w:rFonts w:eastAsia="Times New Roman" w:cs="Arial"/>
                <w:color w:val="FFFFFF"/>
                <w:sz w:val="18"/>
                <w:szCs w:val="18"/>
                <w:lang w:eastAsia="en-AU"/>
              </w:rPr>
            </w:pPr>
            <w:r w:rsidRPr="005D1AC7">
              <w:rPr>
                <w:rFonts w:eastAsia="Times New Roman" w:cs="Arial"/>
                <w:color w:val="FFFFFF"/>
                <w:sz w:val="18"/>
                <w:szCs w:val="18"/>
                <w:lang w:eastAsia="en-AU"/>
              </w:rPr>
              <w:t>Rebid reason</w:t>
            </w:r>
          </w:p>
        </w:tc>
      </w:tr>
      <w:tr w:rsidR="005D1AC7" w:rsidRPr="005D1AC7" w:rsidTr="00F21A07">
        <w:trPr>
          <w:trHeight w:val="577"/>
        </w:trPr>
        <w:tc>
          <w:tcPr>
            <w:tcW w:w="0" w:type="auto"/>
            <w:tcBorders>
              <w:top w:val="nil"/>
              <w:left w:val="nil"/>
              <w:bottom w:val="nil"/>
              <w:right w:val="nil"/>
            </w:tcBorders>
            <w:shd w:val="clear" w:color="auto" w:fill="auto"/>
            <w:tcMar>
              <w:top w:w="40" w:type="dxa"/>
              <w:left w:w="40" w:type="dxa"/>
              <w:bottom w:w="40" w:type="dxa"/>
              <w:right w:w="40" w:type="dxa"/>
            </w:tcMar>
            <w:vAlign w:val="center"/>
            <w:hideMark/>
          </w:tcPr>
          <w:p w:rsidR="005D1AC7" w:rsidRPr="005D1AC7" w:rsidRDefault="00F21A07" w:rsidP="005D1AC7">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8.15</w:t>
            </w:r>
            <w:r w:rsidR="005D1AC7" w:rsidRPr="005D1AC7">
              <w:rPr>
                <w:rFonts w:eastAsia="Times New Roman" w:cs="Arial"/>
                <w:color w:val="000000"/>
                <w:sz w:val="18"/>
                <w:szCs w:val="18"/>
                <w:lang w:eastAsia="en-AU"/>
              </w:rPr>
              <w:t xml:space="preserve"> am</w:t>
            </w:r>
          </w:p>
        </w:tc>
        <w:tc>
          <w:tcPr>
            <w:tcW w:w="0" w:type="auto"/>
            <w:tcBorders>
              <w:top w:val="nil"/>
              <w:left w:val="nil"/>
              <w:bottom w:val="nil"/>
              <w:right w:val="nil"/>
            </w:tcBorders>
            <w:shd w:val="clear" w:color="auto" w:fill="auto"/>
            <w:tcMar>
              <w:top w:w="40" w:type="dxa"/>
              <w:left w:w="40" w:type="dxa"/>
              <w:bottom w:w="40" w:type="dxa"/>
              <w:right w:w="40" w:type="dxa"/>
            </w:tcMar>
            <w:vAlign w:val="center"/>
            <w:hideMark/>
          </w:tcPr>
          <w:p w:rsidR="005D1AC7" w:rsidRPr="005D1AC7" w:rsidRDefault="005D1AC7" w:rsidP="005D1AC7">
            <w:pPr>
              <w:spacing w:before="0" w:line="240" w:lineRule="auto"/>
              <w:jc w:val="center"/>
              <w:rPr>
                <w:rFonts w:ascii="Times New Roman" w:eastAsia="Times New Roman" w:hAnsi="Times New Roman" w:cs="Times New Roman"/>
                <w:sz w:val="24"/>
                <w:szCs w:val="24"/>
                <w:lang w:eastAsia="en-AU"/>
              </w:rPr>
            </w:pPr>
            <w:r w:rsidRPr="005D1AC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tcMar>
              <w:top w:w="40" w:type="dxa"/>
              <w:left w:w="40" w:type="dxa"/>
              <w:bottom w:w="40" w:type="dxa"/>
              <w:right w:w="40" w:type="dxa"/>
            </w:tcMar>
            <w:vAlign w:val="center"/>
            <w:hideMark/>
          </w:tcPr>
          <w:p w:rsidR="005D1AC7" w:rsidRPr="005D1AC7" w:rsidRDefault="00F21A07" w:rsidP="005D1AC7">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 xml:space="preserve">AGL Energy </w:t>
            </w:r>
          </w:p>
        </w:tc>
        <w:tc>
          <w:tcPr>
            <w:tcW w:w="844" w:type="dxa"/>
            <w:tcBorders>
              <w:top w:val="nil"/>
              <w:left w:val="nil"/>
              <w:bottom w:val="nil"/>
              <w:right w:val="nil"/>
            </w:tcBorders>
            <w:shd w:val="clear" w:color="auto" w:fill="auto"/>
            <w:tcMar>
              <w:top w:w="40" w:type="dxa"/>
              <w:left w:w="40" w:type="dxa"/>
              <w:bottom w:w="40" w:type="dxa"/>
              <w:right w:w="40" w:type="dxa"/>
            </w:tcMar>
            <w:vAlign w:val="center"/>
            <w:hideMark/>
          </w:tcPr>
          <w:p w:rsidR="005D1AC7" w:rsidRPr="005D1AC7" w:rsidRDefault="00F21A07" w:rsidP="005D1AC7">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Torrens Island</w:t>
            </w:r>
          </w:p>
        </w:tc>
        <w:tc>
          <w:tcPr>
            <w:tcW w:w="1023" w:type="dxa"/>
            <w:tcBorders>
              <w:top w:val="nil"/>
              <w:left w:val="nil"/>
              <w:bottom w:val="nil"/>
              <w:right w:val="nil"/>
            </w:tcBorders>
            <w:shd w:val="clear" w:color="auto" w:fill="auto"/>
            <w:tcMar>
              <w:top w:w="40" w:type="dxa"/>
              <w:left w:w="40" w:type="dxa"/>
              <w:bottom w:w="40" w:type="dxa"/>
              <w:right w:w="40" w:type="dxa"/>
            </w:tcMar>
            <w:vAlign w:val="center"/>
            <w:hideMark/>
          </w:tcPr>
          <w:p w:rsidR="005D1AC7" w:rsidRPr="005D1AC7" w:rsidRDefault="00F21A07" w:rsidP="005D1AC7">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300</w:t>
            </w:r>
          </w:p>
        </w:tc>
        <w:tc>
          <w:tcPr>
            <w:tcW w:w="0" w:type="auto"/>
            <w:tcBorders>
              <w:top w:val="nil"/>
              <w:left w:val="nil"/>
              <w:bottom w:val="nil"/>
              <w:right w:val="nil"/>
            </w:tcBorders>
            <w:shd w:val="clear" w:color="auto" w:fill="auto"/>
            <w:tcMar>
              <w:top w:w="40" w:type="dxa"/>
              <w:left w:w="40" w:type="dxa"/>
              <w:bottom w:w="40" w:type="dxa"/>
              <w:right w:w="40" w:type="dxa"/>
            </w:tcMar>
            <w:vAlign w:val="center"/>
            <w:hideMark/>
          </w:tcPr>
          <w:p w:rsidR="005D1AC7" w:rsidRPr="005D1AC7" w:rsidRDefault="00F21A07" w:rsidP="005D1AC7">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&gt;55</w:t>
            </w:r>
          </w:p>
        </w:tc>
        <w:tc>
          <w:tcPr>
            <w:tcW w:w="0" w:type="auto"/>
            <w:tcBorders>
              <w:top w:val="nil"/>
              <w:left w:val="nil"/>
              <w:bottom w:val="nil"/>
              <w:right w:val="nil"/>
            </w:tcBorders>
            <w:shd w:val="clear" w:color="auto" w:fill="auto"/>
            <w:tcMar>
              <w:top w:w="40" w:type="dxa"/>
              <w:left w:w="40" w:type="dxa"/>
              <w:bottom w:w="40" w:type="dxa"/>
              <w:right w:w="40" w:type="dxa"/>
            </w:tcMar>
            <w:vAlign w:val="center"/>
            <w:hideMark/>
          </w:tcPr>
          <w:p w:rsidR="005D1AC7" w:rsidRPr="005D1AC7" w:rsidRDefault="00F21A07" w:rsidP="005D1AC7">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&gt;95</w:t>
            </w:r>
          </w:p>
        </w:tc>
        <w:tc>
          <w:tcPr>
            <w:tcW w:w="0" w:type="auto"/>
            <w:tcBorders>
              <w:top w:val="nil"/>
              <w:left w:val="nil"/>
              <w:bottom w:val="nil"/>
              <w:right w:val="nil"/>
            </w:tcBorders>
            <w:shd w:val="clear" w:color="auto" w:fill="auto"/>
            <w:tcMar>
              <w:top w:w="40" w:type="dxa"/>
              <w:left w:w="40" w:type="dxa"/>
              <w:bottom w:w="40" w:type="dxa"/>
              <w:right w:w="40" w:type="dxa"/>
            </w:tcMar>
            <w:vAlign w:val="center"/>
            <w:hideMark/>
          </w:tcPr>
          <w:p w:rsidR="005D1AC7" w:rsidRPr="005D1AC7" w:rsidRDefault="005D1AC7" w:rsidP="005D1AC7">
            <w:pPr>
              <w:spacing w:before="0" w:line="240" w:lineRule="auto"/>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 xml:space="preserve">0956a </w:t>
            </w:r>
            <w:proofErr w:type="spellStart"/>
            <w:r w:rsidRPr="005D1AC7">
              <w:rPr>
                <w:rFonts w:eastAsia="Times New Roman" w:cs="Arial"/>
                <w:color w:val="000000"/>
                <w:sz w:val="18"/>
                <w:szCs w:val="18"/>
                <w:lang w:eastAsia="en-AU"/>
              </w:rPr>
              <w:t>sa</w:t>
            </w:r>
            <w:proofErr w:type="spellEnd"/>
            <w:r w:rsidRPr="005D1AC7">
              <w:rPr>
                <w:rFonts w:eastAsia="Times New Roman" w:cs="Arial"/>
                <w:color w:val="000000"/>
                <w:sz w:val="18"/>
                <w:szCs w:val="18"/>
                <w:lang w:eastAsia="en-AU"/>
              </w:rPr>
              <w:t xml:space="preserve"> act price $21.89 &lt; $403.81 30 </w:t>
            </w:r>
            <w:proofErr w:type="spellStart"/>
            <w:r w:rsidRPr="005D1AC7">
              <w:rPr>
                <w:rFonts w:eastAsia="Times New Roman" w:cs="Arial"/>
                <w:color w:val="000000"/>
                <w:sz w:val="18"/>
                <w:szCs w:val="18"/>
                <w:lang w:eastAsia="en-AU"/>
              </w:rPr>
              <w:t>mpd</w:t>
            </w:r>
            <w:proofErr w:type="spellEnd"/>
            <w:r w:rsidRPr="005D1AC7">
              <w:rPr>
                <w:rFonts w:eastAsia="Times New Roman" w:cs="Arial"/>
                <w:color w:val="000000"/>
                <w:sz w:val="18"/>
                <w:szCs w:val="18"/>
                <w:lang w:eastAsia="en-AU"/>
              </w:rPr>
              <w:t xml:space="preserve"> </w:t>
            </w:r>
            <w:proofErr w:type="spellStart"/>
            <w:r w:rsidRPr="005D1AC7">
              <w:rPr>
                <w:rFonts w:eastAsia="Times New Roman" w:cs="Arial"/>
                <w:color w:val="000000"/>
                <w:sz w:val="18"/>
                <w:szCs w:val="18"/>
                <w:lang w:eastAsia="en-AU"/>
              </w:rPr>
              <w:t>hhe</w:t>
            </w:r>
            <w:proofErr w:type="spellEnd"/>
            <w:r w:rsidRPr="005D1AC7">
              <w:rPr>
                <w:rFonts w:eastAsia="Times New Roman" w:cs="Arial"/>
                <w:color w:val="000000"/>
                <w:sz w:val="18"/>
                <w:szCs w:val="18"/>
                <w:lang w:eastAsia="en-AU"/>
              </w:rPr>
              <w:t xml:space="preserve"> 10:00</w:t>
            </w:r>
          </w:p>
        </w:tc>
      </w:tr>
      <w:tr w:rsidR="00F21A07" w:rsidRPr="005D1AC7" w:rsidTr="00F21A07">
        <w:trPr>
          <w:trHeight w:val="577"/>
        </w:trPr>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F21A07" w:rsidRDefault="00F21A07" w:rsidP="005D1AC7">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10.08 am</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F21A07" w:rsidRPr="005D1AC7" w:rsidRDefault="00F21A07" w:rsidP="005D1AC7">
            <w:pPr>
              <w:spacing w:before="0" w:line="240" w:lineRule="auto"/>
              <w:jc w:val="center"/>
              <w:rPr>
                <w:rFonts w:ascii="Times New Roman" w:eastAsia="Times New Roman" w:hAnsi="Times New Roman" w:cs="Times New Roman"/>
                <w:sz w:val="24"/>
                <w:szCs w:val="24"/>
                <w:lang w:eastAsia="en-AU"/>
              </w:rPr>
            </w:pP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F21A07" w:rsidRDefault="00F21A07" w:rsidP="005D1AC7">
            <w:pPr>
              <w:spacing w:before="0" w:line="240" w:lineRule="auto"/>
              <w:textAlignment w:val="center"/>
              <w:rPr>
                <w:rFonts w:eastAsia="Times New Roman" w:cs="Arial"/>
                <w:color w:val="000000"/>
                <w:sz w:val="18"/>
                <w:szCs w:val="18"/>
                <w:lang w:eastAsia="en-AU"/>
              </w:rPr>
            </w:pPr>
            <w:proofErr w:type="spellStart"/>
            <w:r>
              <w:rPr>
                <w:rFonts w:eastAsia="Times New Roman" w:cs="Arial"/>
                <w:color w:val="000000"/>
                <w:sz w:val="18"/>
                <w:szCs w:val="18"/>
                <w:lang w:eastAsia="en-AU"/>
              </w:rPr>
              <w:t>EnergyAustralia</w:t>
            </w:r>
            <w:proofErr w:type="spellEnd"/>
          </w:p>
        </w:tc>
        <w:tc>
          <w:tcPr>
            <w:tcW w:w="844" w:type="dxa"/>
            <w:tcBorders>
              <w:top w:val="nil"/>
              <w:left w:val="nil"/>
              <w:bottom w:val="nil"/>
              <w:right w:val="nil"/>
            </w:tcBorders>
            <w:shd w:val="clear" w:color="auto" w:fill="DBE5F1"/>
            <w:tcMar>
              <w:top w:w="40" w:type="dxa"/>
              <w:left w:w="40" w:type="dxa"/>
              <w:bottom w:w="40" w:type="dxa"/>
              <w:right w:w="40" w:type="dxa"/>
            </w:tcMar>
            <w:vAlign w:val="center"/>
          </w:tcPr>
          <w:p w:rsidR="00F21A07" w:rsidRDefault="00F21A07" w:rsidP="005D1AC7">
            <w:pPr>
              <w:spacing w:before="0" w:line="240" w:lineRule="auto"/>
              <w:textAlignment w:val="center"/>
              <w:rPr>
                <w:rFonts w:eastAsia="Times New Roman" w:cs="Arial"/>
                <w:color w:val="000000"/>
                <w:sz w:val="18"/>
                <w:szCs w:val="18"/>
                <w:lang w:eastAsia="en-AU"/>
              </w:rPr>
            </w:pPr>
            <w:proofErr w:type="spellStart"/>
            <w:r>
              <w:rPr>
                <w:rFonts w:eastAsia="Times New Roman" w:cs="Arial"/>
                <w:color w:val="000000"/>
                <w:sz w:val="18"/>
                <w:szCs w:val="18"/>
                <w:lang w:eastAsia="en-AU"/>
              </w:rPr>
              <w:t>Hallet</w:t>
            </w:r>
            <w:proofErr w:type="spellEnd"/>
          </w:p>
        </w:tc>
        <w:tc>
          <w:tcPr>
            <w:tcW w:w="1023" w:type="dxa"/>
            <w:tcBorders>
              <w:top w:val="nil"/>
              <w:left w:val="nil"/>
              <w:bottom w:val="nil"/>
              <w:right w:val="nil"/>
            </w:tcBorders>
            <w:shd w:val="clear" w:color="auto" w:fill="DBE5F1"/>
            <w:tcMar>
              <w:top w:w="40" w:type="dxa"/>
              <w:left w:w="40" w:type="dxa"/>
              <w:bottom w:w="40" w:type="dxa"/>
              <w:right w:w="40" w:type="dxa"/>
            </w:tcMar>
            <w:vAlign w:val="center"/>
          </w:tcPr>
          <w:p w:rsidR="00F21A07" w:rsidRDefault="00F21A07" w:rsidP="005D1AC7">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30</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F21A07" w:rsidRDefault="00F21A07" w:rsidP="005D1AC7">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&gt;361</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F21A07" w:rsidRDefault="00F21A07" w:rsidP="005D1AC7">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&gt;12</w:t>
            </w:r>
            <w:r w:rsidR="00051AD6">
              <w:rPr>
                <w:rFonts w:eastAsia="Times New Roman" w:cs="Arial"/>
                <w:color w:val="000000"/>
                <w:sz w:val="18"/>
                <w:szCs w:val="18"/>
                <w:lang w:eastAsia="en-AU"/>
              </w:rPr>
              <w:t> </w:t>
            </w:r>
            <w:r>
              <w:rPr>
                <w:rFonts w:eastAsia="Times New Roman" w:cs="Arial"/>
                <w:color w:val="000000"/>
                <w:sz w:val="18"/>
                <w:szCs w:val="18"/>
                <w:lang w:eastAsia="en-AU"/>
              </w:rPr>
              <w:t>195</w:t>
            </w:r>
          </w:p>
        </w:tc>
        <w:tc>
          <w:tcPr>
            <w:tcW w:w="0" w:type="auto"/>
            <w:tcBorders>
              <w:top w:val="nil"/>
              <w:left w:val="nil"/>
              <w:bottom w:val="nil"/>
              <w:right w:val="nil"/>
            </w:tcBorders>
            <w:shd w:val="clear" w:color="auto" w:fill="DBE5F1"/>
            <w:tcMar>
              <w:top w:w="40" w:type="dxa"/>
              <w:left w:w="40" w:type="dxa"/>
              <w:bottom w:w="40" w:type="dxa"/>
              <w:right w:w="40" w:type="dxa"/>
            </w:tcMar>
            <w:vAlign w:val="center"/>
          </w:tcPr>
          <w:p w:rsidR="00F21A07" w:rsidRPr="005D1AC7" w:rsidRDefault="00F21A07" w:rsidP="005D1AC7">
            <w:pPr>
              <w:spacing w:before="0" w:line="240" w:lineRule="auto"/>
              <w:textAlignment w:val="center"/>
              <w:rPr>
                <w:rFonts w:eastAsia="Times New Roman" w:cs="Arial"/>
                <w:color w:val="000000"/>
                <w:sz w:val="18"/>
                <w:szCs w:val="18"/>
                <w:lang w:eastAsia="en-AU"/>
              </w:rPr>
            </w:pPr>
            <w:r w:rsidRPr="00F21A07">
              <w:rPr>
                <w:rFonts w:eastAsia="Times New Roman" w:cs="Arial"/>
                <w:color w:val="000000"/>
                <w:sz w:val="18"/>
                <w:szCs w:val="18"/>
                <w:lang w:eastAsia="en-AU"/>
              </w:rPr>
              <w:t xml:space="preserve">10:07 a </w:t>
            </w:r>
            <w:proofErr w:type="spellStart"/>
            <w:r w:rsidRPr="00F21A07">
              <w:rPr>
                <w:rFonts w:eastAsia="Times New Roman" w:cs="Arial"/>
                <w:color w:val="000000"/>
                <w:sz w:val="18"/>
                <w:szCs w:val="18"/>
                <w:lang w:eastAsia="en-AU"/>
              </w:rPr>
              <w:t>adj</w:t>
            </w:r>
            <w:proofErr w:type="spellEnd"/>
            <w:r w:rsidRPr="00F21A07">
              <w:rPr>
                <w:rFonts w:eastAsia="Times New Roman" w:cs="Arial"/>
                <w:color w:val="000000"/>
                <w:sz w:val="18"/>
                <w:szCs w:val="18"/>
                <w:lang w:eastAsia="en-AU"/>
              </w:rPr>
              <w:t xml:space="preserve"> bands due to </w:t>
            </w:r>
            <w:proofErr w:type="spellStart"/>
            <w:r w:rsidRPr="00F21A07">
              <w:rPr>
                <w:rFonts w:eastAsia="Times New Roman" w:cs="Arial"/>
                <w:color w:val="000000"/>
                <w:sz w:val="18"/>
                <w:szCs w:val="18"/>
                <w:lang w:eastAsia="en-AU"/>
              </w:rPr>
              <w:t>sa</w:t>
            </w:r>
            <w:proofErr w:type="spellEnd"/>
            <w:r w:rsidRPr="00F21A07">
              <w:rPr>
                <w:rFonts w:eastAsia="Times New Roman" w:cs="Arial"/>
                <w:color w:val="000000"/>
                <w:sz w:val="18"/>
                <w:szCs w:val="18"/>
                <w:lang w:eastAsia="en-AU"/>
              </w:rPr>
              <w:t xml:space="preserve"> price&gt;</w:t>
            </w:r>
            <w:proofErr w:type="spellStart"/>
            <w:r w:rsidRPr="00F21A07">
              <w:rPr>
                <w:rFonts w:eastAsia="Times New Roman" w:cs="Arial"/>
                <w:color w:val="000000"/>
                <w:sz w:val="18"/>
                <w:szCs w:val="18"/>
                <w:lang w:eastAsia="en-AU"/>
              </w:rPr>
              <w:t>fcst</w:t>
            </w:r>
            <w:proofErr w:type="spellEnd"/>
            <w:r w:rsidRPr="00F21A07">
              <w:rPr>
                <w:rFonts w:eastAsia="Times New Roman" w:cs="Arial"/>
                <w:color w:val="000000"/>
                <w:sz w:val="18"/>
                <w:szCs w:val="18"/>
                <w:lang w:eastAsia="en-AU"/>
              </w:rPr>
              <w:t xml:space="preserve"> 381.74&gt;124.99</w:t>
            </w:r>
          </w:p>
        </w:tc>
      </w:tr>
      <w:tr w:rsidR="005D1AC7" w:rsidRPr="005D1AC7" w:rsidTr="00F21A07">
        <w:trPr>
          <w:trHeight w:val="577"/>
        </w:trPr>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5D1AC7" w:rsidRPr="005D1AC7" w:rsidRDefault="005D1AC7" w:rsidP="005D1AC7">
            <w:pPr>
              <w:spacing w:before="0" w:line="240" w:lineRule="auto"/>
              <w:jc w:val="center"/>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10.11 am</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5D1AC7" w:rsidRPr="005D1AC7" w:rsidRDefault="005D1AC7" w:rsidP="005D1AC7">
            <w:pPr>
              <w:spacing w:before="0" w:line="240" w:lineRule="auto"/>
              <w:jc w:val="center"/>
              <w:rPr>
                <w:rFonts w:ascii="Times New Roman" w:eastAsia="Times New Roman" w:hAnsi="Times New Roman" w:cs="Times New Roman"/>
                <w:sz w:val="24"/>
                <w:szCs w:val="24"/>
                <w:lang w:eastAsia="en-AU"/>
              </w:rPr>
            </w:pPr>
            <w:r w:rsidRPr="005D1AC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5D1AC7" w:rsidRPr="005D1AC7" w:rsidRDefault="005D1AC7" w:rsidP="005D1AC7">
            <w:pPr>
              <w:spacing w:before="0" w:line="240" w:lineRule="auto"/>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AGL Energy</w:t>
            </w:r>
          </w:p>
        </w:tc>
        <w:tc>
          <w:tcPr>
            <w:tcW w:w="844" w:type="dxa"/>
            <w:tcBorders>
              <w:top w:val="nil"/>
              <w:left w:val="nil"/>
              <w:bottom w:val="nil"/>
              <w:right w:val="nil"/>
            </w:tcBorders>
            <w:shd w:val="clear" w:color="auto" w:fill="FFFFFF"/>
            <w:tcMar>
              <w:top w:w="40" w:type="dxa"/>
              <w:left w:w="40" w:type="dxa"/>
              <w:bottom w:w="40" w:type="dxa"/>
              <w:right w:w="40" w:type="dxa"/>
            </w:tcMar>
            <w:vAlign w:val="center"/>
            <w:hideMark/>
          </w:tcPr>
          <w:p w:rsidR="005D1AC7" w:rsidRPr="005D1AC7" w:rsidRDefault="005D1AC7" w:rsidP="005D1AC7">
            <w:pPr>
              <w:spacing w:before="0" w:line="240" w:lineRule="auto"/>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Torrens Island</w:t>
            </w:r>
          </w:p>
        </w:tc>
        <w:tc>
          <w:tcPr>
            <w:tcW w:w="1023" w:type="dxa"/>
            <w:tcBorders>
              <w:top w:val="nil"/>
              <w:left w:val="nil"/>
              <w:bottom w:val="nil"/>
              <w:right w:val="nil"/>
            </w:tcBorders>
            <w:shd w:val="clear" w:color="auto" w:fill="FFFFFF"/>
            <w:tcMar>
              <w:top w:w="40" w:type="dxa"/>
              <w:left w:w="40" w:type="dxa"/>
              <w:bottom w:w="40" w:type="dxa"/>
              <w:right w:w="40" w:type="dxa"/>
            </w:tcMar>
            <w:vAlign w:val="center"/>
            <w:hideMark/>
          </w:tcPr>
          <w:p w:rsidR="005D1AC7" w:rsidRPr="005D1AC7" w:rsidRDefault="005D1AC7" w:rsidP="005D1AC7">
            <w:pPr>
              <w:spacing w:before="0" w:line="240" w:lineRule="auto"/>
              <w:jc w:val="center"/>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120</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5D1AC7" w:rsidRPr="005D1AC7" w:rsidRDefault="005D1AC7" w:rsidP="005D1AC7">
            <w:pPr>
              <w:spacing w:before="0" w:line="240" w:lineRule="auto"/>
              <w:jc w:val="center"/>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&lt;95</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5D1AC7" w:rsidRPr="005D1AC7" w:rsidRDefault="005D1AC7" w:rsidP="005D1AC7">
            <w:pPr>
              <w:spacing w:before="0" w:line="240" w:lineRule="auto"/>
              <w:jc w:val="center"/>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351</w:t>
            </w:r>
          </w:p>
        </w:tc>
        <w:tc>
          <w:tcPr>
            <w:tcW w:w="0" w:type="auto"/>
            <w:tcBorders>
              <w:top w:val="nil"/>
              <w:left w:val="nil"/>
              <w:bottom w:val="nil"/>
              <w:right w:val="nil"/>
            </w:tcBorders>
            <w:shd w:val="clear" w:color="auto" w:fill="FFFFFF"/>
            <w:tcMar>
              <w:top w:w="40" w:type="dxa"/>
              <w:left w:w="40" w:type="dxa"/>
              <w:bottom w:w="40" w:type="dxa"/>
              <w:right w:w="40" w:type="dxa"/>
            </w:tcMar>
            <w:vAlign w:val="center"/>
            <w:hideMark/>
          </w:tcPr>
          <w:p w:rsidR="005D1AC7" w:rsidRPr="005D1AC7" w:rsidRDefault="005D1AC7" w:rsidP="005D1AC7">
            <w:pPr>
              <w:spacing w:before="0" w:line="240" w:lineRule="auto"/>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 xml:space="preserve">1001~a~050 </w:t>
            </w:r>
            <w:proofErr w:type="spellStart"/>
            <w:r w:rsidRPr="005D1AC7">
              <w:rPr>
                <w:rFonts w:eastAsia="Times New Roman" w:cs="Arial"/>
                <w:color w:val="000000"/>
                <w:sz w:val="18"/>
                <w:szCs w:val="18"/>
                <w:lang w:eastAsia="en-AU"/>
              </w:rPr>
              <w:t>chg</w:t>
            </w:r>
            <w:proofErr w:type="spellEnd"/>
            <w:r w:rsidRPr="005D1AC7">
              <w:rPr>
                <w:rFonts w:eastAsia="Times New Roman" w:cs="Arial"/>
                <w:color w:val="000000"/>
                <w:sz w:val="18"/>
                <w:szCs w:val="18"/>
                <w:lang w:eastAsia="en-AU"/>
              </w:rPr>
              <w:t xml:space="preserve"> in </w:t>
            </w:r>
            <w:proofErr w:type="spellStart"/>
            <w:r w:rsidRPr="005D1AC7">
              <w:rPr>
                <w:rFonts w:eastAsia="Times New Roman" w:cs="Arial"/>
                <w:color w:val="000000"/>
                <w:sz w:val="18"/>
                <w:szCs w:val="18"/>
                <w:lang w:eastAsia="en-AU"/>
              </w:rPr>
              <w:t>aemo</w:t>
            </w:r>
            <w:proofErr w:type="spellEnd"/>
            <w:r w:rsidRPr="005D1AC7">
              <w:rPr>
                <w:rFonts w:eastAsia="Times New Roman" w:cs="Arial"/>
                <w:color w:val="000000"/>
                <w:sz w:val="18"/>
                <w:szCs w:val="18"/>
                <w:lang w:eastAsia="en-AU"/>
              </w:rPr>
              <w:t xml:space="preserve"> pd~55 </w:t>
            </w:r>
            <w:proofErr w:type="spellStart"/>
            <w:r w:rsidRPr="005D1AC7">
              <w:rPr>
                <w:rFonts w:eastAsia="Times New Roman" w:cs="Arial"/>
                <w:color w:val="000000"/>
                <w:sz w:val="18"/>
                <w:szCs w:val="18"/>
                <w:lang w:eastAsia="en-AU"/>
              </w:rPr>
              <w:t>pd</w:t>
            </w:r>
            <w:proofErr w:type="spellEnd"/>
            <w:r w:rsidRPr="005D1AC7">
              <w:rPr>
                <w:rFonts w:eastAsia="Times New Roman" w:cs="Arial"/>
                <w:color w:val="000000"/>
                <w:sz w:val="18"/>
                <w:szCs w:val="18"/>
                <w:lang w:eastAsia="en-AU"/>
              </w:rPr>
              <w:t xml:space="preserve"> price increase 63mw </w:t>
            </w:r>
            <w:proofErr w:type="spellStart"/>
            <w:r w:rsidRPr="005D1AC7">
              <w:rPr>
                <w:rFonts w:eastAsia="Times New Roman" w:cs="Arial"/>
                <w:color w:val="000000"/>
                <w:sz w:val="18"/>
                <w:szCs w:val="18"/>
                <w:lang w:eastAsia="en-AU"/>
              </w:rPr>
              <w:t>sa</w:t>
            </w:r>
            <w:proofErr w:type="spellEnd"/>
          </w:p>
        </w:tc>
      </w:tr>
      <w:tr w:rsidR="005D1AC7" w:rsidRPr="005D1AC7" w:rsidTr="0075734E">
        <w:trPr>
          <w:trHeight w:val="577"/>
        </w:trPr>
        <w:tc>
          <w:tcPr>
            <w:tcW w:w="0" w:type="auto"/>
            <w:tcBorders>
              <w:top w:val="nil"/>
              <w:left w:val="nil"/>
              <w:right w:val="nil"/>
            </w:tcBorders>
            <w:shd w:val="clear" w:color="auto" w:fill="DBE5F1"/>
            <w:tcMar>
              <w:top w:w="40" w:type="dxa"/>
              <w:left w:w="40" w:type="dxa"/>
              <w:bottom w:w="40" w:type="dxa"/>
              <w:right w:w="40" w:type="dxa"/>
            </w:tcMar>
            <w:vAlign w:val="center"/>
            <w:hideMark/>
          </w:tcPr>
          <w:p w:rsidR="005D1AC7" w:rsidRPr="005D1AC7" w:rsidRDefault="005D1AC7" w:rsidP="005D1AC7">
            <w:pPr>
              <w:spacing w:before="0" w:line="240" w:lineRule="auto"/>
              <w:jc w:val="center"/>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10.18 am</w:t>
            </w:r>
          </w:p>
        </w:tc>
        <w:tc>
          <w:tcPr>
            <w:tcW w:w="0" w:type="auto"/>
            <w:tcBorders>
              <w:top w:val="nil"/>
              <w:left w:val="nil"/>
              <w:right w:val="nil"/>
            </w:tcBorders>
            <w:shd w:val="clear" w:color="auto" w:fill="DBE5F1"/>
            <w:tcMar>
              <w:top w:w="40" w:type="dxa"/>
              <w:left w:w="40" w:type="dxa"/>
              <w:bottom w:w="40" w:type="dxa"/>
              <w:right w:w="40" w:type="dxa"/>
            </w:tcMar>
            <w:vAlign w:val="center"/>
            <w:hideMark/>
          </w:tcPr>
          <w:p w:rsidR="005D1AC7" w:rsidRPr="005D1AC7" w:rsidRDefault="005D1AC7" w:rsidP="005D1AC7">
            <w:pPr>
              <w:spacing w:before="0" w:line="240" w:lineRule="auto"/>
              <w:jc w:val="center"/>
              <w:rPr>
                <w:rFonts w:ascii="Times New Roman" w:eastAsia="Times New Roman" w:hAnsi="Times New Roman" w:cs="Times New Roman"/>
                <w:sz w:val="24"/>
                <w:szCs w:val="24"/>
                <w:lang w:eastAsia="en-AU"/>
              </w:rPr>
            </w:pPr>
            <w:r w:rsidRPr="005D1AC7">
              <w:rPr>
                <w:rFonts w:ascii="Times New Roman" w:eastAsia="Times New Roman" w:hAnsi="Times New Roman" w:cs="Times New Roman"/>
                <w:sz w:val="24"/>
                <w:szCs w:val="24"/>
                <w:lang w:eastAsia="en-AU"/>
              </w:rPr>
              <w:t> </w:t>
            </w:r>
          </w:p>
        </w:tc>
        <w:tc>
          <w:tcPr>
            <w:tcW w:w="0" w:type="auto"/>
            <w:tcBorders>
              <w:top w:val="nil"/>
              <w:left w:val="nil"/>
              <w:right w:val="nil"/>
            </w:tcBorders>
            <w:shd w:val="clear" w:color="auto" w:fill="DBE5F1"/>
            <w:tcMar>
              <w:top w:w="40" w:type="dxa"/>
              <w:left w:w="40" w:type="dxa"/>
              <w:bottom w:w="40" w:type="dxa"/>
              <w:right w:w="40" w:type="dxa"/>
            </w:tcMar>
            <w:vAlign w:val="center"/>
            <w:hideMark/>
          </w:tcPr>
          <w:p w:rsidR="005D1AC7" w:rsidRPr="005D1AC7" w:rsidRDefault="005D1AC7" w:rsidP="005D1AC7">
            <w:pPr>
              <w:spacing w:before="0" w:line="240" w:lineRule="auto"/>
              <w:textAlignment w:val="center"/>
              <w:rPr>
                <w:rFonts w:eastAsia="Times New Roman" w:cs="Arial"/>
                <w:color w:val="000000"/>
                <w:sz w:val="18"/>
                <w:szCs w:val="18"/>
                <w:lang w:eastAsia="en-AU"/>
              </w:rPr>
            </w:pPr>
            <w:proofErr w:type="spellStart"/>
            <w:r w:rsidRPr="005D1AC7">
              <w:rPr>
                <w:rFonts w:eastAsia="Times New Roman" w:cs="Arial"/>
                <w:color w:val="000000"/>
                <w:sz w:val="18"/>
                <w:szCs w:val="18"/>
                <w:lang w:eastAsia="en-AU"/>
              </w:rPr>
              <w:t>EnergyAustralia</w:t>
            </w:r>
            <w:proofErr w:type="spellEnd"/>
          </w:p>
        </w:tc>
        <w:tc>
          <w:tcPr>
            <w:tcW w:w="844" w:type="dxa"/>
            <w:tcBorders>
              <w:top w:val="nil"/>
              <w:left w:val="nil"/>
              <w:right w:val="nil"/>
            </w:tcBorders>
            <w:shd w:val="clear" w:color="auto" w:fill="DBE5F1"/>
            <w:tcMar>
              <w:top w:w="40" w:type="dxa"/>
              <w:left w:w="40" w:type="dxa"/>
              <w:bottom w:w="40" w:type="dxa"/>
              <w:right w:w="40" w:type="dxa"/>
            </w:tcMar>
            <w:vAlign w:val="center"/>
            <w:hideMark/>
          </w:tcPr>
          <w:p w:rsidR="005D1AC7" w:rsidRPr="005D1AC7" w:rsidRDefault="005D1AC7" w:rsidP="005D1AC7">
            <w:pPr>
              <w:spacing w:before="0" w:line="240" w:lineRule="auto"/>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Hallett</w:t>
            </w:r>
          </w:p>
        </w:tc>
        <w:tc>
          <w:tcPr>
            <w:tcW w:w="1023" w:type="dxa"/>
            <w:tcBorders>
              <w:top w:val="nil"/>
              <w:left w:val="nil"/>
              <w:right w:val="nil"/>
            </w:tcBorders>
            <w:shd w:val="clear" w:color="auto" w:fill="DBE5F1"/>
            <w:tcMar>
              <w:top w:w="40" w:type="dxa"/>
              <w:left w:w="40" w:type="dxa"/>
              <w:bottom w:w="40" w:type="dxa"/>
              <w:right w:w="40" w:type="dxa"/>
            </w:tcMar>
            <w:vAlign w:val="center"/>
            <w:hideMark/>
          </w:tcPr>
          <w:p w:rsidR="005D1AC7" w:rsidRPr="005D1AC7" w:rsidRDefault="005D1AC7" w:rsidP="005D1AC7">
            <w:pPr>
              <w:spacing w:before="0" w:line="240" w:lineRule="auto"/>
              <w:jc w:val="center"/>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10</w:t>
            </w:r>
          </w:p>
        </w:tc>
        <w:tc>
          <w:tcPr>
            <w:tcW w:w="0" w:type="auto"/>
            <w:tcBorders>
              <w:top w:val="nil"/>
              <w:left w:val="nil"/>
              <w:right w:val="nil"/>
            </w:tcBorders>
            <w:shd w:val="clear" w:color="auto" w:fill="DBE5F1"/>
            <w:tcMar>
              <w:top w:w="40" w:type="dxa"/>
              <w:left w:w="40" w:type="dxa"/>
              <w:bottom w:w="40" w:type="dxa"/>
              <w:right w:w="40" w:type="dxa"/>
            </w:tcMar>
            <w:vAlign w:val="center"/>
            <w:hideMark/>
          </w:tcPr>
          <w:p w:rsidR="005D1AC7" w:rsidRPr="005D1AC7" w:rsidRDefault="005D1AC7" w:rsidP="005D1AC7">
            <w:pPr>
              <w:spacing w:before="0" w:line="240" w:lineRule="auto"/>
              <w:jc w:val="center"/>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-1000</w:t>
            </w:r>
          </w:p>
        </w:tc>
        <w:tc>
          <w:tcPr>
            <w:tcW w:w="0" w:type="auto"/>
            <w:tcBorders>
              <w:top w:val="nil"/>
              <w:left w:val="nil"/>
              <w:right w:val="nil"/>
            </w:tcBorders>
            <w:shd w:val="clear" w:color="auto" w:fill="DBE5F1"/>
            <w:tcMar>
              <w:top w:w="40" w:type="dxa"/>
              <w:left w:w="40" w:type="dxa"/>
              <w:bottom w:w="40" w:type="dxa"/>
              <w:right w:w="40" w:type="dxa"/>
            </w:tcMar>
            <w:vAlign w:val="center"/>
            <w:hideMark/>
          </w:tcPr>
          <w:p w:rsidR="005D1AC7" w:rsidRPr="005D1AC7" w:rsidRDefault="005D1AC7" w:rsidP="005D1AC7">
            <w:pPr>
              <w:spacing w:before="0" w:line="240" w:lineRule="auto"/>
              <w:jc w:val="center"/>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12</w:t>
            </w:r>
            <w:r w:rsidR="00051AD6">
              <w:rPr>
                <w:rFonts w:eastAsia="Times New Roman" w:cs="Arial"/>
                <w:color w:val="000000"/>
                <w:sz w:val="18"/>
                <w:szCs w:val="18"/>
                <w:lang w:eastAsia="en-AU"/>
              </w:rPr>
              <w:t> </w:t>
            </w:r>
            <w:r w:rsidRPr="005D1AC7">
              <w:rPr>
                <w:rFonts w:eastAsia="Times New Roman" w:cs="Arial"/>
                <w:color w:val="000000"/>
                <w:sz w:val="18"/>
                <w:szCs w:val="18"/>
                <w:lang w:eastAsia="en-AU"/>
              </w:rPr>
              <w:t>195</w:t>
            </w:r>
          </w:p>
        </w:tc>
        <w:tc>
          <w:tcPr>
            <w:tcW w:w="0" w:type="auto"/>
            <w:tcBorders>
              <w:top w:val="nil"/>
              <w:left w:val="nil"/>
              <w:right w:val="nil"/>
            </w:tcBorders>
            <w:shd w:val="clear" w:color="auto" w:fill="DBE5F1"/>
            <w:tcMar>
              <w:top w:w="40" w:type="dxa"/>
              <w:left w:w="40" w:type="dxa"/>
              <w:bottom w:w="40" w:type="dxa"/>
              <w:right w:w="40" w:type="dxa"/>
            </w:tcMar>
            <w:vAlign w:val="center"/>
            <w:hideMark/>
          </w:tcPr>
          <w:p w:rsidR="005D1AC7" w:rsidRPr="005D1AC7" w:rsidRDefault="005D1AC7" w:rsidP="005D1AC7">
            <w:pPr>
              <w:spacing w:before="0" w:line="240" w:lineRule="auto"/>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 xml:space="preserve">10:18 a </w:t>
            </w:r>
            <w:proofErr w:type="spellStart"/>
            <w:r w:rsidRPr="005D1AC7">
              <w:rPr>
                <w:rFonts w:eastAsia="Times New Roman" w:cs="Arial"/>
                <w:color w:val="000000"/>
                <w:sz w:val="18"/>
                <w:szCs w:val="18"/>
                <w:lang w:eastAsia="en-AU"/>
              </w:rPr>
              <w:t>adj</w:t>
            </w:r>
            <w:proofErr w:type="spellEnd"/>
            <w:r w:rsidRPr="005D1AC7">
              <w:rPr>
                <w:rFonts w:eastAsia="Times New Roman" w:cs="Arial"/>
                <w:color w:val="000000"/>
                <w:sz w:val="18"/>
                <w:szCs w:val="18"/>
                <w:lang w:eastAsia="en-AU"/>
              </w:rPr>
              <w:t xml:space="preserve"> bands due to mat change in </w:t>
            </w:r>
            <w:proofErr w:type="spellStart"/>
            <w:r w:rsidRPr="005D1AC7">
              <w:rPr>
                <w:rFonts w:eastAsia="Times New Roman" w:cs="Arial"/>
                <w:color w:val="000000"/>
                <w:sz w:val="18"/>
                <w:szCs w:val="18"/>
                <w:lang w:eastAsia="en-AU"/>
              </w:rPr>
              <w:t>sa</w:t>
            </w:r>
            <w:proofErr w:type="spellEnd"/>
            <w:r w:rsidRPr="005D1AC7">
              <w:rPr>
                <w:rFonts w:eastAsia="Times New Roman" w:cs="Arial"/>
                <w:color w:val="000000"/>
                <w:sz w:val="18"/>
                <w:szCs w:val="18"/>
                <w:lang w:eastAsia="en-AU"/>
              </w:rPr>
              <w:t xml:space="preserve"> wind gen waterloo</w:t>
            </w:r>
          </w:p>
        </w:tc>
      </w:tr>
      <w:tr w:rsidR="0075734E" w:rsidRPr="005D1AC7" w:rsidTr="0075734E">
        <w:trPr>
          <w:trHeight w:val="577"/>
        </w:trPr>
        <w:tc>
          <w:tcPr>
            <w:tcW w:w="0" w:type="auto"/>
            <w:tcBorders>
              <w:top w:val="nil"/>
              <w:left w:val="nil"/>
              <w:right w:val="nil"/>
            </w:tcBorders>
            <w:shd w:val="clear" w:color="auto" w:fill="auto"/>
            <w:tcMar>
              <w:top w:w="40" w:type="dxa"/>
              <w:left w:w="40" w:type="dxa"/>
              <w:bottom w:w="40" w:type="dxa"/>
              <w:right w:w="40" w:type="dxa"/>
            </w:tcMar>
            <w:vAlign w:val="center"/>
          </w:tcPr>
          <w:p w:rsidR="0075734E" w:rsidRPr="005D1AC7" w:rsidRDefault="0075734E" w:rsidP="00C3187B">
            <w:pPr>
              <w:spacing w:before="0" w:line="240" w:lineRule="auto"/>
              <w:jc w:val="center"/>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10.33 am</w:t>
            </w:r>
          </w:p>
        </w:tc>
        <w:tc>
          <w:tcPr>
            <w:tcW w:w="0" w:type="auto"/>
            <w:tcBorders>
              <w:top w:val="nil"/>
              <w:left w:val="nil"/>
              <w:right w:val="nil"/>
            </w:tcBorders>
            <w:shd w:val="clear" w:color="auto" w:fill="auto"/>
            <w:tcMar>
              <w:top w:w="40" w:type="dxa"/>
              <w:left w:w="40" w:type="dxa"/>
              <w:bottom w:w="40" w:type="dxa"/>
              <w:right w:w="40" w:type="dxa"/>
            </w:tcMar>
            <w:vAlign w:val="center"/>
          </w:tcPr>
          <w:p w:rsidR="0075734E" w:rsidRPr="005D1AC7" w:rsidRDefault="0075734E" w:rsidP="00C3187B">
            <w:pPr>
              <w:spacing w:before="0" w:line="240" w:lineRule="auto"/>
              <w:jc w:val="center"/>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10.40 am</w:t>
            </w:r>
          </w:p>
        </w:tc>
        <w:tc>
          <w:tcPr>
            <w:tcW w:w="0" w:type="auto"/>
            <w:tcBorders>
              <w:top w:val="nil"/>
              <w:left w:val="nil"/>
              <w:right w:val="nil"/>
            </w:tcBorders>
            <w:shd w:val="clear" w:color="auto" w:fill="auto"/>
            <w:tcMar>
              <w:top w:w="40" w:type="dxa"/>
              <w:left w:w="40" w:type="dxa"/>
              <w:bottom w:w="40" w:type="dxa"/>
              <w:right w:w="40" w:type="dxa"/>
            </w:tcMar>
            <w:vAlign w:val="center"/>
          </w:tcPr>
          <w:p w:rsidR="0075734E" w:rsidRPr="005D1AC7" w:rsidRDefault="0075734E" w:rsidP="00C3187B">
            <w:pPr>
              <w:spacing w:before="0" w:line="240" w:lineRule="auto"/>
              <w:textAlignment w:val="center"/>
              <w:rPr>
                <w:rFonts w:eastAsia="Times New Roman" w:cs="Arial"/>
                <w:color w:val="000000"/>
                <w:sz w:val="18"/>
                <w:szCs w:val="18"/>
                <w:lang w:eastAsia="en-AU"/>
              </w:rPr>
            </w:pPr>
            <w:proofErr w:type="spellStart"/>
            <w:r w:rsidRPr="005D1AC7">
              <w:rPr>
                <w:rFonts w:eastAsia="Times New Roman" w:cs="Arial"/>
                <w:color w:val="000000"/>
                <w:sz w:val="18"/>
                <w:szCs w:val="18"/>
                <w:lang w:eastAsia="en-AU"/>
              </w:rPr>
              <w:t>EnergyAustralia</w:t>
            </w:r>
            <w:proofErr w:type="spellEnd"/>
          </w:p>
        </w:tc>
        <w:tc>
          <w:tcPr>
            <w:tcW w:w="844" w:type="dxa"/>
            <w:tcBorders>
              <w:top w:val="nil"/>
              <w:left w:val="nil"/>
              <w:right w:val="nil"/>
            </w:tcBorders>
            <w:shd w:val="clear" w:color="auto" w:fill="auto"/>
            <w:tcMar>
              <w:top w:w="40" w:type="dxa"/>
              <w:left w:w="40" w:type="dxa"/>
              <w:bottom w:w="40" w:type="dxa"/>
              <w:right w:w="40" w:type="dxa"/>
            </w:tcMar>
            <w:vAlign w:val="center"/>
          </w:tcPr>
          <w:p w:rsidR="0075734E" w:rsidRPr="005D1AC7" w:rsidRDefault="0075734E" w:rsidP="00C3187B">
            <w:pPr>
              <w:spacing w:before="0" w:line="240" w:lineRule="auto"/>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Hallett</w:t>
            </w:r>
          </w:p>
        </w:tc>
        <w:tc>
          <w:tcPr>
            <w:tcW w:w="1023" w:type="dxa"/>
            <w:tcBorders>
              <w:top w:val="nil"/>
              <w:left w:val="nil"/>
              <w:right w:val="nil"/>
            </w:tcBorders>
            <w:shd w:val="clear" w:color="auto" w:fill="auto"/>
            <w:tcMar>
              <w:top w:w="40" w:type="dxa"/>
              <w:left w:w="40" w:type="dxa"/>
              <w:bottom w:w="40" w:type="dxa"/>
              <w:right w:w="40" w:type="dxa"/>
            </w:tcMar>
            <w:vAlign w:val="center"/>
          </w:tcPr>
          <w:p w:rsidR="0075734E" w:rsidRPr="005D1AC7" w:rsidRDefault="0075734E" w:rsidP="00C3187B">
            <w:pPr>
              <w:spacing w:before="0" w:line="240" w:lineRule="auto"/>
              <w:jc w:val="center"/>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10</w:t>
            </w:r>
          </w:p>
        </w:tc>
        <w:tc>
          <w:tcPr>
            <w:tcW w:w="0" w:type="auto"/>
            <w:tcBorders>
              <w:top w:val="nil"/>
              <w:left w:val="nil"/>
              <w:right w:val="nil"/>
            </w:tcBorders>
            <w:shd w:val="clear" w:color="auto" w:fill="auto"/>
            <w:tcMar>
              <w:top w:w="40" w:type="dxa"/>
              <w:left w:w="40" w:type="dxa"/>
              <w:bottom w:w="40" w:type="dxa"/>
              <w:right w:w="40" w:type="dxa"/>
            </w:tcMar>
            <w:vAlign w:val="center"/>
          </w:tcPr>
          <w:p w:rsidR="0075734E" w:rsidRPr="005D1AC7" w:rsidRDefault="0075734E" w:rsidP="00C3187B">
            <w:pPr>
              <w:spacing w:before="0" w:line="240" w:lineRule="auto"/>
              <w:jc w:val="center"/>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-1000</w:t>
            </w:r>
          </w:p>
        </w:tc>
        <w:tc>
          <w:tcPr>
            <w:tcW w:w="0" w:type="auto"/>
            <w:tcBorders>
              <w:top w:val="nil"/>
              <w:left w:val="nil"/>
              <w:right w:val="nil"/>
            </w:tcBorders>
            <w:shd w:val="clear" w:color="auto" w:fill="auto"/>
            <w:tcMar>
              <w:top w:w="40" w:type="dxa"/>
              <w:left w:w="40" w:type="dxa"/>
              <w:bottom w:w="40" w:type="dxa"/>
              <w:right w:w="40" w:type="dxa"/>
            </w:tcMar>
            <w:vAlign w:val="center"/>
          </w:tcPr>
          <w:p w:rsidR="0075734E" w:rsidRPr="005D1AC7" w:rsidRDefault="0075734E" w:rsidP="00C3187B">
            <w:pPr>
              <w:spacing w:before="0" w:line="240" w:lineRule="auto"/>
              <w:jc w:val="center"/>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12</w:t>
            </w:r>
            <w:r w:rsidR="00051AD6">
              <w:rPr>
                <w:rFonts w:eastAsia="Times New Roman" w:cs="Arial"/>
                <w:color w:val="000000"/>
                <w:sz w:val="18"/>
                <w:szCs w:val="18"/>
                <w:lang w:eastAsia="en-AU"/>
              </w:rPr>
              <w:t> </w:t>
            </w:r>
            <w:r w:rsidRPr="005D1AC7">
              <w:rPr>
                <w:rFonts w:eastAsia="Times New Roman" w:cs="Arial"/>
                <w:color w:val="000000"/>
                <w:sz w:val="18"/>
                <w:szCs w:val="18"/>
                <w:lang w:eastAsia="en-AU"/>
              </w:rPr>
              <w:t>195</w:t>
            </w:r>
          </w:p>
        </w:tc>
        <w:tc>
          <w:tcPr>
            <w:tcW w:w="0" w:type="auto"/>
            <w:tcBorders>
              <w:top w:val="nil"/>
              <w:left w:val="nil"/>
              <w:right w:val="nil"/>
            </w:tcBorders>
            <w:shd w:val="clear" w:color="auto" w:fill="auto"/>
            <w:tcMar>
              <w:top w:w="40" w:type="dxa"/>
              <w:left w:w="40" w:type="dxa"/>
              <w:bottom w:w="40" w:type="dxa"/>
              <w:right w:w="40" w:type="dxa"/>
            </w:tcMar>
            <w:vAlign w:val="center"/>
          </w:tcPr>
          <w:p w:rsidR="0075734E" w:rsidRPr="005D1AC7" w:rsidRDefault="0075734E" w:rsidP="00C3187B">
            <w:pPr>
              <w:spacing w:before="0" w:line="240" w:lineRule="auto"/>
              <w:textAlignment w:val="center"/>
              <w:rPr>
                <w:rFonts w:eastAsia="Times New Roman" w:cs="Arial"/>
                <w:color w:val="000000"/>
                <w:sz w:val="18"/>
                <w:szCs w:val="18"/>
                <w:lang w:eastAsia="en-AU"/>
              </w:rPr>
            </w:pPr>
            <w:r w:rsidRPr="005D1AC7">
              <w:rPr>
                <w:rFonts w:eastAsia="Times New Roman" w:cs="Arial"/>
                <w:color w:val="000000"/>
                <w:sz w:val="18"/>
                <w:szCs w:val="18"/>
                <w:lang w:eastAsia="en-AU"/>
              </w:rPr>
              <w:t xml:space="preserve">10:32 a </w:t>
            </w:r>
            <w:proofErr w:type="spellStart"/>
            <w:r w:rsidRPr="005D1AC7">
              <w:rPr>
                <w:rFonts w:eastAsia="Times New Roman" w:cs="Arial"/>
                <w:color w:val="000000"/>
                <w:sz w:val="18"/>
                <w:szCs w:val="18"/>
                <w:lang w:eastAsia="en-AU"/>
              </w:rPr>
              <w:t>adj</w:t>
            </w:r>
            <w:proofErr w:type="spellEnd"/>
            <w:r w:rsidRPr="005D1AC7">
              <w:rPr>
                <w:rFonts w:eastAsia="Times New Roman" w:cs="Arial"/>
                <w:color w:val="000000"/>
                <w:sz w:val="18"/>
                <w:szCs w:val="18"/>
                <w:lang w:eastAsia="en-AU"/>
              </w:rPr>
              <w:t xml:space="preserve"> bands mat change </w:t>
            </w:r>
            <w:proofErr w:type="spellStart"/>
            <w:r w:rsidRPr="005D1AC7">
              <w:rPr>
                <w:rFonts w:eastAsia="Times New Roman" w:cs="Arial"/>
                <w:color w:val="000000"/>
                <w:sz w:val="18"/>
                <w:szCs w:val="18"/>
                <w:lang w:eastAsia="en-AU"/>
              </w:rPr>
              <w:t>sa</w:t>
            </w:r>
            <w:proofErr w:type="spellEnd"/>
            <w:r w:rsidRPr="005D1AC7">
              <w:rPr>
                <w:rFonts w:eastAsia="Times New Roman" w:cs="Arial"/>
                <w:color w:val="000000"/>
                <w:sz w:val="18"/>
                <w:szCs w:val="18"/>
                <w:lang w:eastAsia="en-AU"/>
              </w:rPr>
              <w:t xml:space="preserve"> wind generation waterloo </w:t>
            </w:r>
            <w:proofErr w:type="spellStart"/>
            <w:r w:rsidRPr="005D1AC7">
              <w:rPr>
                <w:rFonts w:eastAsia="Times New Roman" w:cs="Arial"/>
                <w:color w:val="000000"/>
                <w:sz w:val="18"/>
                <w:szCs w:val="18"/>
                <w:lang w:eastAsia="en-AU"/>
              </w:rPr>
              <w:t>sl</w:t>
            </w:r>
            <w:proofErr w:type="spellEnd"/>
          </w:p>
        </w:tc>
      </w:tr>
      <w:tr w:rsidR="0075734E" w:rsidRPr="005D1AC7" w:rsidTr="00CF17DE">
        <w:trPr>
          <w:trHeight w:val="577"/>
        </w:trPr>
        <w:tc>
          <w:tcPr>
            <w:tcW w:w="0" w:type="auto"/>
            <w:tcBorders>
              <w:top w:val="nil"/>
              <w:left w:val="nil"/>
              <w:right w:val="nil"/>
            </w:tcBorders>
            <w:shd w:val="clear" w:color="auto" w:fill="DBE5F1"/>
            <w:tcMar>
              <w:top w:w="40" w:type="dxa"/>
              <w:left w:w="40" w:type="dxa"/>
              <w:bottom w:w="40" w:type="dxa"/>
              <w:right w:w="40" w:type="dxa"/>
            </w:tcMar>
            <w:vAlign w:val="center"/>
          </w:tcPr>
          <w:p w:rsidR="0075734E" w:rsidRPr="005D1AC7" w:rsidRDefault="0075734E" w:rsidP="00C3187B">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11.05 am</w:t>
            </w:r>
          </w:p>
        </w:tc>
        <w:tc>
          <w:tcPr>
            <w:tcW w:w="0" w:type="auto"/>
            <w:tcBorders>
              <w:top w:val="nil"/>
              <w:left w:val="nil"/>
              <w:right w:val="nil"/>
            </w:tcBorders>
            <w:shd w:val="clear" w:color="auto" w:fill="DBE5F1"/>
            <w:tcMar>
              <w:top w:w="40" w:type="dxa"/>
              <w:left w:w="40" w:type="dxa"/>
              <w:bottom w:w="40" w:type="dxa"/>
              <w:right w:w="40" w:type="dxa"/>
            </w:tcMar>
            <w:vAlign w:val="center"/>
          </w:tcPr>
          <w:p w:rsidR="0075734E" w:rsidRPr="005D1AC7" w:rsidRDefault="0075734E" w:rsidP="00C3187B">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11.15 am</w:t>
            </w:r>
          </w:p>
        </w:tc>
        <w:tc>
          <w:tcPr>
            <w:tcW w:w="0" w:type="auto"/>
            <w:tcBorders>
              <w:top w:val="nil"/>
              <w:left w:val="nil"/>
              <w:right w:val="nil"/>
            </w:tcBorders>
            <w:shd w:val="clear" w:color="auto" w:fill="DBE5F1"/>
            <w:tcMar>
              <w:top w:w="40" w:type="dxa"/>
              <w:left w:w="40" w:type="dxa"/>
              <w:bottom w:w="40" w:type="dxa"/>
              <w:right w:w="40" w:type="dxa"/>
            </w:tcMar>
            <w:vAlign w:val="center"/>
          </w:tcPr>
          <w:p w:rsidR="0075734E" w:rsidRPr="005D1AC7" w:rsidRDefault="0075734E" w:rsidP="00C3187B">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GDF Suez</w:t>
            </w:r>
          </w:p>
        </w:tc>
        <w:tc>
          <w:tcPr>
            <w:tcW w:w="844" w:type="dxa"/>
            <w:tcBorders>
              <w:top w:val="nil"/>
              <w:left w:val="nil"/>
              <w:right w:val="nil"/>
            </w:tcBorders>
            <w:shd w:val="clear" w:color="auto" w:fill="DBE5F1"/>
            <w:tcMar>
              <w:top w:w="40" w:type="dxa"/>
              <w:left w:w="40" w:type="dxa"/>
              <w:bottom w:w="40" w:type="dxa"/>
              <w:right w:w="40" w:type="dxa"/>
            </w:tcMar>
            <w:vAlign w:val="center"/>
          </w:tcPr>
          <w:p w:rsidR="0075734E" w:rsidRPr="005D1AC7" w:rsidRDefault="0075734E" w:rsidP="00C3187B">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Dry Creek</w:t>
            </w:r>
          </w:p>
        </w:tc>
        <w:tc>
          <w:tcPr>
            <w:tcW w:w="1023" w:type="dxa"/>
            <w:tcBorders>
              <w:top w:val="nil"/>
              <w:left w:val="nil"/>
              <w:right w:val="nil"/>
            </w:tcBorders>
            <w:shd w:val="clear" w:color="auto" w:fill="DBE5F1"/>
            <w:tcMar>
              <w:top w:w="40" w:type="dxa"/>
              <w:left w:w="40" w:type="dxa"/>
              <w:bottom w:w="40" w:type="dxa"/>
              <w:right w:w="40" w:type="dxa"/>
            </w:tcMar>
            <w:vAlign w:val="center"/>
          </w:tcPr>
          <w:p w:rsidR="0075734E" w:rsidRPr="005D1AC7" w:rsidRDefault="0075734E" w:rsidP="00C3187B">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26</w:t>
            </w:r>
          </w:p>
        </w:tc>
        <w:tc>
          <w:tcPr>
            <w:tcW w:w="0" w:type="auto"/>
            <w:tcBorders>
              <w:top w:val="nil"/>
              <w:left w:val="nil"/>
              <w:right w:val="nil"/>
            </w:tcBorders>
            <w:shd w:val="clear" w:color="auto" w:fill="DBE5F1"/>
            <w:tcMar>
              <w:top w:w="40" w:type="dxa"/>
              <w:left w:w="40" w:type="dxa"/>
              <w:bottom w:w="40" w:type="dxa"/>
              <w:right w:w="40" w:type="dxa"/>
            </w:tcMar>
            <w:vAlign w:val="center"/>
          </w:tcPr>
          <w:p w:rsidR="0075734E" w:rsidRPr="005D1AC7" w:rsidRDefault="0075734E" w:rsidP="00C3187B">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371</w:t>
            </w:r>
          </w:p>
        </w:tc>
        <w:tc>
          <w:tcPr>
            <w:tcW w:w="0" w:type="auto"/>
            <w:tcBorders>
              <w:top w:val="nil"/>
              <w:left w:val="nil"/>
              <w:right w:val="nil"/>
            </w:tcBorders>
            <w:shd w:val="clear" w:color="auto" w:fill="DBE5F1"/>
            <w:tcMar>
              <w:top w:w="40" w:type="dxa"/>
              <w:left w:w="40" w:type="dxa"/>
              <w:bottom w:w="40" w:type="dxa"/>
              <w:right w:w="40" w:type="dxa"/>
            </w:tcMar>
            <w:vAlign w:val="center"/>
          </w:tcPr>
          <w:p w:rsidR="0075734E" w:rsidRPr="005D1AC7" w:rsidRDefault="0075734E" w:rsidP="00C3187B">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590</w:t>
            </w:r>
          </w:p>
        </w:tc>
        <w:tc>
          <w:tcPr>
            <w:tcW w:w="0" w:type="auto"/>
            <w:tcBorders>
              <w:top w:val="nil"/>
              <w:left w:val="nil"/>
              <w:right w:val="nil"/>
            </w:tcBorders>
            <w:shd w:val="clear" w:color="auto" w:fill="DBE5F1"/>
            <w:tcMar>
              <w:top w:w="40" w:type="dxa"/>
              <w:left w:w="40" w:type="dxa"/>
              <w:bottom w:w="40" w:type="dxa"/>
              <w:right w:w="40" w:type="dxa"/>
            </w:tcMar>
            <w:vAlign w:val="center"/>
          </w:tcPr>
          <w:p w:rsidR="0075734E" w:rsidRPr="005D1AC7" w:rsidRDefault="0075734E" w:rsidP="00C3187B">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1104a constraint management: v&gt;&gt;s_nil_khtb2_khtb1</w:t>
            </w:r>
          </w:p>
        </w:tc>
      </w:tr>
      <w:tr w:rsidR="0075734E" w:rsidRPr="005D1AC7" w:rsidTr="00CF17DE">
        <w:trPr>
          <w:trHeight w:val="577"/>
        </w:trPr>
        <w:tc>
          <w:tcPr>
            <w:tcW w:w="0" w:type="auto"/>
            <w:tcBorders>
              <w:top w:val="nil"/>
              <w:left w:val="nil"/>
              <w:bottom w:val="single" w:sz="4" w:space="0" w:color="auto"/>
              <w:right w:val="nil"/>
            </w:tcBorders>
            <w:shd w:val="clear" w:color="auto" w:fill="FFFFFF"/>
            <w:tcMar>
              <w:top w:w="40" w:type="dxa"/>
              <w:left w:w="40" w:type="dxa"/>
              <w:bottom w:w="40" w:type="dxa"/>
              <w:right w:w="40" w:type="dxa"/>
            </w:tcMar>
            <w:vAlign w:val="center"/>
          </w:tcPr>
          <w:p w:rsidR="0075734E" w:rsidRDefault="0075734E" w:rsidP="00F967D7">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lastRenderedPageBreak/>
              <w:t xml:space="preserve">11.09 am </w:t>
            </w:r>
          </w:p>
        </w:tc>
        <w:tc>
          <w:tcPr>
            <w:tcW w:w="0" w:type="auto"/>
            <w:tcBorders>
              <w:top w:val="nil"/>
              <w:left w:val="nil"/>
              <w:bottom w:val="single" w:sz="4" w:space="0" w:color="auto"/>
              <w:right w:val="nil"/>
            </w:tcBorders>
            <w:shd w:val="clear" w:color="auto" w:fill="FFFFFF"/>
            <w:tcMar>
              <w:top w:w="40" w:type="dxa"/>
              <w:left w:w="40" w:type="dxa"/>
              <w:bottom w:w="40" w:type="dxa"/>
              <w:right w:w="40" w:type="dxa"/>
            </w:tcMar>
            <w:vAlign w:val="center"/>
          </w:tcPr>
          <w:p w:rsidR="0075734E" w:rsidRDefault="0075734E" w:rsidP="005D1AC7">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11.20 am</w:t>
            </w:r>
          </w:p>
        </w:tc>
        <w:tc>
          <w:tcPr>
            <w:tcW w:w="0" w:type="auto"/>
            <w:tcBorders>
              <w:top w:val="nil"/>
              <w:left w:val="nil"/>
              <w:bottom w:val="single" w:sz="4" w:space="0" w:color="auto"/>
              <w:right w:val="nil"/>
            </w:tcBorders>
            <w:shd w:val="clear" w:color="auto" w:fill="FFFFFF"/>
            <w:tcMar>
              <w:top w:w="40" w:type="dxa"/>
              <w:left w:w="40" w:type="dxa"/>
              <w:bottom w:w="40" w:type="dxa"/>
              <w:right w:w="40" w:type="dxa"/>
            </w:tcMar>
            <w:vAlign w:val="center"/>
          </w:tcPr>
          <w:p w:rsidR="0075734E" w:rsidRDefault="0075734E" w:rsidP="005D1AC7">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AGL Energy</w:t>
            </w:r>
          </w:p>
        </w:tc>
        <w:tc>
          <w:tcPr>
            <w:tcW w:w="844" w:type="dxa"/>
            <w:tcBorders>
              <w:top w:val="nil"/>
              <w:left w:val="nil"/>
              <w:bottom w:val="single" w:sz="4" w:space="0" w:color="auto"/>
              <w:right w:val="nil"/>
            </w:tcBorders>
            <w:shd w:val="clear" w:color="auto" w:fill="FFFFFF"/>
            <w:tcMar>
              <w:top w:w="40" w:type="dxa"/>
              <w:left w:w="40" w:type="dxa"/>
              <w:bottom w:w="40" w:type="dxa"/>
              <w:right w:w="40" w:type="dxa"/>
            </w:tcMar>
            <w:vAlign w:val="center"/>
          </w:tcPr>
          <w:p w:rsidR="0075734E" w:rsidRDefault="0075734E" w:rsidP="005D1AC7">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Torrens Island</w:t>
            </w:r>
          </w:p>
        </w:tc>
        <w:tc>
          <w:tcPr>
            <w:tcW w:w="1023" w:type="dxa"/>
            <w:tcBorders>
              <w:top w:val="nil"/>
              <w:left w:val="nil"/>
              <w:bottom w:val="single" w:sz="4" w:space="0" w:color="auto"/>
              <w:right w:val="nil"/>
            </w:tcBorders>
            <w:shd w:val="clear" w:color="auto" w:fill="FFFFFF"/>
            <w:tcMar>
              <w:top w:w="40" w:type="dxa"/>
              <w:left w:w="40" w:type="dxa"/>
              <w:bottom w:w="40" w:type="dxa"/>
              <w:right w:w="40" w:type="dxa"/>
            </w:tcMar>
            <w:vAlign w:val="center"/>
          </w:tcPr>
          <w:p w:rsidR="0075734E" w:rsidRDefault="0075734E" w:rsidP="005D1AC7">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240</w:t>
            </w:r>
          </w:p>
        </w:tc>
        <w:tc>
          <w:tcPr>
            <w:tcW w:w="0" w:type="auto"/>
            <w:tcBorders>
              <w:top w:val="nil"/>
              <w:left w:val="nil"/>
              <w:bottom w:val="single" w:sz="4" w:space="0" w:color="auto"/>
              <w:right w:val="nil"/>
            </w:tcBorders>
            <w:shd w:val="clear" w:color="auto" w:fill="FFFFFF"/>
            <w:tcMar>
              <w:top w:w="40" w:type="dxa"/>
              <w:left w:w="40" w:type="dxa"/>
              <w:bottom w:w="40" w:type="dxa"/>
              <w:right w:w="40" w:type="dxa"/>
            </w:tcMar>
            <w:vAlign w:val="center"/>
          </w:tcPr>
          <w:p w:rsidR="0075734E" w:rsidRDefault="0075734E" w:rsidP="005D1AC7">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&lt;125</w:t>
            </w:r>
          </w:p>
        </w:tc>
        <w:tc>
          <w:tcPr>
            <w:tcW w:w="0" w:type="auto"/>
            <w:tcBorders>
              <w:top w:val="nil"/>
              <w:left w:val="nil"/>
              <w:bottom w:val="single" w:sz="4" w:space="0" w:color="auto"/>
              <w:right w:val="nil"/>
            </w:tcBorders>
            <w:shd w:val="clear" w:color="auto" w:fill="FFFFFF"/>
            <w:tcMar>
              <w:top w:w="40" w:type="dxa"/>
              <w:left w:w="40" w:type="dxa"/>
              <w:bottom w:w="40" w:type="dxa"/>
              <w:right w:w="40" w:type="dxa"/>
            </w:tcMar>
            <w:vAlign w:val="center"/>
          </w:tcPr>
          <w:p w:rsidR="0075734E" w:rsidRDefault="0075734E" w:rsidP="005D1AC7">
            <w:pPr>
              <w:spacing w:before="0" w:line="240" w:lineRule="auto"/>
              <w:jc w:val="center"/>
              <w:textAlignment w:val="center"/>
              <w:rPr>
                <w:rFonts w:eastAsia="Times New Roman" w:cs="Arial"/>
                <w:color w:val="000000"/>
                <w:sz w:val="18"/>
                <w:szCs w:val="18"/>
                <w:lang w:eastAsia="en-AU"/>
              </w:rPr>
            </w:pPr>
            <w:r>
              <w:rPr>
                <w:rFonts w:eastAsia="Times New Roman" w:cs="Arial"/>
                <w:color w:val="000000"/>
                <w:sz w:val="18"/>
                <w:szCs w:val="18"/>
                <w:lang w:eastAsia="en-AU"/>
              </w:rPr>
              <w:t>13</w:t>
            </w:r>
            <w:r w:rsidR="00051AD6">
              <w:rPr>
                <w:rFonts w:eastAsia="Times New Roman" w:cs="Arial"/>
                <w:color w:val="000000"/>
                <w:sz w:val="18"/>
                <w:szCs w:val="18"/>
                <w:lang w:eastAsia="en-AU"/>
              </w:rPr>
              <w:t> </w:t>
            </w:r>
            <w:r>
              <w:rPr>
                <w:rFonts w:eastAsia="Times New Roman" w:cs="Arial"/>
                <w:color w:val="000000"/>
                <w:sz w:val="18"/>
                <w:szCs w:val="18"/>
                <w:lang w:eastAsia="en-AU"/>
              </w:rPr>
              <w:t>800</w:t>
            </w:r>
          </w:p>
        </w:tc>
        <w:tc>
          <w:tcPr>
            <w:tcW w:w="0" w:type="auto"/>
            <w:tcBorders>
              <w:top w:val="nil"/>
              <w:left w:val="nil"/>
              <w:bottom w:val="single" w:sz="4" w:space="0" w:color="auto"/>
              <w:right w:val="nil"/>
            </w:tcBorders>
            <w:shd w:val="clear" w:color="auto" w:fill="FFFFFF"/>
            <w:tcMar>
              <w:top w:w="40" w:type="dxa"/>
              <w:left w:w="40" w:type="dxa"/>
              <w:bottom w:w="40" w:type="dxa"/>
              <w:right w:w="40" w:type="dxa"/>
            </w:tcMar>
            <w:vAlign w:val="center"/>
          </w:tcPr>
          <w:p w:rsidR="0075734E" w:rsidRDefault="0075734E" w:rsidP="005D1AC7">
            <w:pPr>
              <w:spacing w:before="0" w:line="240" w:lineRule="auto"/>
              <w:textAlignment w:val="center"/>
              <w:rPr>
                <w:rFonts w:eastAsia="Times New Roman" w:cs="Arial"/>
                <w:color w:val="000000"/>
                <w:sz w:val="18"/>
                <w:szCs w:val="18"/>
                <w:lang w:eastAsia="en-AU"/>
              </w:rPr>
            </w:pPr>
            <w:r>
              <w:rPr>
                <w:rFonts w:eastAsia="Times New Roman" w:cs="Arial"/>
                <w:color w:val="000000"/>
                <w:sz w:val="18"/>
                <w:szCs w:val="18"/>
                <w:lang w:eastAsia="en-AU"/>
              </w:rPr>
              <w:t xml:space="preserve">1110~a~050 </w:t>
            </w:r>
            <w:proofErr w:type="spellStart"/>
            <w:r>
              <w:rPr>
                <w:rFonts w:eastAsia="Times New Roman" w:cs="Arial"/>
                <w:color w:val="000000"/>
                <w:sz w:val="18"/>
                <w:szCs w:val="18"/>
                <w:lang w:eastAsia="en-AU"/>
              </w:rPr>
              <w:t>chg</w:t>
            </w:r>
            <w:proofErr w:type="spellEnd"/>
            <w:r>
              <w:rPr>
                <w:rFonts w:eastAsia="Times New Roman" w:cs="Arial"/>
                <w:color w:val="000000"/>
                <w:sz w:val="18"/>
                <w:szCs w:val="18"/>
                <w:lang w:eastAsia="en-AU"/>
              </w:rPr>
              <w:t xml:space="preserve"> in </w:t>
            </w:r>
            <w:proofErr w:type="spellStart"/>
            <w:r>
              <w:rPr>
                <w:rFonts w:eastAsia="Times New Roman" w:cs="Arial"/>
                <w:color w:val="000000"/>
                <w:sz w:val="18"/>
                <w:szCs w:val="18"/>
                <w:lang w:eastAsia="en-AU"/>
              </w:rPr>
              <w:t>aemo</w:t>
            </w:r>
            <w:proofErr w:type="spellEnd"/>
            <w:r>
              <w:rPr>
                <w:rFonts w:eastAsia="Times New Roman" w:cs="Arial"/>
                <w:color w:val="000000"/>
                <w:sz w:val="18"/>
                <w:szCs w:val="18"/>
                <w:lang w:eastAsia="en-AU"/>
              </w:rPr>
              <w:t xml:space="preserve"> pd~56 price increase $725 </w:t>
            </w:r>
            <w:proofErr w:type="spellStart"/>
            <w:r>
              <w:rPr>
                <w:rFonts w:eastAsia="Times New Roman" w:cs="Arial"/>
                <w:color w:val="000000"/>
                <w:sz w:val="18"/>
                <w:szCs w:val="18"/>
                <w:lang w:eastAsia="en-AU"/>
              </w:rPr>
              <w:t>sa</w:t>
            </w:r>
            <w:proofErr w:type="spellEnd"/>
          </w:p>
        </w:tc>
      </w:tr>
    </w:tbl>
    <w:p w:rsidR="008A060D" w:rsidRDefault="00CF17DE" w:rsidP="00896A23">
      <w:pPr>
        <w:pStyle w:val="AERbodytext"/>
      </w:pPr>
      <w:r>
        <w:t xml:space="preserve">As a result of the above rebidding, </w:t>
      </w:r>
      <w:r w:rsidR="00896A23">
        <w:t xml:space="preserve">the dispatch price stayed at around </w:t>
      </w:r>
      <w:r>
        <w:t>$350/MWh</w:t>
      </w:r>
      <w:r w:rsidR="00896A23">
        <w:t xml:space="preserve"> for a majority of the two trading intervals</w:t>
      </w:r>
      <w:r w:rsidR="008A060D">
        <w:t xml:space="preserve">. </w:t>
      </w:r>
    </w:p>
    <w:bookmarkEnd w:id="0"/>
    <w:bookmarkEnd w:id="1"/>
    <w:bookmarkEnd w:id="2"/>
    <w:bookmarkEnd w:id="3"/>
    <w:bookmarkEnd w:id="4"/>
    <w:bookmarkEnd w:id="5"/>
    <w:p w:rsidR="00275002" w:rsidRPr="0031019A" w:rsidRDefault="00275002" w:rsidP="005F6ADE">
      <w:pPr>
        <w:pStyle w:val="Heading2"/>
      </w:pPr>
      <w:r w:rsidRPr="0031019A">
        <w:t>Financial markets</w:t>
      </w:r>
    </w:p>
    <w:p w:rsidR="00275002" w:rsidRPr="0031019A" w:rsidRDefault="00275002" w:rsidP="00896A23">
      <w:pPr>
        <w:pStyle w:val="AERbodytext"/>
      </w:pPr>
      <w:r>
        <w:fldChar w:fldCharType="begin"/>
      </w:r>
      <w:r>
        <w:instrText xml:space="preserve"> REF _Ref410386540 \h </w:instrText>
      </w:r>
      <w:r w:rsidR="009A3D22">
        <w:instrText xml:space="preserve"> \* MERGEFORMAT </w:instrText>
      </w:r>
      <w:r>
        <w:fldChar w:fldCharType="separate"/>
      </w:r>
      <w:r w:rsidR="004C700B">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CA0ECB">
        <w:t xml:space="preserve"> </w:t>
      </w:r>
    </w:p>
    <w:p w:rsidR="00D73D17" w:rsidRDefault="00275002" w:rsidP="00A64EBB">
      <w:pPr>
        <w:pStyle w:val="Caption"/>
      </w:pPr>
      <w:bookmarkStart w:id="21" w:name="_Ref410386540"/>
      <w:r>
        <w:t xml:space="preserve">Figure </w:t>
      </w:r>
      <w:r w:rsidR="004C700B">
        <w:fldChar w:fldCharType="begin"/>
      </w:r>
      <w:r w:rsidR="004C700B">
        <w:instrText xml:space="preserve"> SEQ Figure \* ARABIC </w:instrText>
      </w:r>
      <w:r w:rsidR="004C700B">
        <w:fldChar w:fldCharType="separate"/>
      </w:r>
      <w:r w:rsidR="004C700B">
        <w:rPr>
          <w:noProof/>
        </w:rPr>
        <w:t>9</w:t>
      </w:r>
      <w:r w:rsidR="004C700B">
        <w:rPr>
          <w:noProof/>
        </w:rPr>
        <w:fldChar w:fldCharType="end"/>
      </w:r>
      <w:bookmarkEnd w:id="21"/>
      <w:r w:rsidR="002515C3">
        <w:t>:</w:t>
      </w:r>
      <w:r>
        <w:t xml:space="preserve"> </w:t>
      </w:r>
      <w:r w:rsidRPr="007A6ACB">
        <w:t>Quarterly base future prices Q</w:t>
      </w:r>
      <w:r w:rsidR="0054173F">
        <w:t>4</w:t>
      </w:r>
      <w:r w:rsidRPr="007A6ACB">
        <w:t xml:space="preserve"> 2015 – Q</w:t>
      </w:r>
      <w:r w:rsidR="00115CCB">
        <w:t>3</w:t>
      </w:r>
      <w:r w:rsidRPr="007A6ACB">
        <w:t xml:space="preserve"> 201</w:t>
      </w:r>
      <w:r w:rsidR="00F87EBA">
        <w:t>9</w:t>
      </w:r>
    </w:p>
    <w:p w:rsidR="00EB456D" w:rsidRPr="00EB456D" w:rsidRDefault="00350660" w:rsidP="00EB456D">
      <w:r w:rsidRPr="00350660">
        <w:rPr>
          <w:noProof/>
          <w:lang w:eastAsia="en-AU"/>
        </w:rPr>
        <w:drawing>
          <wp:inline distT="0" distB="0" distL="0" distR="0" wp14:anchorId="04BBE7D8" wp14:editId="37BA0171">
            <wp:extent cx="5731510" cy="2887842"/>
            <wp:effectExtent l="0" t="0" r="2540" b="8255"/>
            <wp:docPr id="23" name="Picture 23"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7842"/>
                    </a:xfrm>
                    <a:prstGeom prst="rect">
                      <a:avLst/>
                    </a:prstGeom>
                    <a:noFill/>
                    <a:ln>
                      <a:noFill/>
                    </a:ln>
                  </pic:spPr>
                </pic:pic>
              </a:graphicData>
            </a:graphic>
          </wp:inline>
        </w:drawing>
      </w:r>
    </w:p>
    <w:p w:rsidR="00CA0ECB" w:rsidRDefault="00275002" w:rsidP="00626E1A">
      <w:pPr>
        <w:rPr>
          <w:lang w:eastAsia="en-AU"/>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0" w:history="1">
        <w:r w:rsidRPr="00A64EBB">
          <w:rPr>
            <w:sz w:val="16"/>
            <w:szCs w:val="16"/>
          </w:rPr>
          <w:t>ASXEnergy.com.au</w:t>
        </w:r>
      </w:hyperlink>
    </w:p>
    <w:p w:rsidR="000D4350" w:rsidRDefault="00275002" w:rsidP="00896A23">
      <w:pPr>
        <w:pStyle w:val="AERbodytext"/>
      </w:pPr>
      <w:r>
        <w:fldChar w:fldCharType="begin"/>
      </w:r>
      <w:r>
        <w:instrText xml:space="preserve"> REF _Ref410380382 \h </w:instrText>
      </w:r>
      <w:r w:rsidR="009A3D22">
        <w:instrText xml:space="preserve"> \* MERGEFORMAT </w:instrText>
      </w:r>
      <w:r>
        <w:fldChar w:fldCharType="separate"/>
      </w:r>
      <w:r w:rsidR="004C700B">
        <w:t xml:space="preserve">Figure </w:t>
      </w:r>
      <w:r w:rsidR="004C700B">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r w:rsidR="002B720D">
        <w:t>T</w:t>
      </w:r>
      <w:r w:rsidR="002B720D" w:rsidRPr="002B720D">
        <w:t xml:space="preserve">he high volume of trades in Figure 9, 10, and 11 are due to options on calendar year base load expiring on </w:t>
      </w:r>
      <w:r w:rsidR="002B720D">
        <w:t>Thursday</w:t>
      </w:r>
      <w:r w:rsidR="002B720D" w:rsidRPr="002B720D">
        <w:t xml:space="preserve"> 19</w:t>
      </w:r>
      <w:r w:rsidR="002B720D">
        <w:t> </w:t>
      </w:r>
      <w:r w:rsidR="002B720D" w:rsidRPr="002B720D">
        <w:t>November.</w:t>
      </w:r>
    </w:p>
    <w:p w:rsidR="00275002" w:rsidRDefault="00275002" w:rsidP="002B720D">
      <w:pPr>
        <w:pStyle w:val="Caption"/>
      </w:pPr>
      <w:bookmarkStart w:id="22" w:name="_Ref410380382"/>
      <w:r>
        <w:lastRenderedPageBreak/>
        <w:t xml:space="preserve">Figure </w:t>
      </w:r>
      <w:r w:rsidR="004C700B">
        <w:fldChar w:fldCharType="begin"/>
      </w:r>
      <w:r w:rsidR="004C700B">
        <w:instrText xml:space="preserve"> SEQ Figure \* ARABIC </w:instrText>
      </w:r>
      <w:r w:rsidR="004C700B">
        <w:fldChar w:fldCharType="separate"/>
      </w:r>
      <w:r w:rsidR="004C700B">
        <w:rPr>
          <w:noProof/>
        </w:rPr>
        <w:t>10</w:t>
      </w:r>
      <w:r w:rsidR="004C700B">
        <w:fldChar w:fldCharType="end"/>
      </w:r>
      <w:bookmarkEnd w:id="22"/>
      <w:r w:rsidR="002515C3">
        <w:t>:</w:t>
      </w:r>
      <w:r w:rsidRPr="00DF093A">
        <w:t xml:space="preserve"> Price of Q1 201</w:t>
      </w:r>
      <w:r w:rsidR="00F87EBA">
        <w:t>6</w:t>
      </w:r>
      <w:r w:rsidRPr="00DF093A">
        <w:t xml:space="preserve"> base contracts over the past 10 weeks (and the past 2 years)</w:t>
      </w:r>
    </w:p>
    <w:p w:rsidR="00350660" w:rsidRPr="00350660" w:rsidRDefault="00350660" w:rsidP="00350660">
      <w:r w:rsidRPr="00350660">
        <w:rPr>
          <w:noProof/>
          <w:lang w:eastAsia="en-AU"/>
        </w:rPr>
        <w:drawing>
          <wp:inline distT="0" distB="0" distL="0" distR="0" wp14:anchorId="5F36CD71" wp14:editId="54744EA0">
            <wp:extent cx="5731510" cy="2901820"/>
            <wp:effectExtent l="0" t="0" r="2540" b="0"/>
            <wp:docPr id="24" name="Picture 24"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901820"/>
                    </a:xfrm>
                    <a:prstGeom prst="rect">
                      <a:avLst/>
                    </a:prstGeom>
                    <a:noFill/>
                    <a:ln>
                      <a:noFill/>
                    </a:ln>
                  </pic:spPr>
                </pic:pic>
              </a:graphicData>
            </a:graphic>
          </wp:inline>
        </w:drawing>
      </w:r>
    </w:p>
    <w:p w:rsidR="00275002" w:rsidRPr="0031019A" w:rsidRDefault="00275002" w:rsidP="00544C6F">
      <w:pPr>
        <w:pStyle w:val="Source"/>
        <w:spacing w:before="120" w:after="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Default="00275002" w:rsidP="00544C6F">
      <w:pPr>
        <w:pStyle w:val="Source"/>
        <w:spacing w:before="120" w:after="0" w:line="240" w:lineRule="auto"/>
        <w:rPr>
          <w:rStyle w:val="Hyperlink"/>
          <w:color w:val="auto"/>
          <w:sz w:val="16"/>
          <w:u w:val="none"/>
        </w:rPr>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896A23" w:rsidRPr="002A7439" w:rsidRDefault="00896A23" w:rsidP="00544C6F">
      <w:pPr>
        <w:pStyle w:val="Source"/>
        <w:spacing w:before="120" w:after="0" w:line="240" w:lineRule="auto"/>
      </w:pPr>
    </w:p>
    <w:p w:rsidR="00275002" w:rsidRPr="0031019A" w:rsidRDefault="00275002" w:rsidP="00896A23">
      <w:pPr>
        <w:pStyle w:val="AERbodytext"/>
      </w:pPr>
      <w:r w:rsidRPr="0031019A">
        <w:t xml:space="preserve">Prices of other financial products (including longer-term price trends) are available in the </w:t>
      </w:r>
      <w:hyperlink r:id="rId23" w:history="1">
        <w:r w:rsidR="0009653D">
          <w:rPr>
            <w:rStyle w:val="Hyperlink"/>
          </w:rPr>
          <w:t>Industry Statistics</w:t>
        </w:r>
      </w:hyperlink>
      <w:r w:rsidR="00D615F9">
        <w:t xml:space="preserve"> s</w:t>
      </w:r>
      <w:r w:rsidRPr="0031019A">
        <w:t>ection of our website.</w:t>
      </w:r>
    </w:p>
    <w:p w:rsidR="004D4A76" w:rsidRDefault="008C094A" w:rsidP="00896A23">
      <w:pPr>
        <w:pStyle w:val="AERbodytext"/>
      </w:pPr>
      <w:r>
        <w:fldChar w:fldCharType="begin"/>
      </w:r>
      <w:r>
        <w:instrText xml:space="preserve"> REF _Ref428276233 \h </w:instrText>
      </w:r>
      <w:r>
        <w:fldChar w:fldCharType="separate"/>
      </w:r>
      <w:r w:rsidR="004C700B">
        <w:t xml:space="preserve">Figure </w:t>
      </w:r>
      <w:r w:rsidR="004C700B">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r w:rsidR="004C700B">
        <w:fldChar w:fldCharType="begin"/>
      </w:r>
      <w:r w:rsidR="004C700B">
        <w:instrText xml:space="preserve"> SEQ Figure \* ARABIC </w:instrText>
      </w:r>
      <w:r w:rsidR="004C700B">
        <w:fldChar w:fldCharType="separate"/>
      </w:r>
      <w:r w:rsidR="004C700B">
        <w:rPr>
          <w:noProof/>
        </w:rPr>
        <w:t>11</w:t>
      </w:r>
      <w:r w:rsidR="004C700B">
        <w:fldChar w:fldCharType="end"/>
      </w:r>
      <w:bookmarkEnd w:id="23"/>
      <w:r w:rsidR="002515C3">
        <w:t>:</w:t>
      </w:r>
      <w:r w:rsidRPr="0074419D">
        <w:t xml:space="preserve"> Price of Q1 201</w:t>
      </w:r>
      <w:r w:rsidR="00F87EBA">
        <w:t>6</w:t>
      </w:r>
      <w:r w:rsidRPr="0074419D">
        <w:t xml:space="preserve"> cap contracts over the past 10 weeks (and the past 2 years)</w:t>
      </w:r>
      <w:bookmarkEnd w:id="24"/>
    </w:p>
    <w:p w:rsidR="007D5800" w:rsidRPr="007D5800" w:rsidRDefault="007D5800" w:rsidP="007D5800">
      <w:r w:rsidRPr="007D5800">
        <w:rPr>
          <w:noProof/>
          <w:lang w:eastAsia="en-AU"/>
        </w:rPr>
        <w:drawing>
          <wp:inline distT="0" distB="0" distL="0" distR="0" wp14:anchorId="4545D719" wp14:editId="2359BA38">
            <wp:extent cx="5731510" cy="2873998"/>
            <wp:effectExtent l="0" t="0" r="2540" b="3175"/>
            <wp:docPr id="25" name="Picture 25" descr="Figure 11 shows how the price for each regional Quarter 1 2016 cap contract has changed over the last 10 weeks (as well as the total number of trades each week). The closing quarter 1 2014 and quarter 1 2015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3998"/>
                    </a:xfrm>
                    <a:prstGeom prst="rect">
                      <a:avLst/>
                    </a:prstGeom>
                    <a:noFill/>
                    <a:ln>
                      <a:noFill/>
                    </a:ln>
                  </pic:spPr>
                </pic:pic>
              </a:graphicData>
            </a:graphic>
          </wp:inline>
        </w:drawing>
      </w:r>
    </w:p>
    <w:p w:rsidR="00275002" w:rsidRPr="0031019A" w:rsidRDefault="00275002" w:rsidP="00CB0FA5">
      <w:pPr>
        <w:spacing w:before="0" w:line="240" w:lineRule="auto"/>
      </w:pPr>
    </w:p>
    <w:p w:rsidR="000D4350" w:rsidRDefault="00275002" w:rsidP="00C346A8">
      <w:pPr>
        <w:pStyle w:val="Source"/>
        <w:spacing w:before="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31019A" w:rsidRDefault="00275002" w:rsidP="00275002">
      <w:pPr>
        <w:pStyle w:val="Heading4notnumbered"/>
      </w:pPr>
      <w:r w:rsidRPr="0031019A">
        <w:lastRenderedPageBreak/>
        <w:t>Australian Energy Regulator</w:t>
      </w:r>
      <w:r w:rsidR="005B0EF5">
        <w:br/>
      </w:r>
      <w:r w:rsidR="00091699">
        <w:t>January</w:t>
      </w:r>
      <w:r w:rsidR="004D5447" w:rsidRPr="0031019A">
        <w:t xml:space="preserve"> </w:t>
      </w:r>
      <w:r w:rsidR="00091699">
        <w:t>2016</w:t>
      </w:r>
    </w:p>
    <w:sectPr w:rsidR="00275002" w:rsidRPr="0031019A" w:rsidSect="00F167CF">
      <w:footerReference w:type="even" r:id="rId26"/>
      <w:footerReference w:type="default" r:id="rId27"/>
      <w:footerReference w:type="first" r:id="rId28"/>
      <w:pgSz w:w="11906" w:h="16838"/>
      <w:pgMar w:top="993" w:right="1440" w:bottom="851"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34A" w:rsidRDefault="00EB534A" w:rsidP="004B4412">
      <w:pPr>
        <w:spacing w:before="0"/>
      </w:pPr>
      <w:r>
        <w:separator/>
      </w:r>
    </w:p>
  </w:endnote>
  <w:endnote w:type="continuationSeparator" w:id="0">
    <w:p w:rsidR="00EB534A" w:rsidRDefault="00EB534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4A" w:rsidRPr="00A91A9E" w:rsidRDefault="00EB534A"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EB534A" w:rsidRDefault="00EB534A"/>
  <w:p w:rsidR="00EB534A" w:rsidRDefault="00EB53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4A" w:rsidRPr="00A94D89" w:rsidRDefault="00EB534A"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4C700B">
      <w:rPr>
        <w:rFonts w:cs="Arial"/>
        <w:i/>
        <w:noProof/>
      </w:rPr>
      <w:t>11</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4A" w:rsidRPr="00A94D89" w:rsidRDefault="00EB534A"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4C700B">
      <w:rPr>
        <w:rFonts w:cs="Arial"/>
        <w:i/>
        <w:noProof/>
      </w:rPr>
      <w:t>1</w:t>
    </w:r>
    <w:r w:rsidRPr="001F1B78">
      <w:rPr>
        <w:rFonts w:cs="Arial"/>
        <w:i/>
        <w:noProof/>
      </w:rPr>
      <w:fldChar w:fldCharType="end"/>
    </w:r>
    <w:r w:rsidRPr="00F52F00">
      <w:rPr>
        <w:rFonts w:cs="Arial"/>
        <w:i/>
      </w:rPr>
      <w:tab/>
      <w:t xml:space="preserve">AER reference: 39220 – </w:t>
    </w:r>
    <w:r>
      <w:rPr>
        <w:rFonts w:cs="Arial"/>
        <w:i/>
        <w:szCs w:val="18"/>
      </w:rPr>
      <w:t>D16/654</w:t>
    </w:r>
  </w:p>
  <w:p w:rsidR="00EB534A" w:rsidRDefault="00EB53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34A" w:rsidRDefault="00EB534A" w:rsidP="004B4412">
      <w:pPr>
        <w:spacing w:before="0"/>
      </w:pPr>
      <w:r>
        <w:separator/>
      </w:r>
    </w:p>
  </w:footnote>
  <w:footnote w:type="continuationSeparator" w:id="0">
    <w:p w:rsidR="00EB534A" w:rsidRDefault="00EB534A"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602499"/>
    <w:multiLevelType w:val="hybridMultilevel"/>
    <w:tmpl w:val="8B107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3">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4">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3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2">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0">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3">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21"/>
  </w:num>
  <w:num w:numId="3">
    <w:abstractNumId w:val="16"/>
  </w:num>
  <w:num w:numId="4">
    <w:abstractNumId w:val="43"/>
  </w:num>
  <w:num w:numId="5">
    <w:abstractNumId w:val="15"/>
  </w:num>
  <w:num w:numId="6">
    <w:abstractNumId w:val="30"/>
  </w:num>
  <w:num w:numId="7">
    <w:abstractNumId w:val="47"/>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2"/>
  </w:num>
  <w:num w:numId="18">
    <w:abstractNumId w:val="31"/>
  </w:num>
  <w:num w:numId="19">
    <w:abstractNumId w:val="21"/>
    <w:lvlOverride w:ilvl="0">
      <w:startOverride w:val="1"/>
    </w:lvlOverride>
  </w:num>
  <w:num w:numId="20">
    <w:abstractNumId w:val="27"/>
  </w:num>
  <w:num w:numId="21">
    <w:abstractNumId w:val="29"/>
  </w:num>
  <w:num w:numId="22">
    <w:abstractNumId w:val="23"/>
  </w:num>
  <w:num w:numId="23">
    <w:abstractNumId w:val="41"/>
  </w:num>
  <w:num w:numId="24">
    <w:abstractNumId w:val="46"/>
  </w:num>
  <w:num w:numId="25">
    <w:abstractNumId w:val="38"/>
  </w:num>
  <w:num w:numId="26">
    <w:abstractNumId w:val="18"/>
  </w:num>
  <w:num w:numId="27">
    <w:abstractNumId w:val="12"/>
  </w:num>
  <w:num w:numId="28">
    <w:abstractNumId w:val="28"/>
  </w:num>
  <w:num w:numId="29">
    <w:abstractNumId w:val="14"/>
  </w:num>
  <w:num w:numId="30">
    <w:abstractNumId w:val="32"/>
  </w:num>
  <w:num w:numId="31">
    <w:abstractNumId w:val="11"/>
  </w:num>
  <w:num w:numId="32">
    <w:abstractNumId w:val="22"/>
  </w:num>
  <w:num w:numId="33">
    <w:abstractNumId w:val="36"/>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4"/>
  </w:num>
  <w:num w:numId="37">
    <w:abstractNumId w:val="33"/>
  </w:num>
  <w:num w:numId="38">
    <w:abstractNumId w:val="13"/>
  </w:num>
  <w:num w:numId="39">
    <w:abstractNumId w:val="26"/>
  </w:num>
  <w:num w:numId="40">
    <w:abstractNumId w:val="34"/>
  </w:num>
  <w:num w:numId="41">
    <w:abstractNumId w:val="45"/>
  </w:num>
  <w:num w:numId="42">
    <w:abstractNumId w:val="39"/>
  </w:num>
  <w:num w:numId="43">
    <w:abstractNumId w:val="20"/>
  </w:num>
  <w:num w:numId="44">
    <w:abstractNumId w:val="9"/>
  </w:num>
  <w:num w:numId="45">
    <w:abstractNumId w:val="25"/>
  </w:num>
  <w:num w:numId="46">
    <w:abstractNumId w:val="17"/>
  </w:num>
  <w:num w:numId="47">
    <w:abstractNumId w:val="19"/>
  </w:num>
  <w:num w:numId="48">
    <w:abstractNumId w:val="40"/>
  </w:num>
  <w:num w:numId="49">
    <w:abstractNumId w:val="44"/>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79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huang\Desktop\Electricity report 20 - 26 December 2015.DOCX"/>
  </w:docVars>
  <w:rsids>
    <w:rsidRoot w:val="00275002"/>
    <w:rsid w:val="00000BFE"/>
    <w:rsid w:val="00003169"/>
    <w:rsid w:val="000070C4"/>
    <w:rsid w:val="0000728F"/>
    <w:rsid w:val="00007624"/>
    <w:rsid w:val="000128E1"/>
    <w:rsid w:val="0001415C"/>
    <w:rsid w:val="000147C1"/>
    <w:rsid w:val="00017DD0"/>
    <w:rsid w:val="00021202"/>
    <w:rsid w:val="00022F09"/>
    <w:rsid w:val="000242E7"/>
    <w:rsid w:val="00024369"/>
    <w:rsid w:val="00024C84"/>
    <w:rsid w:val="00030794"/>
    <w:rsid w:val="000316E7"/>
    <w:rsid w:val="00033902"/>
    <w:rsid w:val="0003564D"/>
    <w:rsid w:val="0003578C"/>
    <w:rsid w:val="00040E4C"/>
    <w:rsid w:val="000422AB"/>
    <w:rsid w:val="00043FA7"/>
    <w:rsid w:val="000442BA"/>
    <w:rsid w:val="00044D80"/>
    <w:rsid w:val="000452BA"/>
    <w:rsid w:val="000461E2"/>
    <w:rsid w:val="0005123C"/>
    <w:rsid w:val="00051568"/>
    <w:rsid w:val="00051880"/>
    <w:rsid w:val="00051AD6"/>
    <w:rsid w:val="000528FD"/>
    <w:rsid w:val="00056949"/>
    <w:rsid w:val="00057973"/>
    <w:rsid w:val="00061CE2"/>
    <w:rsid w:val="00063247"/>
    <w:rsid w:val="00066157"/>
    <w:rsid w:val="00070F9F"/>
    <w:rsid w:val="0007137B"/>
    <w:rsid w:val="000738F4"/>
    <w:rsid w:val="00074A4E"/>
    <w:rsid w:val="000766E2"/>
    <w:rsid w:val="00077616"/>
    <w:rsid w:val="00085663"/>
    <w:rsid w:val="00085EBF"/>
    <w:rsid w:val="00086CF3"/>
    <w:rsid w:val="00087C4A"/>
    <w:rsid w:val="00087CDC"/>
    <w:rsid w:val="00091699"/>
    <w:rsid w:val="00091FB4"/>
    <w:rsid w:val="0009584C"/>
    <w:rsid w:val="0009653D"/>
    <w:rsid w:val="000A29ED"/>
    <w:rsid w:val="000A62D6"/>
    <w:rsid w:val="000A6F14"/>
    <w:rsid w:val="000B0311"/>
    <w:rsid w:val="000B3C8A"/>
    <w:rsid w:val="000D122C"/>
    <w:rsid w:val="000D1846"/>
    <w:rsid w:val="000D355E"/>
    <w:rsid w:val="000D3C77"/>
    <w:rsid w:val="000D4350"/>
    <w:rsid w:val="000D68C5"/>
    <w:rsid w:val="000E1819"/>
    <w:rsid w:val="000E1A1B"/>
    <w:rsid w:val="000E2946"/>
    <w:rsid w:val="000E4F81"/>
    <w:rsid w:val="000E54D6"/>
    <w:rsid w:val="000E55C7"/>
    <w:rsid w:val="000E5B55"/>
    <w:rsid w:val="000E6C72"/>
    <w:rsid w:val="000E77BB"/>
    <w:rsid w:val="000E7E24"/>
    <w:rsid w:val="000F1D61"/>
    <w:rsid w:val="000F2AA4"/>
    <w:rsid w:val="000F56F6"/>
    <w:rsid w:val="000F5855"/>
    <w:rsid w:val="000F6FA7"/>
    <w:rsid w:val="00100142"/>
    <w:rsid w:val="0010743A"/>
    <w:rsid w:val="00113AE0"/>
    <w:rsid w:val="001158FE"/>
    <w:rsid w:val="00115CCB"/>
    <w:rsid w:val="00116EB2"/>
    <w:rsid w:val="001170BF"/>
    <w:rsid w:val="00117195"/>
    <w:rsid w:val="0012092C"/>
    <w:rsid w:val="00122831"/>
    <w:rsid w:val="00124609"/>
    <w:rsid w:val="00125F4F"/>
    <w:rsid w:val="00127CAB"/>
    <w:rsid w:val="001337EF"/>
    <w:rsid w:val="00133FC8"/>
    <w:rsid w:val="00136716"/>
    <w:rsid w:val="00136A08"/>
    <w:rsid w:val="001373F1"/>
    <w:rsid w:val="00141D3A"/>
    <w:rsid w:val="001435CC"/>
    <w:rsid w:val="00144ED1"/>
    <w:rsid w:val="0014511E"/>
    <w:rsid w:val="00145982"/>
    <w:rsid w:val="00150885"/>
    <w:rsid w:val="00151F61"/>
    <w:rsid w:val="001539E0"/>
    <w:rsid w:val="0015451B"/>
    <w:rsid w:val="00155113"/>
    <w:rsid w:val="001566F6"/>
    <w:rsid w:val="001573E4"/>
    <w:rsid w:val="00160756"/>
    <w:rsid w:val="001639C3"/>
    <w:rsid w:val="00164FB1"/>
    <w:rsid w:val="00165247"/>
    <w:rsid w:val="00165C87"/>
    <w:rsid w:val="001711CC"/>
    <w:rsid w:val="0017232E"/>
    <w:rsid w:val="00173DC1"/>
    <w:rsid w:val="00174102"/>
    <w:rsid w:val="00180157"/>
    <w:rsid w:val="00181C46"/>
    <w:rsid w:val="001832C7"/>
    <w:rsid w:val="00186831"/>
    <w:rsid w:val="00186F77"/>
    <w:rsid w:val="001901A4"/>
    <w:rsid w:val="00191C6F"/>
    <w:rsid w:val="00192441"/>
    <w:rsid w:val="001926A4"/>
    <w:rsid w:val="00193ED7"/>
    <w:rsid w:val="001973F9"/>
    <w:rsid w:val="001B0C3B"/>
    <w:rsid w:val="001B45A0"/>
    <w:rsid w:val="001B4A7D"/>
    <w:rsid w:val="001B6C15"/>
    <w:rsid w:val="001C027D"/>
    <w:rsid w:val="001C17B3"/>
    <w:rsid w:val="001C1BC0"/>
    <w:rsid w:val="001C2EE8"/>
    <w:rsid w:val="001C6748"/>
    <w:rsid w:val="001D055E"/>
    <w:rsid w:val="001D0CE3"/>
    <w:rsid w:val="001D0E4F"/>
    <w:rsid w:val="001D5BEB"/>
    <w:rsid w:val="001D60FF"/>
    <w:rsid w:val="001D7698"/>
    <w:rsid w:val="001E01B4"/>
    <w:rsid w:val="001E14C2"/>
    <w:rsid w:val="001E4665"/>
    <w:rsid w:val="001E48B3"/>
    <w:rsid w:val="001E5AEE"/>
    <w:rsid w:val="001E6FDD"/>
    <w:rsid w:val="001F03EF"/>
    <w:rsid w:val="001F0EC9"/>
    <w:rsid w:val="001F1B78"/>
    <w:rsid w:val="001F22EE"/>
    <w:rsid w:val="001F2577"/>
    <w:rsid w:val="001F492E"/>
    <w:rsid w:val="001F6DA3"/>
    <w:rsid w:val="001F7575"/>
    <w:rsid w:val="00201136"/>
    <w:rsid w:val="0020132A"/>
    <w:rsid w:val="00203300"/>
    <w:rsid w:val="0020376D"/>
    <w:rsid w:val="0020489F"/>
    <w:rsid w:val="002050F5"/>
    <w:rsid w:val="002072A2"/>
    <w:rsid w:val="0021147E"/>
    <w:rsid w:val="00212D2F"/>
    <w:rsid w:val="00213CF6"/>
    <w:rsid w:val="00214FBA"/>
    <w:rsid w:val="00215E19"/>
    <w:rsid w:val="002164FB"/>
    <w:rsid w:val="00216865"/>
    <w:rsid w:val="002216F5"/>
    <w:rsid w:val="00224DB9"/>
    <w:rsid w:val="002276F0"/>
    <w:rsid w:val="00227C97"/>
    <w:rsid w:val="00230D26"/>
    <w:rsid w:val="00232A42"/>
    <w:rsid w:val="00232A71"/>
    <w:rsid w:val="00237048"/>
    <w:rsid w:val="002411B0"/>
    <w:rsid w:val="00242C25"/>
    <w:rsid w:val="002438D9"/>
    <w:rsid w:val="00247473"/>
    <w:rsid w:val="002515C3"/>
    <w:rsid w:val="00251745"/>
    <w:rsid w:val="00251C37"/>
    <w:rsid w:val="00251D74"/>
    <w:rsid w:val="00262F65"/>
    <w:rsid w:val="00263AC0"/>
    <w:rsid w:val="002649D2"/>
    <w:rsid w:val="002649D8"/>
    <w:rsid w:val="00265486"/>
    <w:rsid w:val="0026772D"/>
    <w:rsid w:val="00270A51"/>
    <w:rsid w:val="00275002"/>
    <w:rsid w:val="00275927"/>
    <w:rsid w:val="002817AB"/>
    <w:rsid w:val="002828A0"/>
    <w:rsid w:val="0028440E"/>
    <w:rsid w:val="00286874"/>
    <w:rsid w:val="0029246F"/>
    <w:rsid w:val="00294653"/>
    <w:rsid w:val="00296B65"/>
    <w:rsid w:val="002A1B5C"/>
    <w:rsid w:val="002A3CF2"/>
    <w:rsid w:val="002A4EF8"/>
    <w:rsid w:val="002A7439"/>
    <w:rsid w:val="002A7729"/>
    <w:rsid w:val="002A7C78"/>
    <w:rsid w:val="002A7DEF"/>
    <w:rsid w:val="002B0DAE"/>
    <w:rsid w:val="002B4F35"/>
    <w:rsid w:val="002B720D"/>
    <w:rsid w:val="002C2278"/>
    <w:rsid w:val="002C581B"/>
    <w:rsid w:val="002C624D"/>
    <w:rsid w:val="002C6DD3"/>
    <w:rsid w:val="002D1734"/>
    <w:rsid w:val="002D37FB"/>
    <w:rsid w:val="002D484E"/>
    <w:rsid w:val="002D4A1F"/>
    <w:rsid w:val="002E6254"/>
    <w:rsid w:val="002F02A4"/>
    <w:rsid w:val="002F3D02"/>
    <w:rsid w:val="002F4F34"/>
    <w:rsid w:val="002F7986"/>
    <w:rsid w:val="00300C0B"/>
    <w:rsid w:val="003061FA"/>
    <w:rsid w:val="00307F6D"/>
    <w:rsid w:val="003153EB"/>
    <w:rsid w:val="00315EDE"/>
    <w:rsid w:val="003177A2"/>
    <w:rsid w:val="00317A81"/>
    <w:rsid w:val="00317D33"/>
    <w:rsid w:val="00321853"/>
    <w:rsid w:val="00322300"/>
    <w:rsid w:val="00322475"/>
    <w:rsid w:val="003243B4"/>
    <w:rsid w:val="003271B5"/>
    <w:rsid w:val="00331264"/>
    <w:rsid w:val="00332F5D"/>
    <w:rsid w:val="00333511"/>
    <w:rsid w:val="00334C8D"/>
    <w:rsid w:val="00336D50"/>
    <w:rsid w:val="003401B9"/>
    <w:rsid w:val="00341169"/>
    <w:rsid w:val="00342870"/>
    <w:rsid w:val="00350660"/>
    <w:rsid w:val="003518B3"/>
    <w:rsid w:val="00352DA8"/>
    <w:rsid w:val="00354887"/>
    <w:rsid w:val="00355CDD"/>
    <w:rsid w:val="00355D2F"/>
    <w:rsid w:val="00356E72"/>
    <w:rsid w:val="00366515"/>
    <w:rsid w:val="00371F3A"/>
    <w:rsid w:val="003733B9"/>
    <w:rsid w:val="003749F7"/>
    <w:rsid w:val="00381A48"/>
    <w:rsid w:val="00383C6B"/>
    <w:rsid w:val="003846F1"/>
    <w:rsid w:val="00384A55"/>
    <w:rsid w:val="00384B54"/>
    <w:rsid w:val="00386C86"/>
    <w:rsid w:val="00395B4C"/>
    <w:rsid w:val="003A0810"/>
    <w:rsid w:val="003A3E2D"/>
    <w:rsid w:val="003A41E0"/>
    <w:rsid w:val="003A4B6B"/>
    <w:rsid w:val="003A7DC0"/>
    <w:rsid w:val="003B282E"/>
    <w:rsid w:val="003B40ED"/>
    <w:rsid w:val="003B4804"/>
    <w:rsid w:val="003B6F90"/>
    <w:rsid w:val="003B7346"/>
    <w:rsid w:val="003C0710"/>
    <w:rsid w:val="003C24A9"/>
    <w:rsid w:val="003C2B22"/>
    <w:rsid w:val="003C3C98"/>
    <w:rsid w:val="003C62E9"/>
    <w:rsid w:val="003C7EFA"/>
    <w:rsid w:val="003D3644"/>
    <w:rsid w:val="003D5258"/>
    <w:rsid w:val="003E1341"/>
    <w:rsid w:val="003E47DC"/>
    <w:rsid w:val="003E521D"/>
    <w:rsid w:val="003E59F6"/>
    <w:rsid w:val="003E78A9"/>
    <w:rsid w:val="003F0289"/>
    <w:rsid w:val="003F54CB"/>
    <w:rsid w:val="003F57F1"/>
    <w:rsid w:val="003F5F74"/>
    <w:rsid w:val="003F75C8"/>
    <w:rsid w:val="004007A5"/>
    <w:rsid w:val="00402142"/>
    <w:rsid w:val="00403473"/>
    <w:rsid w:val="004034C5"/>
    <w:rsid w:val="00404504"/>
    <w:rsid w:val="00405B42"/>
    <w:rsid w:val="00411897"/>
    <w:rsid w:val="00412176"/>
    <w:rsid w:val="00414488"/>
    <w:rsid w:val="00415788"/>
    <w:rsid w:val="004157C0"/>
    <w:rsid w:val="00416641"/>
    <w:rsid w:val="00424809"/>
    <w:rsid w:val="00440D85"/>
    <w:rsid w:val="00444A48"/>
    <w:rsid w:val="00456C20"/>
    <w:rsid w:val="00462CFF"/>
    <w:rsid w:val="00471992"/>
    <w:rsid w:val="00471E68"/>
    <w:rsid w:val="0048018F"/>
    <w:rsid w:val="00480B4B"/>
    <w:rsid w:val="004831F8"/>
    <w:rsid w:val="00485752"/>
    <w:rsid w:val="00485DC4"/>
    <w:rsid w:val="00487C10"/>
    <w:rsid w:val="00492A06"/>
    <w:rsid w:val="00493B02"/>
    <w:rsid w:val="00495574"/>
    <w:rsid w:val="004A1184"/>
    <w:rsid w:val="004B1040"/>
    <w:rsid w:val="004B104F"/>
    <w:rsid w:val="004B1708"/>
    <w:rsid w:val="004B1D5B"/>
    <w:rsid w:val="004B231C"/>
    <w:rsid w:val="004B4412"/>
    <w:rsid w:val="004C348C"/>
    <w:rsid w:val="004C63B9"/>
    <w:rsid w:val="004C6C5B"/>
    <w:rsid w:val="004C700B"/>
    <w:rsid w:val="004D45AA"/>
    <w:rsid w:val="004D4A76"/>
    <w:rsid w:val="004D5447"/>
    <w:rsid w:val="004D55BA"/>
    <w:rsid w:val="004E1B1C"/>
    <w:rsid w:val="004E1E95"/>
    <w:rsid w:val="004E34E7"/>
    <w:rsid w:val="004E3CE4"/>
    <w:rsid w:val="004E4142"/>
    <w:rsid w:val="004E7D10"/>
    <w:rsid w:val="004F18F3"/>
    <w:rsid w:val="004F4721"/>
    <w:rsid w:val="004F6ED0"/>
    <w:rsid w:val="00501B85"/>
    <w:rsid w:val="00502843"/>
    <w:rsid w:val="005035E6"/>
    <w:rsid w:val="00505B5E"/>
    <w:rsid w:val="005177C0"/>
    <w:rsid w:val="00521207"/>
    <w:rsid w:val="00522486"/>
    <w:rsid w:val="00522668"/>
    <w:rsid w:val="005279B6"/>
    <w:rsid w:val="00530128"/>
    <w:rsid w:val="00530657"/>
    <w:rsid w:val="00532467"/>
    <w:rsid w:val="0053491C"/>
    <w:rsid w:val="0053611E"/>
    <w:rsid w:val="0054173F"/>
    <w:rsid w:val="00543945"/>
    <w:rsid w:val="00543BEC"/>
    <w:rsid w:val="00544C6F"/>
    <w:rsid w:val="00547160"/>
    <w:rsid w:val="00547DC4"/>
    <w:rsid w:val="005502E7"/>
    <w:rsid w:val="00555667"/>
    <w:rsid w:val="00556B64"/>
    <w:rsid w:val="005575B9"/>
    <w:rsid w:val="00562CEE"/>
    <w:rsid w:val="00564A4D"/>
    <w:rsid w:val="00565239"/>
    <w:rsid w:val="005656E2"/>
    <w:rsid w:val="0056783F"/>
    <w:rsid w:val="005703C9"/>
    <w:rsid w:val="005707D4"/>
    <w:rsid w:val="00571680"/>
    <w:rsid w:val="00571B35"/>
    <w:rsid w:val="005722FF"/>
    <w:rsid w:val="00572D20"/>
    <w:rsid w:val="00574241"/>
    <w:rsid w:val="00575C43"/>
    <w:rsid w:val="00577A09"/>
    <w:rsid w:val="00577F68"/>
    <w:rsid w:val="005819F3"/>
    <w:rsid w:val="00582446"/>
    <w:rsid w:val="005839B3"/>
    <w:rsid w:val="00584D8F"/>
    <w:rsid w:val="00595ED0"/>
    <w:rsid w:val="005A1339"/>
    <w:rsid w:val="005A3B2C"/>
    <w:rsid w:val="005A404D"/>
    <w:rsid w:val="005A65F6"/>
    <w:rsid w:val="005A6CB0"/>
    <w:rsid w:val="005A6F22"/>
    <w:rsid w:val="005B0461"/>
    <w:rsid w:val="005B0EF5"/>
    <w:rsid w:val="005B1E3C"/>
    <w:rsid w:val="005B7F8F"/>
    <w:rsid w:val="005C26CC"/>
    <w:rsid w:val="005C3411"/>
    <w:rsid w:val="005C3D54"/>
    <w:rsid w:val="005C3DEC"/>
    <w:rsid w:val="005C53C0"/>
    <w:rsid w:val="005C546A"/>
    <w:rsid w:val="005C592F"/>
    <w:rsid w:val="005C5D2E"/>
    <w:rsid w:val="005C5E72"/>
    <w:rsid w:val="005D1AC7"/>
    <w:rsid w:val="005D2FBD"/>
    <w:rsid w:val="005D69AF"/>
    <w:rsid w:val="005E0B7E"/>
    <w:rsid w:val="005E6FFA"/>
    <w:rsid w:val="005F69C4"/>
    <w:rsid w:val="005F6ADE"/>
    <w:rsid w:val="005F7247"/>
    <w:rsid w:val="0060036F"/>
    <w:rsid w:val="00600B2D"/>
    <w:rsid w:val="00602A58"/>
    <w:rsid w:val="00603914"/>
    <w:rsid w:val="00603DBE"/>
    <w:rsid w:val="006049AF"/>
    <w:rsid w:val="00604DB6"/>
    <w:rsid w:val="00607BA0"/>
    <w:rsid w:val="00612006"/>
    <w:rsid w:val="00613324"/>
    <w:rsid w:val="00613DEC"/>
    <w:rsid w:val="00615619"/>
    <w:rsid w:val="00615C6B"/>
    <w:rsid w:val="00616CEC"/>
    <w:rsid w:val="00620B1B"/>
    <w:rsid w:val="00621545"/>
    <w:rsid w:val="0062525D"/>
    <w:rsid w:val="00626E1A"/>
    <w:rsid w:val="00627B2D"/>
    <w:rsid w:val="0063066D"/>
    <w:rsid w:val="00630A15"/>
    <w:rsid w:val="00631560"/>
    <w:rsid w:val="006319C1"/>
    <w:rsid w:val="00632D6D"/>
    <w:rsid w:val="00634D01"/>
    <w:rsid w:val="0063567F"/>
    <w:rsid w:val="00636936"/>
    <w:rsid w:val="006411E6"/>
    <w:rsid w:val="00642C3E"/>
    <w:rsid w:val="006471D4"/>
    <w:rsid w:val="00647804"/>
    <w:rsid w:val="0065049E"/>
    <w:rsid w:val="00651005"/>
    <w:rsid w:val="0065226B"/>
    <w:rsid w:val="0065567D"/>
    <w:rsid w:val="006569A5"/>
    <w:rsid w:val="006573B5"/>
    <w:rsid w:val="00661F88"/>
    <w:rsid w:val="00662A27"/>
    <w:rsid w:val="00663DAD"/>
    <w:rsid w:val="00664161"/>
    <w:rsid w:val="00665ACC"/>
    <w:rsid w:val="0067180B"/>
    <w:rsid w:val="00673D15"/>
    <w:rsid w:val="00676679"/>
    <w:rsid w:val="006777D7"/>
    <w:rsid w:val="00686411"/>
    <w:rsid w:val="00687AA8"/>
    <w:rsid w:val="00694FD6"/>
    <w:rsid w:val="006956EC"/>
    <w:rsid w:val="006A35B0"/>
    <w:rsid w:val="006A6EDD"/>
    <w:rsid w:val="006B0C7B"/>
    <w:rsid w:val="006B4CF9"/>
    <w:rsid w:val="006B6B3E"/>
    <w:rsid w:val="006B6CC3"/>
    <w:rsid w:val="006B7AC8"/>
    <w:rsid w:val="006C196C"/>
    <w:rsid w:val="006C1E8B"/>
    <w:rsid w:val="006C41C4"/>
    <w:rsid w:val="006C447D"/>
    <w:rsid w:val="006C62B7"/>
    <w:rsid w:val="006D3561"/>
    <w:rsid w:val="006D41C3"/>
    <w:rsid w:val="006D550F"/>
    <w:rsid w:val="006D5B9F"/>
    <w:rsid w:val="006D7923"/>
    <w:rsid w:val="006E1E7D"/>
    <w:rsid w:val="006E218F"/>
    <w:rsid w:val="006E5F3E"/>
    <w:rsid w:val="006E6BCE"/>
    <w:rsid w:val="006F3750"/>
    <w:rsid w:val="006F393C"/>
    <w:rsid w:val="006F3FCB"/>
    <w:rsid w:val="006F4C38"/>
    <w:rsid w:val="00700DAB"/>
    <w:rsid w:val="00701CAB"/>
    <w:rsid w:val="00707011"/>
    <w:rsid w:val="00707563"/>
    <w:rsid w:val="00711BF6"/>
    <w:rsid w:val="00712D03"/>
    <w:rsid w:val="0071735A"/>
    <w:rsid w:val="00720AB2"/>
    <w:rsid w:val="0072348C"/>
    <w:rsid w:val="007247EC"/>
    <w:rsid w:val="00724827"/>
    <w:rsid w:val="00724A37"/>
    <w:rsid w:val="00724BF3"/>
    <w:rsid w:val="007303C3"/>
    <w:rsid w:val="00731F13"/>
    <w:rsid w:val="00735A7F"/>
    <w:rsid w:val="00741D03"/>
    <w:rsid w:val="00743223"/>
    <w:rsid w:val="00746063"/>
    <w:rsid w:val="00746E01"/>
    <w:rsid w:val="00747D2F"/>
    <w:rsid w:val="00751821"/>
    <w:rsid w:val="007532DD"/>
    <w:rsid w:val="00753ADA"/>
    <w:rsid w:val="0075734E"/>
    <w:rsid w:val="00760FD8"/>
    <w:rsid w:val="00762D41"/>
    <w:rsid w:val="00763E5D"/>
    <w:rsid w:val="00764BAA"/>
    <w:rsid w:val="00764C7F"/>
    <w:rsid w:val="00767740"/>
    <w:rsid w:val="00772A95"/>
    <w:rsid w:val="00777EE6"/>
    <w:rsid w:val="00780452"/>
    <w:rsid w:val="00781A01"/>
    <w:rsid w:val="00782EEA"/>
    <w:rsid w:val="00784059"/>
    <w:rsid w:val="0078423F"/>
    <w:rsid w:val="00784A7E"/>
    <w:rsid w:val="0079277A"/>
    <w:rsid w:val="007A1428"/>
    <w:rsid w:val="007A1AB0"/>
    <w:rsid w:val="007A33E8"/>
    <w:rsid w:val="007B1150"/>
    <w:rsid w:val="007B1732"/>
    <w:rsid w:val="007B2C72"/>
    <w:rsid w:val="007B3F68"/>
    <w:rsid w:val="007C1C53"/>
    <w:rsid w:val="007C2EE8"/>
    <w:rsid w:val="007C62FE"/>
    <w:rsid w:val="007D0944"/>
    <w:rsid w:val="007D2028"/>
    <w:rsid w:val="007D53A8"/>
    <w:rsid w:val="007D5800"/>
    <w:rsid w:val="007D6FC9"/>
    <w:rsid w:val="007E1516"/>
    <w:rsid w:val="007E4904"/>
    <w:rsid w:val="007E4CB5"/>
    <w:rsid w:val="007E5597"/>
    <w:rsid w:val="007F066B"/>
    <w:rsid w:val="007F0F77"/>
    <w:rsid w:val="007F18D7"/>
    <w:rsid w:val="007F2BBD"/>
    <w:rsid w:val="007F475F"/>
    <w:rsid w:val="007F5457"/>
    <w:rsid w:val="008033C4"/>
    <w:rsid w:val="00806C88"/>
    <w:rsid w:val="00807A5C"/>
    <w:rsid w:val="0081034E"/>
    <w:rsid w:val="0081253D"/>
    <w:rsid w:val="00812E7B"/>
    <w:rsid w:val="00813CE4"/>
    <w:rsid w:val="008238B2"/>
    <w:rsid w:val="00830985"/>
    <w:rsid w:val="00831483"/>
    <w:rsid w:val="008344B4"/>
    <w:rsid w:val="008344F6"/>
    <w:rsid w:val="0083510F"/>
    <w:rsid w:val="008366CD"/>
    <w:rsid w:val="00836890"/>
    <w:rsid w:val="00840C6C"/>
    <w:rsid w:val="00847ED9"/>
    <w:rsid w:val="00851209"/>
    <w:rsid w:val="0085188E"/>
    <w:rsid w:val="00852B3D"/>
    <w:rsid w:val="008556A5"/>
    <w:rsid w:val="00855A23"/>
    <w:rsid w:val="00857917"/>
    <w:rsid w:val="0086054C"/>
    <w:rsid w:val="00861AED"/>
    <w:rsid w:val="008658CD"/>
    <w:rsid w:val="00867506"/>
    <w:rsid w:val="00870903"/>
    <w:rsid w:val="0087280A"/>
    <w:rsid w:val="0087308C"/>
    <w:rsid w:val="00873B1F"/>
    <w:rsid w:val="00873CB1"/>
    <w:rsid w:val="0087479D"/>
    <w:rsid w:val="008837AC"/>
    <w:rsid w:val="00884D30"/>
    <w:rsid w:val="00886BAB"/>
    <w:rsid w:val="00886CEC"/>
    <w:rsid w:val="00887EBF"/>
    <w:rsid w:val="008909FD"/>
    <w:rsid w:val="00896A23"/>
    <w:rsid w:val="008A060D"/>
    <w:rsid w:val="008A4DB6"/>
    <w:rsid w:val="008A587D"/>
    <w:rsid w:val="008A6198"/>
    <w:rsid w:val="008A6722"/>
    <w:rsid w:val="008A7580"/>
    <w:rsid w:val="008A7E37"/>
    <w:rsid w:val="008B0D4C"/>
    <w:rsid w:val="008B416B"/>
    <w:rsid w:val="008B6DA5"/>
    <w:rsid w:val="008C094A"/>
    <w:rsid w:val="008C1D7C"/>
    <w:rsid w:val="008C1FE0"/>
    <w:rsid w:val="008C4E0D"/>
    <w:rsid w:val="008C5486"/>
    <w:rsid w:val="008C6B16"/>
    <w:rsid w:val="008E1E8E"/>
    <w:rsid w:val="008E535A"/>
    <w:rsid w:val="008E6CAE"/>
    <w:rsid w:val="008E7031"/>
    <w:rsid w:val="008F14C9"/>
    <w:rsid w:val="008F2DE1"/>
    <w:rsid w:val="008F6FC7"/>
    <w:rsid w:val="009004F5"/>
    <w:rsid w:val="0090239D"/>
    <w:rsid w:val="009057E0"/>
    <w:rsid w:val="009103D3"/>
    <w:rsid w:val="0091064F"/>
    <w:rsid w:val="00911389"/>
    <w:rsid w:val="00914975"/>
    <w:rsid w:val="00914A87"/>
    <w:rsid w:val="00915BFF"/>
    <w:rsid w:val="00922ACF"/>
    <w:rsid w:val="009233EE"/>
    <w:rsid w:val="0092422F"/>
    <w:rsid w:val="009335AE"/>
    <w:rsid w:val="00933B55"/>
    <w:rsid w:val="00936740"/>
    <w:rsid w:val="009377D8"/>
    <w:rsid w:val="00937C92"/>
    <w:rsid w:val="00940393"/>
    <w:rsid w:val="00944863"/>
    <w:rsid w:val="00950B15"/>
    <w:rsid w:val="0095158D"/>
    <w:rsid w:val="00952CF7"/>
    <w:rsid w:val="009537CF"/>
    <w:rsid w:val="009540FA"/>
    <w:rsid w:val="00956C19"/>
    <w:rsid w:val="00957591"/>
    <w:rsid w:val="0095772E"/>
    <w:rsid w:val="00960AC5"/>
    <w:rsid w:val="00960C83"/>
    <w:rsid w:val="009661DE"/>
    <w:rsid w:val="00967F08"/>
    <w:rsid w:val="00972A40"/>
    <w:rsid w:val="00974CDB"/>
    <w:rsid w:val="00975936"/>
    <w:rsid w:val="00981578"/>
    <w:rsid w:val="00982FEB"/>
    <w:rsid w:val="009837D1"/>
    <w:rsid w:val="00983EEC"/>
    <w:rsid w:val="009856B7"/>
    <w:rsid w:val="00985A66"/>
    <w:rsid w:val="0098646A"/>
    <w:rsid w:val="009920D2"/>
    <w:rsid w:val="009928BC"/>
    <w:rsid w:val="00994EE0"/>
    <w:rsid w:val="0099572C"/>
    <w:rsid w:val="009A3D22"/>
    <w:rsid w:val="009A4EAA"/>
    <w:rsid w:val="009A6D69"/>
    <w:rsid w:val="009B0884"/>
    <w:rsid w:val="009B21F2"/>
    <w:rsid w:val="009B4E65"/>
    <w:rsid w:val="009B533B"/>
    <w:rsid w:val="009B5478"/>
    <w:rsid w:val="009B5D28"/>
    <w:rsid w:val="009B69AA"/>
    <w:rsid w:val="009B74B0"/>
    <w:rsid w:val="009C4FB9"/>
    <w:rsid w:val="009C6A83"/>
    <w:rsid w:val="009D3016"/>
    <w:rsid w:val="009D6B46"/>
    <w:rsid w:val="009E6668"/>
    <w:rsid w:val="009E7749"/>
    <w:rsid w:val="009E7AC6"/>
    <w:rsid w:val="009E7D2D"/>
    <w:rsid w:val="009F0A79"/>
    <w:rsid w:val="009F1D03"/>
    <w:rsid w:val="009F1E42"/>
    <w:rsid w:val="009F4806"/>
    <w:rsid w:val="009F4940"/>
    <w:rsid w:val="00A041F4"/>
    <w:rsid w:val="00A04F9F"/>
    <w:rsid w:val="00A057D1"/>
    <w:rsid w:val="00A159BF"/>
    <w:rsid w:val="00A15E40"/>
    <w:rsid w:val="00A17C7C"/>
    <w:rsid w:val="00A2302C"/>
    <w:rsid w:val="00A26C2F"/>
    <w:rsid w:val="00A33F71"/>
    <w:rsid w:val="00A3632A"/>
    <w:rsid w:val="00A3638F"/>
    <w:rsid w:val="00A41727"/>
    <w:rsid w:val="00A42006"/>
    <w:rsid w:val="00A42A17"/>
    <w:rsid w:val="00A4478A"/>
    <w:rsid w:val="00A44852"/>
    <w:rsid w:val="00A47A03"/>
    <w:rsid w:val="00A52A18"/>
    <w:rsid w:val="00A57D04"/>
    <w:rsid w:val="00A57D69"/>
    <w:rsid w:val="00A60A26"/>
    <w:rsid w:val="00A61598"/>
    <w:rsid w:val="00A64EBB"/>
    <w:rsid w:val="00A6578F"/>
    <w:rsid w:val="00A6730F"/>
    <w:rsid w:val="00A679F2"/>
    <w:rsid w:val="00A71AA6"/>
    <w:rsid w:val="00A75AAA"/>
    <w:rsid w:val="00A81EF8"/>
    <w:rsid w:val="00A8434D"/>
    <w:rsid w:val="00A84E2D"/>
    <w:rsid w:val="00A84F46"/>
    <w:rsid w:val="00A871F4"/>
    <w:rsid w:val="00A91A4B"/>
    <w:rsid w:val="00A923DD"/>
    <w:rsid w:val="00A9455D"/>
    <w:rsid w:val="00A94D89"/>
    <w:rsid w:val="00AA0CEB"/>
    <w:rsid w:val="00AA476F"/>
    <w:rsid w:val="00AA649A"/>
    <w:rsid w:val="00AA7190"/>
    <w:rsid w:val="00AB6478"/>
    <w:rsid w:val="00AC0FE9"/>
    <w:rsid w:val="00AC1B2C"/>
    <w:rsid w:val="00AC1CF3"/>
    <w:rsid w:val="00AC242C"/>
    <w:rsid w:val="00AC3264"/>
    <w:rsid w:val="00AC4102"/>
    <w:rsid w:val="00AD3D69"/>
    <w:rsid w:val="00AD592F"/>
    <w:rsid w:val="00AE0399"/>
    <w:rsid w:val="00AE1BF1"/>
    <w:rsid w:val="00AE2792"/>
    <w:rsid w:val="00AF0DD2"/>
    <w:rsid w:val="00AF3A41"/>
    <w:rsid w:val="00AF46F3"/>
    <w:rsid w:val="00AF66A7"/>
    <w:rsid w:val="00AF7058"/>
    <w:rsid w:val="00B017BD"/>
    <w:rsid w:val="00B03817"/>
    <w:rsid w:val="00B057C8"/>
    <w:rsid w:val="00B109DD"/>
    <w:rsid w:val="00B11C09"/>
    <w:rsid w:val="00B1285B"/>
    <w:rsid w:val="00B13048"/>
    <w:rsid w:val="00B14BA1"/>
    <w:rsid w:val="00B14CE4"/>
    <w:rsid w:val="00B1716D"/>
    <w:rsid w:val="00B17A1D"/>
    <w:rsid w:val="00B207A0"/>
    <w:rsid w:val="00B211EE"/>
    <w:rsid w:val="00B23484"/>
    <w:rsid w:val="00B26AAA"/>
    <w:rsid w:val="00B30D82"/>
    <w:rsid w:val="00B31071"/>
    <w:rsid w:val="00B35810"/>
    <w:rsid w:val="00B35937"/>
    <w:rsid w:val="00B4128D"/>
    <w:rsid w:val="00B41686"/>
    <w:rsid w:val="00B44E99"/>
    <w:rsid w:val="00B56E03"/>
    <w:rsid w:val="00B62BB5"/>
    <w:rsid w:val="00B63E2C"/>
    <w:rsid w:val="00B64DF7"/>
    <w:rsid w:val="00B65CAC"/>
    <w:rsid w:val="00B70A7F"/>
    <w:rsid w:val="00B70CA5"/>
    <w:rsid w:val="00B74171"/>
    <w:rsid w:val="00B752C5"/>
    <w:rsid w:val="00B8080B"/>
    <w:rsid w:val="00B85D8A"/>
    <w:rsid w:val="00B87C39"/>
    <w:rsid w:val="00B87DD6"/>
    <w:rsid w:val="00B904FF"/>
    <w:rsid w:val="00B91BE8"/>
    <w:rsid w:val="00B92CD5"/>
    <w:rsid w:val="00B956D7"/>
    <w:rsid w:val="00BA0CBB"/>
    <w:rsid w:val="00BA1F27"/>
    <w:rsid w:val="00BA390A"/>
    <w:rsid w:val="00BA3992"/>
    <w:rsid w:val="00BA4665"/>
    <w:rsid w:val="00BB20BA"/>
    <w:rsid w:val="00BB2FB2"/>
    <w:rsid w:val="00BB3304"/>
    <w:rsid w:val="00BB4732"/>
    <w:rsid w:val="00BB7780"/>
    <w:rsid w:val="00BC3582"/>
    <w:rsid w:val="00BC46D7"/>
    <w:rsid w:val="00BC6398"/>
    <w:rsid w:val="00BC675F"/>
    <w:rsid w:val="00BD0BD0"/>
    <w:rsid w:val="00BD10B4"/>
    <w:rsid w:val="00BD1DB1"/>
    <w:rsid w:val="00BD3446"/>
    <w:rsid w:val="00BD5467"/>
    <w:rsid w:val="00BD7176"/>
    <w:rsid w:val="00BD71BD"/>
    <w:rsid w:val="00BE1F1B"/>
    <w:rsid w:val="00BE3C5A"/>
    <w:rsid w:val="00BE47B5"/>
    <w:rsid w:val="00BE7DBC"/>
    <w:rsid w:val="00BF4639"/>
    <w:rsid w:val="00BF65C1"/>
    <w:rsid w:val="00BF771C"/>
    <w:rsid w:val="00C008E0"/>
    <w:rsid w:val="00C008FE"/>
    <w:rsid w:val="00C01734"/>
    <w:rsid w:val="00C04914"/>
    <w:rsid w:val="00C05C48"/>
    <w:rsid w:val="00C064A7"/>
    <w:rsid w:val="00C075A3"/>
    <w:rsid w:val="00C07A89"/>
    <w:rsid w:val="00C12A83"/>
    <w:rsid w:val="00C154C0"/>
    <w:rsid w:val="00C16B2C"/>
    <w:rsid w:val="00C17CB8"/>
    <w:rsid w:val="00C30BBE"/>
    <w:rsid w:val="00C3187B"/>
    <w:rsid w:val="00C34065"/>
    <w:rsid w:val="00C346A8"/>
    <w:rsid w:val="00C4709E"/>
    <w:rsid w:val="00C50EC2"/>
    <w:rsid w:val="00C51484"/>
    <w:rsid w:val="00C520CD"/>
    <w:rsid w:val="00C538A9"/>
    <w:rsid w:val="00C53B5A"/>
    <w:rsid w:val="00C54F5A"/>
    <w:rsid w:val="00C56506"/>
    <w:rsid w:val="00C565C5"/>
    <w:rsid w:val="00C6191E"/>
    <w:rsid w:val="00C62797"/>
    <w:rsid w:val="00C6290C"/>
    <w:rsid w:val="00C669A3"/>
    <w:rsid w:val="00C672E0"/>
    <w:rsid w:val="00C729B4"/>
    <w:rsid w:val="00C73A47"/>
    <w:rsid w:val="00C73C83"/>
    <w:rsid w:val="00C74075"/>
    <w:rsid w:val="00C74A11"/>
    <w:rsid w:val="00C8473D"/>
    <w:rsid w:val="00C86679"/>
    <w:rsid w:val="00C86919"/>
    <w:rsid w:val="00C872DB"/>
    <w:rsid w:val="00C87867"/>
    <w:rsid w:val="00C9470D"/>
    <w:rsid w:val="00C950AF"/>
    <w:rsid w:val="00C95B7C"/>
    <w:rsid w:val="00C9660A"/>
    <w:rsid w:val="00C96A92"/>
    <w:rsid w:val="00CA04F2"/>
    <w:rsid w:val="00CA0ECB"/>
    <w:rsid w:val="00CA2FF0"/>
    <w:rsid w:val="00CA394C"/>
    <w:rsid w:val="00CA51FE"/>
    <w:rsid w:val="00CB0FA5"/>
    <w:rsid w:val="00CB4094"/>
    <w:rsid w:val="00CB666B"/>
    <w:rsid w:val="00CB695E"/>
    <w:rsid w:val="00CC1D64"/>
    <w:rsid w:val="00CC2C03"/>
    <w:rsid w:val="00CC2CA1"/>
    <w:rsid w:val="00CD40AD"/>
    <w:rsid w:val="00CD4E7F"/>
    <w:rsid w:val="00CE15A5"/>
    <w:rsid w:val="00CE1831"/>
    <w:rsid w:val="00CF0539"/>
    <w:rsid w:val="00CF0E01"/>
    <w:rsid w:val="00CF15CC"/>
    <w:rsid w:val="00CF17DE"/>
    <w:rsid w:val="00CF455C"/>
    <w:rsid w:val="00CF5382"/>
    <w:rsid w:val="00CF6F3C"/>
    <w:rsid w:val="00D01CF0"/>
    <w:rsid w:val="00D034D8"/>
    <w:rsid w:val="00D0442A"/>
    <w:rsid w:val="00D07128"/>
    <w:rsid w:val="00D11721"/>
    <w:rsid w:val="00D11CB3"/>
    <w:rsid w:val="00D1516F"/>
    <w:rsid w:val="00D15819"/>
    <w:rsid w:val="00D16710"/>
    <w:rsid w:val="00D22BD4"/>
    <w:rsid w:val="00D22E23"/>
    <w:rsid w:val="00D2306D"/>
    <w:rsid w:val="00D270E1"/>
    <w:rsid w:val="00D323D0"/>
    <w:rsid w:val="00D32767"/>
    <w:rsid w:val="00D42F83"/>
    <w:rsid w:val="00D44037"/>
    <w:rsid w:val="00D4681D"/>
    <w:rsid w:val="00D5111E"/>
    <w:rsid w:val="00D5124C"/>
    <w:rsid w:val="00D61388"/>
    <w:rsid w:val="00D615F9"/>
    <w:rsid w:val="00D61A54"/>
    <w:rsid w:val="00D64DEA"/>
    <w:rsid w:val="00D66B09"/>
    <w:rsid w:val="00D67D07"/>
    <w:rsid w:val="00D70F71"/>
    <w:rsid w:val="00D71771"/>
    <w:rsid w:val="00D73D17"/>
    <w:rsid w:val="00D74261"/>
    <w:rsid w:val="00D74971"/>
    <w:rsid w:val="00D80893"/>
    <w:rsid w:val="00D839A7"/>
    <w:rsid w:val="00D847F0"/>
    <w:rsid w:val="00D86899"/>
    <w:rsid w:val="00D87097"/>
    <w:rsid w:val="00D911A7"/>
    <w:rsid w:val="00D92A31"/>
    <w:rsid w:val="00D92CF1"/>
    <w:rsid w:val="00D92D38"/>
    <w:rsid w:val="00D936B6"/>
    <w:rsid w:val="00D950F5"/>
    <w:rsid w:val="00DA1CA3"/>
    <w:rsid w:val="00DB0F93"/>
    <w:rsid w:val="00DB16A7"/>
    <w:rsid w:val="00DB196A"/>
    <w:rsid w:val="00DB20BF"/>
    <w:rsid w:val="00DB365C"/>
    <w:rsid w:val="00DB4CC4"/>
    <w:rsid w:val="00DB584A"/>
    <w:rsid w:val="00DB7FD1"/>
    <w:rsid w:val="00DC153A"/>
    <w:rsid w:val="00DC24BF"/>
    <w:rsid w:val="00DC2907"/>
    <w:rsid w:val="00DC5E54"/>
    <w:rsid w:val="00DC7981"/>
    <w:rsid w:val="00DD15C2"/>
    <w:rsid w:val="00DD27EA"/>
    <w:rsid w:val="00DD33DE"/>
    <w:rsid w:val="00DE4EFA"/>
    <w:rsid w:val="00DE5520"/>
    <w:rsid w:val="00DE7345"/>
    <w:rsid w:val="00DF0714"/>
    <w:rsid w:val="00DF7793"/>
    <w:rsid w:val="00E00EC9"/>
    <w:rsid w:val="00E03069"/>
    <w:rsid w:val="00E04818"/>
    <w:rsid w:val="00E06442"/>
    <w:rsid w:val="00E06FFF"/>
    <w:rsid w:val="00E115DE"/>
    <w:rsid w:val="00E135DB"/>
    <w:rsid w:val="00E13C85"/>
    <w:rsid w:val="00E227A4"/>
    <w:rsid w:val="00E23993"/>
    <w:rsid w:val="00E25B8C"/>
    <w:rsid w:val="00E32A8C"/>
    <w:rsid w:val="00E35AE8"/>
    <w:rsid w:val="00E3678B"/>
    <w:rsid w:val="00E3724C"/>
    <w:rsid w:val="00E37F0B"/>
    <w:rsid w:val="00E40B9C"/>
    <w:rsid w:val="00E42976"/>
    <w:rsid w:val="00E4482C"/>
    <w:rsid w:val="00E4680F"/>
    <w:rsid w:val="00E47EAD"/>
    <w:rsid w:val="00E52A27"/>
    <w:rsid w:val="00E55C3C"/>
    <w:rsid w:val="00E64CEC"/>
    <w:rsid w:val="00E65C85"/>
    <w:rsid w:val="00E65CF4"/>
    <w:rsid w:val="00E66199"/>
    <w:rsid w:val="00E715D5"/>
    <w:rsid w:val="00E737E3"/>
    <w:rsid w:val="00E7472E"/>
    <w:rsid w:val="00E755EC"/>
    <w:rsid w:val="00E7624D"/>
    <w:rsid w:val="00E823D9"/>
    <w:rsid w:val="00E8569F"/>
    <w:rsid w:val="00E86851"/>
    <w:rsid w:val="00E91BED"/>
    <w:rsid w:val="00E95CA7"/>
    <w:rsid w:val="00E96C7D"/>
    <w:rsid w:val="00E96EFF"/>
    <w:rsid w:val="00EA1DEE"/>
    <w:rsid w:val="00EA3D42"/>
    <w:rsid w:val="00EA6B1B"/>
    <w:rsid w:val="00EB049F"/>
    <w:rsid w:val="00EB456D"/>
    <w:rsid w:val="00EB534A"/>
    <w:rsid w:val="00EB540F"/>
    <w:rsid w:val="00EB7D7F"/>
    <w:rsid w:val="00EC317E"/>
    <w:rsid w:val="00EC67D4"/>
    <w:rsid w:val="00EC7EB1"/>
    <w:rsid w:val="00ED3C5B"/>
    <w:rsid w:val="00ED4A25"/>
    <w:rsid w:val="00ED6E24"/>
    <w:rsid w:val="00EE164B"/>
    <w:rsid w:val="00EE28F3"/>
    <w:rsid w:val="00EE347F"/>
    <w:rsid w:val="00EE46CE"/>
    <w:rsid w:val="00EE575A"/>
    <w:rsid w:val="00EF013A"/>
    <w:rsid w:val="00EF0E42"/>
    <w:rsid w:val="00EF1961"/>
    <w:rsid w:val="00EF3FB8"/>
    <w:rsid w:val="00EF5110"/>
    <w:rsid w:val="00EF62CA"/>
    <w:rsid w:val="00F019C5"/>
    <w:rsid w:val="00F02D9B"/>
    <w:rsid w:val="00F031FE"/>
    <w:rsid w:val="00F06B5B"/>
    <w:rsid w:val="00F072C7"/>
    <w:rsid w:val="00F113FD"/>
    <w:rsid w:val="00F13EAA"/>
    <w:rsid w:val="00F15882"/>
    <w:rsid w:val="00F15AB9"/>
    <w:rsid w:val="00F167CF"/>
    <w:rsid w:val="00F1785E"/>
    <w:rsid w:val="00F20BD3"/>
    <w:rsid w:val="00F21A07"/>
    <w:rsid w:val="00F27967"/>
    <w:rsid w:val="00F32D35"/>
    <w:rsid w:val="00F3590E"/>
    <w:rsid w:val="00F373A5"/>
    <w:rsid w:val="00F45B2F"/>
    <w:rsid w:val="00F46453"/>
    <w:rsid w:val="00F47559"/>
    <w:rsid w:val="00F55548"/>
    <w:rsid w:val="00F56B84"/>
    <w:rsid w:val="00F57647"/>
    <w:rsid w:val="00F6043C"/>
    <w:rsid w:val="00F60561"/>
    <w:rsid w:val="00F61055"/>
    <w:rsid w:val="00F61AA8"/>
    <w:rsid w:val="00F61EEA"/>
    <w:rsid w:val="00F64C7B"/>
    <w:rsid w:val="00F64F82"/>
    <w:rsid w:val="00F662F1"/>
    <w:rsid w:val="00F66967"/>
    <w:rsid w:val="00F676DD"/>
    <w:rsid w:val="00F70811"/>
    <w:rsid w:val="00F71486"/>
    <w:rsid w:val="00F72F41"/>
    <w:rsid w:val="00F74FC8"/>
    <w:rsid w:val="00F75A26"/>
    <w:rsid w:val="00F77D49"/>
    <w:rsid w:val="00F83FAD"/>
    <w:rsid w:val="00F87EBA"/>
    <w:rsid w:val="00F952A0"/>
    <w:rsid w:val="00F965FC"/>
    <w:rsid w:val="00F967D7"/>
    <w:rsid w:val="00FA3830"/>
    <w:rsid w:val="00FA3C7F"/>
    <w:rsid w:val="00FA5903"/>
    <w:rsid w:val="00FB153F"/>
    <w:rsid w:val="00FB265D"/>
    <w:rsid w:val="00FB411D"/>
    <w:rsid w:val="00FB41E6"/>
    <w:rsid w:val="00FB6C59"/>
    <w:rsid w:val="00FB74E2"/>
    <w:rsid w:val="00FC159A"/>
    <w:rsid w:val="00FC447B"/>
    <w:rsid w:val="00FC51C5"/>
    <w:rsid w:val="00FC52AC"/>
    <w:rsid w:val="00FC656F"/>
    <w:rsid w:val="00FD0173"/>
    <w:rsid w:val="00FD0763"/>
    <w:rsid w:val="00FD166D"/>
    <w:rsid w:val="00FD2F97"/>
    <w:rsid w:val="00FD5316"/>
    <w:rsid w:val="00FD5614"/>
    <w:rsid w:val="00FD72DC"/>
    <w:rsid w:val="00FE0BE1"/>
    <w:rsid w:val="00FE1DE9"/>
    <w:rsid w:val="00FE39C2"/>
    <w:rsid w:val="00FE3E67"/>
    <w:rsid w:val="00FE64AE"/>
    <w:rsid w:val="00FF0161"/>
    <w:rsid w:val="00FF2C56"/>
    <w:rsid w:val="00FF3373"/>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9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0942">
      <w:bodyDiv w:val="1"/>
      <w:marLeft w:val="0"/>
      <w:marRight w:val="0"/>
      <w:marTop w:val="0"/>
      <w:marBottom w:val="0"/>
      <w:divBdr>
        <w:top w:val="none" w:sz="0" w:space="0" w:color="auto"/>
        <w:left w:val="none" w:sz="0" w:space="0" w:color="auto"/>
        <w:bottom w:val="none" w:sz="0" w:space="0" w:color="auto"/>
        <w:right w:val="none" w:sz="0" w:space="0" w:color="auto"/>
      </w:divBdr>
      <w:divsChild>
        <w:div w:id="1851262643">
          <w:marLeft w:val="0"/>
          <w:marRight w:val="0"/>
          <w:marTop w:val="0"/>
          <w:marBottom w:val="0"/>
          <w:divBdr>
            <w:top w:val="none" w:sz="0" w:space="0" w:color="auto"/>
            <w:left w:val="none" w:sz="0" w:space="0" w:color="auto"/>
            <w:bottom w:val="none" w:sz="0" w:space="0" w:color="auto"/>
            <w:right w:val="none" w:sz="0" w:space="0" w:color="auto"/>
          </w:divBdr>
          <w:divsChild>
            <w:div w:id="2122919038">
              <w:marLeft w:val="0"/>
              <w:marRight w:val="0"/>
              <w:marTop w:val="0"/>
              <w:marBottom w:val="0"/>
              <w:divBdr>
                <w:top w:val="none" w:sz="0" w:space="0" w:color="auto"/>
                <w:left w:val="none" w:sz="0" w:space="0" w:color="auto"/>
                <w:bottom w:val="none" w:sz="0" w:space="0" w:color="auto"/>
                <w:right w:val="none" w:sz="0" w:space="0" w:color="auto"/>
              </w:divBdr>
              <w:divsChild>
                <w:div w:id="57751643">
                  <w:marLeft w:val="0"/>
                  <w:marRight w:val="0"/>
                  <w:marTop w:val="0"/>
                  <w:marBottom w:val="0"/>
                  <w:divBdr>
                    <w:top w:val="none" w:sz="0" w:space="0" w:color="auto"/>
                    <w:left w:val="none" w:sz="0" w:space="0" w:color="auto"/>
                    <w:bottom w:val="none" w:sz="0" w:space="0" w:color="auto"/>
                    <w:right w:val="none" w:sz="0" w:space="0" w:color="auto"/>
                  </w:divBdr>
                  <w:divsChild>
                    <w:div w:id="644353529">
                      <w:marLeft w:val="0"/>
                      <w:marRight w:val="0"/>
                      <w:marTop w:val="0"/>
                      <w:marBottom w:val="0"/>
                      <w:divBdr>
                        <w:top w:val="none" w:sz="0" w:space="0" w:color="auto"/>
                        <w:left w:val="none" w:sz="0" w:space="0" w:color="auto"/>
                        <w:bottom w:val="none" w:sz="0" w:space="0" w:color="auto"/>
                        <w:right w:val="none" w:sz="0" w:space="0" w:color="auto"/>
                      </w:divBdr>
                      <w:divsChild>
                        <w:div w:id="140773417">
                          <w:marLeft w:val="0"/>
                          <w:marRight w:val="0"/>
                          <w:marTop w:val="0"/>
                          <w:marBottom w:val="0"/>
                          <w:divBdr>
                            <w:top w:val="none" w:sz="0" w:space="0" w:color="auto"/>
                            <w:left w:val="none" w:sz="0" w:space="0" w:color="auto"/>
                            <w:bottom w:val="none" w:sz="0" w:space="0" w:color="auto"/>
                            <w:right w:val="none" w:sz="0" w:space="0" w:color="auto"/>
                          </w:divBdr>
                        </w:div>
                      </w:divsChild>
                    </w:div>
                    <w:div w:id="88042039">
                      <w:marLeft w:val="0"/>
                      <w:marRight w:val="0"/>
                      <w:marTop w:val="0"/>
                      <w:marBottom w:val="0"/>
                      <w:divBdr>
                        <w:top w:val="none" w:sz="0" w:space="0" w:color="auto"/>
                        <w:left w:val="none" w:sz="0" w:space="0" w:color="auto"/>
                        <w:bottom w:val="none" w:sz="0" w:space="0" w:color="auto"/>
                        <w:right w:val="none" w:sz="0" w:space="0" w:color="auto"/>
                      </w:divBdr>
                      <w:divsChild>
                        <w:div w:id="193463847">
                          <w:marLeft w:val="0"/>
                          <w:marRight w:val="0"/>
                          <w:marTop w:val="0"/>
                          <w:marBottom w:val="0"/>
                          <w:divBdr>
                            <w:top w:val="none" w:sz="0" w:space="0" w:color="auto"/>
                            <w:left w:val="none" w:sz="0" w:space="0" w:color="auto"/>
                            <w:bottom w:val="none" w:sz="0" w:space="0" w:color="auto"/>
                            <w:right w:val="none" w:sz="0" w:space="0" w:color="auto"/>
                          </w:divBdr>
                        </w:div>
                      </w:divsChild>
                    </w:div>
                    <w:div w:id="1381444026">
                      <w:marLeft w:val="0"/>
                      <w:marRight w:val="0"/>
                      <w:marTop w:val="0"/>
                      <w:marBottom w:val="0"/>
                      <w:divBdr>
                        <w:top w:val="none" w:sz="0" w:space="0" w:color="auto"/>
                        <w:left w:val="none" w:sz="0" w:space="0" w:color="auto"/>
                        <w:bottom w:val="none" w:sz="0" w:space="0" w:color="auto"/>
                        <w:right w:val="none" w:sz="0" w:space="0" w:color="auto"/>
                      </w:divBdr>
                      <w:divsChild>
                        <w:div w:id="2005281510">
                          <w:marLeft w:val="0"/>
                          <w:marRight w:val="0"/>
                          <w:marTop w:val="0"/>
                          <w:marBottom w:val="0"/>
                          <w:divBdr>
                            <w:top w:val="none" w:sz="0" w:space="0" w:color="auto"/>
                            <w:left w:val="none" w:sz="0" w:space="0" w:color="auto"/>
                            <w:bottom w:val="none" w:sz="0" w:space="0" w:color="auto"/>
                            <w:right w:val="none" w:sz="0" w:space="0" w:color="auto"/>
                          </w:divBdr>
                        </w:div>
                      </w:divsChild>
                    </w:div>
                    <w:div w:id="1716545210">
                      <w:marLeft w:val="0"/>
                      <w:marRight w:val="0"/>
                      <w:marTop w:val="0"/>
                      <w:marBottom w:val="0"/>
                      <w:divBdr>
                        <w:top w:val="none" w:sz="0" w:space="0" w:color="auto"/>
                        <w:left w:val="none" w:sz="0" w:space="0" w:color="auto"/>
                        <w:bottom w:val="none" w:sz="0" w:space="0" w:color="auto"/>
                        <w:right w:val="none" w:sz="0" w:space="0" w:color="auto"/>
                      </w:divBdr>
                      <w:divsChild>
                        <w:div w:id="1786001588">
                          <w:marLeft w:val="0"/>
                          <w:marRight w:val="0"/>
                          <w:marTop w:val="0"/>
                          <w:marBottom w:val="0"/>
                          <w:divBdr>
                            <w:top w:val="none" w:sz="0" w:space="0" w:color="auto"/>
                            <w:left w:val="none" w:sz="0" w:space="0" w:color="auto"/>
                            <w:bottom w:val="none" w:sz="0" w:space="0" w:color="auto"/>
                            <w:right w:val="none" w:sz="0" w:space="0" w:color="auto"/>
                          </w:divBdr>
                        </w:div>
                      </w:divsChild>
                    </w:div>
                    <w:div w:id="365523972">
                      <w:marLeft w:val="0"/>
                      <w:marRight w:val="0"/>
                      <w:marTop w:val="0"/>
                      <w:marBottom w:val="0"/>
                      <w:divBdr>
                        <w:top w:val="none" w:sz="0" w:space="0" w:color="auto"/>
                        <w:left w:val="none" w:sz="0" w:space="0" w:color="auto"/>
                        <w:bottom w:val="none" w:sz="0" w:space="0" w:color="auto"/>
                        <w:right w:val="none" w:sz="0" w:space="0" w:color="auto"/>
                      </w:divBdr>
                      <w:divsChild>
                        <w:div w:id="4937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499969">
      <w:bodyDiv w:val="1"/>
      <w:marLeft w:val="0"/>
      <w:marRight w:val="0"/>
      <w:marTop w:val="0"/>
      <w:marBottom w:val="0"/>
      <w:divBdr>
        <w:top w:val="none" w:sz="0" w:space="0" w:color="auto"/>
        <w:left w:val="none" w:sz="0" w:space="0" w:color="auto"/>
        <w:bottom w:val="none" w:sz="0" w:space="0" w:color="auto"/>
        <w:right w:val="none" w:sz="0" w:space="0" w:color="auto"/>
      </w:divBdr>
      <w:divsChild>
        <w:div w:id="1908807635">
          <w:marLeft w:val="0"/>
          <w:marRight w:val="0"/>
          <w:marTop w:val="0"/>
          <w:marBottom w:val="0"/>
          <w:divBdr>
            <w:top w:val="none" w:sz="0" w:space="0" w:color="auto"/>
            <w:left w:val="none" w:sz="0" w:space="0" w:color="auto"/>
            <w:bottom w:val="none" w:sz="0" w:space="0" w:color="auto"/>
            <w:right w:val="none" w:sz="0" w:space="0" w:color="auto"/>
          </w:divBdr>
          <w:divsChild>
            <w:div w:id="2095742661">
              <w:marLeft w:val="0"/>
              <w:marRight w:val="0"/>
              <w:marTop w:val="0"/>
              <w:marBottom w:val="0"/>
              <w:divBdr>
                <w:top w:val="none" w:sz="0" w:space="0" w:color="auto"/>
                <w:left w:val="none" w:sz="0" w:space="0" w:color="auto"/>
                <w:bottom w:val="none" w:sz="0" w:space="0" w:color="auto"/>
                <w:right w:val="none" w:sz="0" w:space="0" w:color="auto"/>
              </w:divBdr>
              <w:divsChild>
                <w:div w:id="280574099">
                  <w:marLeft w:val="0"/>
                  <w:marRight w:val="0"/>
                  <w:marTop w:val="0"/>
                  <w:marBottom w:val="0"/>
                  <w:divBdr>
                    <w:top w:val="none" w:sz="0" w:space="0" w:color="auto"/>
                    <w:left w:val="none" w:sz="0" w:space="0" w:color="auto"/>
                    <w:bottom w:val="none" w:sz="0" w:space="0" w:color="auto"/>
                    <w:right w:val="none" w:sz="0" w:space="0" w:color="auto"/>
                  </w:divBdr>
                  <w:divsChild>
                    <w:div w:id="1839495986">
                      <w:marLeft w:val="0"/>
                      <w:marRight w:val="0"/>
                      <w:marTop w:val="0"/>
                      <w:marBottom w:val="0"/>
                      <w:divBdr>
                        <w:top w:val="none" w:sz="0" w:space="0" w:color="auto"/>
                        <w:left w:val="none" w:sz="0" w:space="0" w:color="auto"/>
                        <w:bottom w:val="none" w:sz="0" w:space="0" w:color="auto"/>
                        <w:right w:val="none" w:sz="0" w:space="0" w:color="auto"/>
                      </w:divBdr>
                      <w:divsChild>
                        <w:div w:id="545145246">
                          <w:marLeft w:val="0"/>
                          <w:marRight w:val="0"/>
                          <w:marTop w:val="0"/>
                          <w:marBottom w:val="0"/>
                          <w:divBdr>
                            <w:top w:val="none" w:sz="0" w:space="0" w:color="auto"/>
                            <w:left w:val="none" w:sz="0" w:space="0" w:color="auto"/>
                            <w:bottom w:val="none" w:sz="0" w:space="0" w:color="auto"/>
                            <w:right w:val="none" w:sz="0" w:space="0" w:color="auto"/>
                          </w:divBdr>
                        </w:div>
                      </w:divsChild>
                    </w:div>
                    <w:div w:id="1134756745">
                      <w:marLeft w:val="0"/>
                      <w:marRight w:val="0"/>
                      <w:marTop w:val="0"/>
                      <w:marBottom w:val="0"/>
                      <w:divBdr>
                        <w:top w:val="none" w:sz="0" w:space="0" w:color="auto"/>
                        <w:left w:val="none" w:sz="0" w:space="0" w:color="auto"/>
                        <w:bottom w:val="none" w:sz="0" w:space="0" w:color="auto"/>
                        <w:right w:val="none" w:sz="0" w:space="0" w:color="auto"/>
                      </w:divBdr>
                      <w:divsChild>
                        <w:div w:id="1697776038">
                          <w:marLeft w:val="0"/>
                          <w:marRight w:val="0"/>
                          <w:marTop w:val="0"/>
                          <w:marBottom w:val="0"/>
                          <w:divBdr>
                            <w:top w:val="none" w:sz="0" w:space="0" w:color="auto"/>
                            <w:left w:val="none" w:sz="0" w:space="0" w:color="auto"/>
                            <w:bottom w:val="none" w:sz="0" w:space="0" w:color="auto"/>
                            <w:right w:val="none" w:sz="0" w:space="0" w:color="auto"/>
                          </w:divBdr>
                        </w:div>
                      </w:divsChild>
                    </w:div>
                    <w:div w:id="1193423371">
                      <w:marLeft w:val="0"/>
                      <w:marRight w:val="0"/>
                      <w:marTop w:val="0"/>
                      <w:marBottom w:val="0"/>
                      <w:divBdr>
                        <w:top w:val="none" w:sz="0" w:space="0" w:color="auto"/>
                        <w:left w:val="none" w:sz="0" w:space="0" w:color="auto"/>
                        <w:bottom w:val="none" w:sz="0" w:space="0" w:color="auto"/>
                        <w:right w:val="none" w:sz="0" w:space="0" w:color="auto"/>
                      </w:divBdr>
                      <w:divsChild>
                        <w:div w:id="510070320">
                          <w:marLeft w:val="0"/>
                          <w:marRight w:val="0"/>
                          <w:marTop w:val="0"/>
                          <w:marBottom w:val="0"/>
                          <w:divBdr>
                            <w:top w:val="none" w:sz="0" w:space="0" w:color="auto"/>
                            <w:left w:val="none" w:sz="0" w:space="0" w:color="auto"/>
                            <w:bottom w:val="none" w:sz="0" w:space="0" w:color="auto"/>
                            <w:right w:val="none" w:sz="0" w:space="0" w:color="auto"/>
                          </w:divBdr>
                        </w:div>
                      </w:divsChild>
                    </w:div>
                    <w:div w:id="1179083771">
                      <w:marLeft w:val="0"/>
                      <w:marRight w:val="0"/>
                      <w:marTop w:val="0"/>
                      <w:marBottom w:val="0"/>
                      <w:divBdr>
                        <w:top w:val="none" w:sz="0" w:space="0" w:color="auto"/>
                        <w:left w:val="none" w:sz="0" w:space="0" w:color="auto"/>
                        <w:bottom w:val="none" w:sz="0" w:space="0" w:color="auto"/>
                        <w:right w:val="none" w:sz="0" w:space="0" w:color="auto"/>
                      </w:divBdr>
                      <w:divsChild>
                        <w:div w:id="1432092964">
                          <w:marLeft w:val="0"/>
                          <w:marRight w:val="0"/>
                          <w:marTop w:val="0"/>
                          <w:marBottom w:val="0"/>
                          <w:divBdr>
                            <w:top w:val="none" w:sz="0" w:space="0" w:color="auto"/>
                            <w:left w:val="none" w:sz="0" w:space="0" w:color="auto"/>
                            <w:bottom w:val="none" w:sz="0" w:space="0" w:color="auto"/>
                            <w:right w:val="none" w:sz="0" w:space="0" w:color="auto"/>
                          </w:divBdr>
                        </w:div>
                      </w:divsChild>
                    </w:div>
                    <w:div w:id="1065571724">
                      <w:marLeft w:val="0"/>
                      <w:marRight w:val="0"/>
                      <w:marTop w:val="0"/>
                      <w:marBottom w:val="0"/>
                      <w:divBdr>
                        <w:top w:val="none" w:sz="0" w:space="0" w:color="auto"/>
                        <w:left w:val="none" w:sz="0" w:space="0" w:color="auto"/>
                        <w:bottom w:val="none" w:sz="0" w:space="0" w:color="auto"/>
                        <w:right w:val="none" w:sz="0" w:space="0" w:color="auto"/>
                      </w:divBdr>
                      <w:divsChild>
                        <w:div w:id="12459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268216">
      <w:bodyDiv w:val="1"/>
      <w:marLeft w:val="0"/>
      <w:marRight w:val="0"/>
      <w:marTop w:val="0"/>
      <w:marBottom w:val="0"/>
      <w:divBdr>
        <w:top w:val="none" w:sz="0" w:space="0" w:color="auto"/>
        <w:left w:val="none" w:sz="0" w:space="0" w:color="auto"/>
        <w:bottom w:val="none" w:sz="0" w:space="0" w:color="auto"/>
        <w:right w:val="none" w:sz="0" w:space="0" w:color="auto"/>
      </w:divBdr>
      <w:divsChild>
        <w:div w:id="1719084663">
          <w:marLeft w:val="0"/>
          <w:marRight w:val="0"/>
          <w:marTop w:val="0"/>
          <w:marBottom w:val="0"/>
          <w:divBdr>
            <w:top w:val="none" w:sz="0" w:space="0" w:color="auto"/>
            <w:left w:val="none" w:sz="0" w:space="0" w:color="auto"/>
            <w:bottom w:val="none" w:sz="0" w:space="0" w:color="auto"/>
            <w:right w:val="none" w:sz="0" w:space="0" w:color="auto"/>
          </w:divBdr>
          <w:divsChild>
            <w:div w:id="2059624858">
              <w:marLeft w:val="0"/>
              <w:marRight w:val="0"/>
              <w:marTop w:val="0"/>
              <w:marBottom w:val="0"/>
              <w:divBdr>
                <w:top w:val="none" w:sz="0" w:space="0" w:color="auto"/>
                <w:left w:val="none" w:sz="0" w:space="0" w:color="auto"/>
                <w:bottom w:val="none" w:sz="0" w:space="0" w:color="auto"/>
                <w:right w:val="none" w:sz="0" w:space="0" w:color="auto"/>
              </w:divBdr>
              <w:divsChild>
                <w:div w:id="92670564">
                  <w:marLeft w:val="0"/>
                  <w:marRight w:val="0"/>
                  <w:marTop w:val="0"/>
                  <w:marBottom w:val="0"/>
                  <w:divBdr>
                    <w:top w:val="none" w:sz="0" w:space="0" w:color="auto"/>
                    <w:left w:val="none" w:sz="0" w:space="0" w:color="auto"/>
                    <w:bottom w:val="none" w:sz="0" w:space="0" w:color="auto"/>
                    <w:right w:val="none" w:sz="0" w:space="0" w:color="auto"/>
                  </w:divBdr>
                  <w:divsChild>
                    <w:div w:id="29765253">
                      <w:marLeft w:val="0"/>
                      <w:marRight w:val="0"/>
                      <w:marTop w:val="0"/>
                      <w:marBottom w:val="0"/>
                      <w:divBdr>
                        <w:top w:val="none" w:sz="0" w:space="0" w:color="auto"/>
                        <w:left w:val="none" w:sz="0" w:space="0" w:color="auto"/>
                        <w:bottom w:val="none" w:sz="0" w:space="0" w:color="auto"/>
                        <w:right w:val="none" w:sz="0" w:space="0" w:color="auto"/>
                      </w:divBdr>
                      <w:divsChild>
                        <w:div w:id="143278561">
                          <w:marLeft w:val="0"/>
                          <w:marRight w:val="0"/>
                          <w:marTop w:val="0"/>
                          <w:marBottom w:val="0"/>
                          <w:divBdr>
                            <w:top w:val="none" w:sz="0" w:space="0" w:color="auto"/>
                            <w:left w:val="none" w:sz="0" w:space="0" w:color="auto"/>
                            <w:bottom w:val="none" w:sz="0" w:space="0" w:color="auto"/>
                            <w:right w:val="none" w:sz="0" w:space="0" w:color="auto"/>
                          </w:divBdr>
                        </w:div>
                      </w:divsChild>
                    </w:div>
                    <w:div w:id="1123500848">
                      <w:marLeft w:val="0"/>
                      <w:marRight w:val="0"/>
                      <w:marTop w:val="0"/>
                      <w:marBottom w:val="0"/>
                      <w:divBdr>
                        <w:top w:val="none" w:sz="0" w:space="0" w:color="auto"/>
                        <w:left w:val="none" w:sz="0" w:space="0" w:color="auto"/>
                        <w:bottom w:val="none" w:sz="0" w:space="0" w:color="auto"/>
                        <w:right w:val="none" w:sz="0" w:space="0" w:color="auto"/>
                      </w:divBdr>
                      <w:divsChild>
                        <w:div w:id="1163661718">
                          <w:marLeft w:val="0"/>
                          <w:marRight w:val="0"/>
                          <w:marTop w:val="0"/>
                          <w:marBottom w:val="0"/>
                          <w:divBdr>
                            <w:top w:val="none" w:sz="0" w:space="0" w:color="auto"/>
                            <w:left w:val="none" w:sz="0" w:space="0" w:color="auto"/>
                            <w:bottom w:val="none" w:sz="0" w:space="0" w:color="auto"/>
                            <w:right w:val="none" w:sz="0" w:space="0" w:color="auto"/>
                          </w:divBdr>
                        </w:div>
                      </w:divsChild>
                    </w:div>
                    <w:div w:id="2009482355">
                      <w:marLeft w:val="0"/>
                      <w:marRight w:val="0"/>
                      <w:marTop w:val="0"/>
                      <w:marBottom w:val="0"/>
                      <w:divBdr>
                        <w:top w:val="none" w:sz="0" w:space="0" w:color="auto"/>
                        <w:left w:val="none" w:sz="0" w:space="0" w:color="auto"/>
                        <w:bottom w:val="none" w:sz="0" w:space="0" w:color="auto"/>
                        <w:right w:val="none" w:sz="0" w:space="0" w:color="auto"/>
                      </w:divBdr>
                      <w:divsChild>
                        <w:div w:id="867255374">
                          <w:marLeft w:val="0"/>
                          <w:marRight w:val="0"/>
                          <w:marTop w:val="0"/>
                          <w:marBottom w:val="0"/>
                          <w:divBdr>
                            <w:top w:val="none" w:sz="0" w:space="0" w:color="auto"/>
                            <w:left w:val="none" w:sz="0" w:space="0" w:color="auto"/>
                            <w:bottom w:val="none" w:sz="0" w:space="0" w:color="auto"/>
                            <w:right w:val="none" w:sz="0" w:space="0" w:color="auto"/>
                          </w:divBdr>
                        </w:div>
                      </w:divsChild>
                    </w:div>
                    <w:div w:id="708142902">
                      <w:marLeft w:val="0"/>
                      <w:marRight w:val="0"/>
                      <w:marTop w:val="0"/>
                      <w:marBottom w:val="0"/>
                      <w:divBdr>
                        <w:top w:val="none" w:sz="0" w:space="0" w:color="auto"/>
                        <w:left w:val="none" w:sz="0" w:space="0" w:color="auto"/>
                        <w:bottom w:val="none" w:sz="0" w:space="0" w:color="auto"/>
                        <w:right w:val="none" w:sz="0" w:space="0" w:color="auto"/>
                      </w:divBdr>
                      <w:divsChild>
                        <w:div w:id="318267600">
                          <w:marLeft w:val="0"/>
                          <w:marRight w:val="0"/>
                          <w:marTop w:val="0"/>
                          <w:marBottom w:val="0"/>
                          <w:divBdr>
                            <w:top w:val="none" w:sz="0" w:space="0" w:color="auto"/>
                            <w:left w:val="none" w:sz="0" w:space="0" w:color="auto"/>
                            <w:bottom w:val="none" w:sz="0" w:space="0" w:color="auto"/>
                            <w:right w:val="none" w:sz="0" w:space="0" w:color="auto"/>
                          </w:divBdr>
                        </w:div>
                      </w:divsChild>
                    </w:div>
                    <w:div w:id="2097245143">
                      <w:marLeft w:val="0"/>
                      <w:marRight w:val="0"/>
                      <w:marTop w:val="0"/>
                      <w:marBottom w:val="0"/>
                      <w:divBdr>
                        <w:top w:val="none" w:sz="0" w:space="0" w:color="auto"/>
                        <w:left w:val="none" w:sz="0" w:space="0" w:color="auto"/>
                        <w:bottom w:val="none" w:sz="0" w:space="0" w:color="auto"/>
                        <w:right w:val="none" w:sz="0" w:space="0" w:color="auto"/>
                      </w:divBdr>
                      <w:divsChild>
                        <w:div w:id="8687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43BE4B93</Template>
  <TotalTime>0</TotalTime>
  <Pages>12</Pages>
  <Words>2571</Words>
  <Characters>12655</Characters>
  <Application>Microsoft Office Word</Application>
  <DocSecurity>0</DocSecurity>
  <Lines>575</Lines>
  <Paragraphs>435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2016-01-05T02:18:00Z</dcterms:created>
  <dcterms:modified xsi:type="dcterms:W3CDTF">2016-01-15T06:05:00Z</dcterms:modified>
</cp:coreProperties>
</file>