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05A6453" wp14:editId="76C773BB">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C21CBD" w:rsidP="002A4EF8">
      <w:pPr>
        <w:rPr>
          <w:b/>
          <w:sz w:val="36"/>
          <w:szCs w:val="36"/>
        </w:rPr>
      </w:pPr>
      <w:r>
        <w:rPr>
          <w:b/>
          <w:sz w:val="36"/>
          <w:szCs w:val="36"/>
        </w:rPr>
        <w:t>17</w:t>
      </w:r>
      <w:r w:rsidR="00356E72" w:rsidRPr="00C4712A">
        <w:rPr>
          <w:b/>
          <w:sz w:val="36"/>
          <w:szCs w:val="36"/>
        </w:rPr>
        <w:t xml:space="preserve"> </w:t>
      </w:r>
      <w:r>
        <w:rPr>
          <w:b/>
          <w:sz w:val="36"/>
          <w:szCs w:val="36"/>
        </w:rPr>
        <w:t>– 23</w:t>
      </w:r>
      <w:r w:rsidR="00E46D48" w:rsidRPr="00C4712A">
        <w:rPr>
          <w:b/>
          <w:sz w:val="36"/>
          <w:szCs w:val="36"/>
        </w:rPr>
        <w:t xml:space="preserve"> January</w:t>
      </w:r>
      <w:r w:rsidR="00FA25D4" w:rsidRPr="00C4712A">
        <w:rPr>
          <w:b/>
          <w:sz w:val="36"/>
          <w:szCs w:val="36"/>
        </w:rPr>
        <w:t xml:space="preserve"> 2016</w:t>
      </w:r>
    </w:p>
    <w:p w:rsidR="00275002" w:rsidRPr="00C4712A" w:rsidRDefault="00275002" w:rsidP="000E2946">
      <w:pPr>
        <w:pStyle w:val="AERHeading1"/>
      </w:pPr>
      <w:r w:rsidRPr="00C4712A">
        <w:t>Introduction</w:t>
      </w:r>
    </w:p>
    <w:p w:rsidR="00275002" w:rsidRPr="00C4712A" w:rsidRDefault="00275002" w:rsidP="00AF7C0E">
      <w:pPr>
        <w:pStyle w:val="AERbodytext"/>
      </w:pPr>
      <w:r w:rsidRPr="00C4712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0E2946">
      <w:pPr>
        <w:pStyle w:val="AERHeading1"/>
      </w:pPr>
      <w:r w:rsidRPr="00C4712A">
        <w:t>Spot market prices</w:t>
      </w:r>
    </w:p>
    <w:p w:rsidR="00E03725" w:rsidRDefault="001D0CE3" w:rsidP="00AF7C0E">
      <w:pPr>
        <w:pStyle w:val="AERbodytext"/>
        <w:rPr>
          <w:rFonts w:ascii="Gautami" w:hAnsi="Gautami" w:cs="Gautami"/>
          <w:sz w:val="20"/>
          <w:szCs w:val="20"/>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6E2380" w:rsidRPr="00C4712A">
        <w:t xml:space="preserve">Figure </w:t>
      </w:r>
      <w:r w:rsidR="006E2380">
        <w:t>1</w:t>
      </w:r>
      <w:r w:rsidRPr="00C4712A">
        <w:fldChar w:fldCharType="end"/>
      </w:r>
      <w:r w:rsidRPr="00C4712A">
        <w:t xml:space="preserve"> </w:t>
      </w:r>
      <w:r w:rsidR="00AF7058" w:rsidRPr="00C4712A">
        <w:t xml:space="preserve">shows the spot prices that occurred in each region during the week </w:t>
      </w:r>
      <w:r w:rsidR="009D3902">
        <w:t>17</w:t>
      </w:r>
      <w:r w:rsidR="000E55C7" w:rsidRPr="00C4712A">
        <w:t xml:space="preserve"> to </w:t>
      </w:r>
      <w:r w:rsidR="009D3902">
        <w:t>23</w:t>
      </w:r>
      <w:r w:rsidR="009E464D">
        <w:t> </w:t>
      </w:r>
      <w:r w:rsidR="00FA25D4" w:rsidRPr="00C4712A">
        <w:t>January</w:t>
      </w:r>
      <w:r w:rsidR="00760FD8" w:rsidRPr="00C4712A">
        <w:t xml:space="preserve"> </w:t>
      </w:r>
      <w:r w:rsidR="00FA25D4" w:rsidRPr="00C4712A">
        <w:t>2016</w:t>
      </w:r>
      <w:r w:rsidR="00AF7058" w:rsidRPr="00C4712A">
        <w:t>.</w:t>
      </w:r>
      <w:r w:rsidR="00E03725">
        <w:t xml:space="preserve"> </w:t>
      </w:r>
      <w:r w:rsidR="00E03725" w:rsidRPr="00E03725">
        <w:t>There was one occasion where the spot price in South Australia was greater than three times the South Australia weekly average price of $65/MWh and above $250/MWh.</w:t>
      </w:r>
      <w:r w:rsidR="00AF7058" w:rsidRPr="00C4712A">
        <w:t xml:space="preserve"> </w:t>
      </w:r>
      <w:r w:rsidR="00D53F55">
        <w:t>The spot price in Tasmania reached $345/MWh but it was not greater than three times the weekly average price of $375/MWh.</w:t>
      </w:r>
    </w:p>
    <w:p w:rsidR="00BF4639" w:rsidRPr="00C4712A" w:rsidRDefault="00275002" w:rsidP="00405B42">
      <w:pPr>
        <w:pStyle w:val="Caption"/>
      </w:pPr>
      <w:bookmarkStart w:id="6" w:name="_Ref410382491"/>
      <w:bookmarkStart w:id="7" w:name="OLE_LINK28"/>
      <w:bookmarkStart w:id="8" w:name="OLE_LINK29"/>
      <w:r w:rsidRPr="00C4712A">
        <w:t xml:space="preserve">Figure </w:t>
      </w:r>
      <w:fldSimple w:instr=" SEQ Figure \* ARABIC ">
        <w:r w:rsidR="006E2380">
          <w:rPr>
            <w:noProof/>
          </w:rPr>
          <w:t>1</w:t>
        </w:r>
      </w:fldSimple>
      <w:bookmarkEnd w:id="6"/>
      <w:r w:rsidRPr="00C4712A">
        <w:t>: Spot price by region ($/MWh)</w:t>
      </w:r>
    </w:p>
    <w:p w:rsidR="00EC05BF" w:rsidRDefault="00C21CBD" w:rsidP="00C4712A">
      <w:pPr>
        <w:pStyle w:val="Caption"/>
        <w:rPr>
          <w:bCs w:val="0"/>
          <w:lang w:eastAsia="en-AU"/>
        </w:rPr>
      </w:pPr>
      <w:r w:rsidRPr="00C21CBD">
        <w:rPr>
          <w:noProof/>
          <w:lang w:eastAsia="en-AU"/>
        </w:rPr>
        <w:drawing>
          <wp:inline distT="0" distB="0" distL="0" distR="0" wp14:anchorId="5CAFB3E2" wp14:editId="5B94D4F8">
            <wp:extent cx="5731510" cy="2862309"/>
            <wp:effectExtent l="0" t="0" r="2540"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2309"/>
                    </a:xfrm>
                    <a:prstGeom prst="rect">
                      <a:avLst/>
                    </a:prstGeom>
                    <a:noFill/>
                    <a:ln>
                      <a:noFill/>
                    </a:ln>
                  </pic:spPr>
                </pic:pic>
              </a:graphicData>
            </a:graphic>
          </wp:inline>
        </w:drawing>
      </w:r>
    </w:p>
    <w:p w:rsidR="00C4712A" w:rsidRPr="00C4712A" w:rsidRDefault="00C4712A" w:rsidP="00C4712A">
      <w:pPr>
        <w:rPr>
          <w:lang w:eastAsia="en-AU"/>
        </w:rPr>
      </w:pPr>
    </w:p>
    <w:p w:rsidR="00275002" w:rsidRPr="00C4712A" w:rsidRDefault="00275002" w:rsidP="00AF7C0E">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6E2380" w:rsidRPr="00C4712A">
        <w:t xml:space="preserve">Figure </w:t>
      </w:r>
      <w:r w:rsidR="006E2380">
        <w:t>2</w:t>
      </w:r>
      <w:r w:rsidRPr="00C4712A">
        <w:fldChar w:fldCharType="end"/>
      </w:r>
      <w:r w:rsidRPr="00C4712A">
        <w:t xml:space="preserve"> shows the volume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6E2380" w:rsidRPr="00C4712A">
        <w:t xml:space="preserve">Table </w:t>
      </w:r>
      <w:r w:rsidR="006E2380">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6E2380">
          <w:rPr>
            <w:noProof/>
          </w:rPr>
          <w:t>2</w:t>
        </w:r>
      </w:fldSimple>
      <w:bookmarkEnd w:id="9"/>
      <w:r w:rsidRPr="00C4712A">
        <w:t>: Volume weighted average spot price by region ($/MWh)</w:t>
      </w:r>
    </w:p>
    <w:p w:rsidR="001F22EE" w:rsidRDefault="00C21CBD" w:rsidP="00F167CF">
      <w:pPr>
        <w:spacing w:before="0" w:after="120" w:line="240" w:lineRule="auto"/>
      </w:pPr>
      <w:r w:rsidRPr="00C21CBD">
        <w:rPr>
          <w:noProof/>
          <w:lang w:eastAsia="en-AU"/>
        </w:rPr>
        <w:drawing>
          <wp:inline distT="0" distB="0" distL="0" distR="0" wp14:anchorId="77BB0F33" wp14:editId="5E4300F3">
            <wp:extent cx="5731510" cy="2862309"/>
            <wp:effectExtent l="0" t="0" r="2540" b="0"/>
            <wp:docPr id="3" name="Picture 3"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30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C4712A">
        <w:t xml:space="preserve">Table </w:t>
      </w:r>
      <w:fldSimple w:instr=" SEQ Table \* ARABIC ">
        <w:r w:rsidR="006E2380">
          <w:rPr>
            <w:noProof/>
          </w:rPr>
          <w:t>1</w:t>
        </w:r>
      </w:fldSimple>
      <w:bookmarkEnd w:id="10"/>
      <w:r w:rsidRPr="00C4712A">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C21CBD" w:rsidRPr="00C4712A" w:rsidTr="004A364A">
        <w:trPr>
          <w:trHeight w:hRule="exact" w:val="340"/>
        </w:trPr>
        <w:tc>
          <w:tcPr>
            <w:tcW w:w="1357" w:type="pct"/>
            <w:noWrap/>
            <w:vAlign w:val="center"/>
            <w:hideMark/>
          </w:tcPr>
          <w:p w:rsidR="00C21CBD" w:rsidRPr="00C4712A" w:rsidRDefault="00C21CBD"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C21CBD" w:rsidRDefault="00C21CBD" w:rsidP="004A364A">
            <w:pPr>
              <w:spacing w:before="0" w:after="0" w:line="240" w:lineRule="auto"/>
              <w:jc w:val="center"/>
              <w:rPr>
                <w:rFonts w:cs="Arial"/>
                <w:sz w:val="20"/>
                <w:szCs w:val="20"/>
              </w:rPr>
            </w:pPr>
            <w:r>
              <w:rPr>
                <w:rFonts w:cs="Arial"/>
                <w:sz w:val="20"/>
                <w:szCs w:val="20"/>
              </w:rPr>
              <w:t>48</w:t>
            </w:r>
          </w:p>
        </w:tc>
        <w:tc>
          <w:tcPr>
            <w:tcW w:w="729" w:type="pct"/>
            <w:noWrap/>
            <w:vAlign w:val="center"/>
          </w:tcPr>
          <w:p w:rsidR="00C21CBD" w:rsidRDefault="00C21CBD" w:rsidP="004A364A">
            <w:pPr>
              <w:spacing w:before="0" w:after="0" w:line="240" w:lineRule="auto"/>
              <w:jc w:val="center"/>
              <w:rPr>
                <w:rFonts w:cs="Arial"/>
                <w:sz w:val="20"/>
                <w:szCs w:val="20"/>
              </w:rPr>
            </w:pPr>
            <w:r>
              <w:rPr>
                <w:rFonts w:cs="Arial"/>
                <w:sz w:val="20"/>
                <w:szCs w:val="20"/>
              </w:rPr>
              <w:t>47</w:t>
            </w:r>
          </w:p>
        </w:tc>
        <w:tc>
          <w:tcPr>
            <w:tcW w:w="728" w:type="pct"/>
            <w:noWrap/>
            <w:vAlign w:val="center"/>
          </w:tcPr>
          <w:p w:rsidR="00C21CBD" w:rsidRDefault="00C21CBD" w:rsidP="004A364A">
            <w:pPr>
              <w:spacing w:before="0" w:after="0" w:line="240" w:lineRule="auto"/>
              <w:jc w:val="center"/>
              <w:rPr>
                <w:rFonts w:cs="Arial"/>
                <w:sz w:val="20"/>
                <w:szCs w:val="20"/>
              </w:rPr>
            </w:pPr>
            <w:r>
              <w:rPr>
                <w:rFonts w:cs="Arial"/>
                <w:sz w:val="20"/>
                <w:szCs w:val="20"/>
              </w:rPr>
              <w:t>44</w:t>
            </w:r>
          </w:p>
        </w:tc>
        <w:tc>
          <w:tcPr>
            <w:tcW w:w="729" w:type="pct"/>
            <w:noWrap/>
            <w:vAlign w:val="center"/>
          </w:tcPr>
          <w:p w:rsidR="00C21CBD" w:rsidRDefault="00C21CBD" w:rsidP="004A364A">
            <w:pPr>
              <w:spacing w:before="0" w:after="0" w:line="240" w:lineRule="auto"/>
              <w:jc w:val="center"/>
              <w:rPr>
                <w:rFonts w:cs="Arial"/>
                <w:sz w:val="20"/>
                <w:szCs w:val="20"/>
              </w:rPr>
            </w:pPr>
            <w:r>
              <w:rPr>
                <w:rFonts w:cs="Arial"/>
                <w:sz w:val="20"/>
                <w:szCs w:val="20"/>
              </w:rPr>
              <w:t>65</w:t>
            </w:r>
          </w:p>
        </w:tc>
        <w:tc>
          <w:tcPr>
            <w:tcW w:w="729" w:type="pct"/>
            <w:noWrap/>
            <w:vAlign w:val="center"/>
          </w:tcPr>
          <w:p w:rsidR="00C21CBD" w:rsidRDefault="00C21CBD" w:rsidP="004A364A">
            <w:pPr>
              <w:spacing w:before="0" w:after="0" w:line="240" w:lineRule="auto"/>
              <w:jc w:val="center"/>
              <w:rPr>
                <w:rFonts w:cs="Arial"/>
                <w:sz w:val="20"/>
                <w:szCs w:val="20"/>
              </w:rPr>
            </w:pPr>
            <w:r>
              <w:rPr>
                <w:rFonts w:cs="Arial"/>
                <w:sz w:val="20"/>
                <w:szCs w:val="20"/>
              </w:rPr>
              <w:t>125</w:t>
            </w:r>
          </w:p>
        </w:tc>
      </w:tr>
      <w:tr w:rsidR="00C21CBD" w:rsidRPr="00C4712A" w:rsidTr="004A364A">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C21CBD" w:rsidRPr="00C4712A" w:rsidRDefault="00C21CBD"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C21CBD" w:rsidRDefault="00C21CBD" w:rsidP="004A364A">
            <w:pPr>
              <w:spacing w:before="0" w:after="0" w:line="240" w:lineRule="auto"/>
              <w:jc w:val="center"/>
              <w:rPr>
                <w:rFonts w:cs="Arial"/>
                <w:szCs w:val="20"/>
              </w:rPr>
            </w:pPr>
            <w:r>
              <w:rPr>
                <w:rFonts w:cs="Arial"/>
                <w:szCs w:val="20"/>
              </w:rPr>
              <w:t>65</w:t>
            </w:r>
          </w:p>
        </w:tc>
        <w:tc>
          <w:tcPr>
            <w:tcW w:w="729" w:type="pct"/>
            <w:noWrap/>
            <w:vAlign w:val="center"/>
          </w:tcPr>
          <w:p w:rsidR="00C21CBD" w:rsidRDefault="00C21CBD" w:rsidP="004A364A">
            <w:pPr>
              <w:spacing w:before="0" w:after="0" w:line="240" w:lineRule="auto"/>
              <w:jc w:val="center"/>
              <w:rPr>
                <w:rFonts w:cs="Arial"/>
                <w:szCs w:val="20"/>
              </w:rPr>
            </w:pPr>
            <w:r>
              <w:rPr>
                <w:rFonts w:cs="Arial"/>
                <w:szCs w:val="20"/>
              </w:rPr>
              <w:t>37</w:t>
            </w:r>
          </w:p>
        </w:tc>
        <w:tc>
          <w:tcPr>
            <w:tcW w:w="728" w:type="pct"/>
            <w:noWrap/>
            <w:vAlign w:val="center"/>
          </w:tcPr>
          <w:p w:rsidR="00C21CBD" w:rsidRDefault="00C21CBD" w:rsidP="004A364A">
            <w:pPr>
              <w:spacing w:before="0" w:after="0" w:line="240" w:lineRule="auto"/>
              <w:jc w:val="center"/>
              <w:rPr>
                <w:rFonts w:cs="Arial"/>
                <w:szCs w:val="20"/>
              </w:rPr>
            </w:pPr>
            <w:r>
              <w:rPr>
                <w:rFonts w:cs="Arial"/>
                <w:szCs w:val="20"/>
              </w:rPr>
              <w:t>33</w:t>
            </w:r>
          </w:p>
        </w:tc>
        <w:tc>
          <w:tcPr>
            <w:tcW w:w="729" w:type="pct"/>
            <w:noWrap/>
            <w:vAlign w:val="center"/>
          </w:tcPr>
          <w:p w:rsidR="00C21CBD" w:rsidRDefault="00C21CBD" w:rsidP="004A364A">
            <w:pPr>
              <w:spacing w:before="0" w:after="0" w:line="240" w:lineRule="auto"/>
              <w:jc w:val="center"/>
              <w:rPr>
                <w:rFonts w:cs="Arial"/>
                <w:szCs w:val="20"/>
              </w:rPr>
            </w:pPr>
            <w:r>
              <w:rPr>
                <w:rFonts w:cs="Arial"/>
                <w:szCs w:val="20"/>
              </w:rPr>
              <w:t>41</w:t>
            </w:r>
          </w:p>
        </w:tc>
        <w:tc>
          <w:tcPr>
            <w:tcW w:w="729" w:type="pct"/>
            <w:noWrap/>
            <w:vAlign w:val="center"/>
          </w:tcPr>
          <w:p w:rsidR="00C21CBD" w:rsidRDefault="00C21CBD" w:rsidP="004A364A">
            <w:pPr>
              <w:spacing w:before="0" w:after="0" w:line="240" w:lineRule="auto"/>
              <w:jc w:val="center"/>
              <w:rPr>
                <w:rFonts w:cs="Arial"/>
                <w:szCs w:val="20"/>
              </w:rPr>
            </w:pPr>
            <w:r>
              <w:rPr>
                <w:rFonts w:cs="Arial"/>
                <w:szCs w:val="20"/>
              </w:rPr>
              <w:t>38</w:t>
            </w:r>
          </w:p>
        </w:tc>
      </w:tr>
      <w:tr w:rsidR="00C21CBD" w:rsidRPr="00C4712A" w:rsidTr="004A364A">
        <w:trPr>
          <w:trHeight w:hRule="exact" w:val="340"/>
        </w:trPr>
        <w:tc>
          <w:tcPr>
            <w:tcW w:w="1357" w:type="pct"/>
            <w:noWrap/>
            <w:vAlign w:val="center"/>
            <w:hideMark/>
          </w:tcPr>
          <w:p w:rsidR="00C21CBD" w:rsidRPr="00C4712A" w:rsidRDefault="00C21CBD"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C21CBD" w:rsidRDefault="00C21CBD" w:rsidP="004A364A">
            <w:pPr>
              <w:spacing w:before="0" w:after="0" w:line="240" w:lineRule="auto"/>
              <w:jc w:val="center"/>
              <w:rPr>
                <w:rFonts w:cs="Arial"/>
                <w:sz w:val="20"/>
                <w:szCs w:val="20"/>
              </w:rPr>
            </w:pPr>
            <w:r>
              <w:rPr>
                <w:rFonts w:cs="Arial"/>
                <w:sz w:val="20"/>
                <w:szCs w:val="20"/>
              </w:rPr>
              <w:t>45</w:t>
            </w:r>
          </w:p>
        </w:tc>
        <w:tc>
          <w:tcPr>
            <w:tcW w:w="729" w:type="pct"/>
            <w:noWrap/>
            <w:vAlign w:val="center"/>
          </w:tcPr>
          <w:p w:rsidR="00C21CBD" w:rsidRDefault="00C21CBD" w:rsidP="004A364A">
            <w:pPr>
              <w:spacing w:before="0" w:after="0" w:line="240" w:lineRule="auto"/>
              <w:jc w:val="center"/>
              <w:rPr>
                <w:rFonts w:cs="Arial"/>
                <w:sz w:val="20"/>
                <w:szCs w:val="20"/>
              </w:rPr>
            </w:pPr>
            <w:r>
              <w:rPr>
                <w:rFonts w:cs="Arial"/>
                <w:sz w:val="20"/>
                <w:szCs w:val="20"/>
              </w:rPr>
              <w:t>47</w:t>
            </w:r>
          </w:p>
        </w:tc>
        <w:tc>
          <w:tcPr>
            <w:tcW w:w="728" w:type="pct"/>
            <w:noWrap/>
            <w:vAlign w:val="center"/>
          </w:tcPr>
          <w:p w:rsidR="00C21CBD" w:rsidRDefault="00C21CBD" w:rsidP="004A364A">
            <w:pPr>
              <w:spacing w:before="0" w:after="0" w:line="240" w:lineRule="auto"/>
              <w:jc w:val="center"/>
              <w:rPr>
                <w:rFonts w:cs="Arial"/>
                <w:sz w:val="20"/>
                <w:szCs w:val="20"/>
              </w:rPr>
            </w:pPr>
            <w:r>
              <w:rPr>
                <w:rFonts w:cs="Arial"/>
                <w:sz w:val="20"/>
                <w:szCs w:val="20"/>
              </w:rPr>
              <w:t>44</w:t>
            </w:r>
          </w:p>
        </w:tc>
        <w:tc>
          <w:tcPr>
            <w:tcW w:w="729" w:type="pct"/>
            <w:noWrap/>
            <w:vAlign w:val="center"/>
          </w:tcPr>
          <w:p w:rsidR="00C21CBD" w:rsidRDefault="00C21CBD" w:rsidP="004A364A">
            <w:pPr>
              <w:spacing w:before="0" w:after="0" w:line="240" w:lineRule="auto"/>
              <w:jc w:val="center"/>
              <w:rPr>
                <w:rFonts w:cs="Arial"/>
                <w:sz w:val="20"/>
                <w:szCs w:val="20"/>
              </w:rPr>
            </w:pPr>
            <w:r>
              <w:rPr>
                <w:rFonts w:cs="Arial"/>
                <w:sz w:val="20"/>
                <w:szCs w:val="20"/>
              </w:rPr>
              <w:t>64</w:t>
            </w:r>
          </w:p>
        </w:tc>
        <w:tc>
          <w:tcPr>
            <w:tcW w:w="729" w:type="pct"/>
            <w:noWrap/>
            <w:vAlign w:val="center"/>
          </w:tcPr>
          <w:p w:rsidR="00C21CBD" w:rsidRDefault="00C21CBD" w:rsidP="004A364A">
            <w:pPr>
              <w:spacing w:before="0" w:after="0" w:line="240" w:lineRule="auto"/>
              <w:jc w:val="center"/>
              <w:rPr>
                <w:rFonts w:cs="Arial"/>
                <w:sz w:val="20"/>
                <w:szCs w:val="20"/>
              </w:rPr>
            </w:pPr>
            <w:r>
              <w:rPr>
                <w:rFonts w:cs="Arial"/>
                <w:sz w:val="20"/>
                <w:szCs w:val="20"/>
              </w:rPr>
              <w:t>63</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0E2946">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C21CBD" w:rsidP="00AF7C0E">
      <w:pPr>
        <w:pStyle w:val="AERbodytext"/>
      </w:pPr>
      <w:r w:rsidRPr="00C21CBD">
        <w:t>There were 282 trading intervals throughout the week where actual prices varied significantly from forecasts. This compares to the weekly average in 2015 of 133 counts an</w:t>
      </w:r>
      <w:r>
        <w:t>d the average in 2014 of 71.</w:t>
      </w:r>
      <w:r>
        <w:tab/>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6E2380" w:rsidRPr="00C4712A">
        <w:t xml:space="preserve">Table </w:t>
      </w:r>
      <w:r w:rsidR="006E2380">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6E2380">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C21CBD" w:rsidRPr="00C4712A" w:rsidTr="00B73C3A">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C21CBD" w:rsidRPr="00C4712A" w:rsidRDefault="00C21CBD" w:rsidP="006C62B7">
            <w:pPr>
              <w:spacing w:after="0" w:line="240" w:lineRule="auto"/>
              <w:rPr>
                <w:sz w:val="20"/>
                <w:szCs w:val="20"/>
              </w:rPr>
            </w:pPr>
            <w:r w:rsidRPr="00C4712A">
              <w:rPr>
                <w:sz w:val="20"/>
                <w:szCs w:val="20"/>
              </w:rPr>
              <w:t>% of total above forecast</w:t>
            </w:r>
          </w:p>
        </w:tc>
        <w:tc>
          <w:tcPr>
            <w:tcW w:w="1571" w:type="dxa"/>
            <w:noWrap/>
            <w:vAlign w:val="center"/>
          </w:tcPr>
          <w:p w:rsidR="00C21CBD" w:rsidRDefault="00C21CBD" w:rsidP="004A364A">
            <w:pPr>
              <w:spacing w:after="0" w:line="240" w:lineRule="auto"/>
              <w:jc w:val="center"/>
              <w:rPr>
                <w:rFonts w:cs="Arial"/>
                <w:sz w:val="20"/>
                <w:szCs w:val="20"/>
              </w:rPr>
            </w:pPr>
            <w:r>
              <w:rPr>
                <w:rFonts w:cs="Arial"/>
                <w:sz w:val="20"/>
                <w:szCs w:val="20"/>
              </w:rPr>
              <w:t>3</w:t>
            </w:r>
          </w:p>
        </w:tc>
        <w:tc>
          <w:tcPr>
            <w:tcW w:w="1572" w:type="dxa"/>
            <w:noWrap/>
            <w:vAlign w:val="center"/>
          </w:tcPr>
          <w:p w:rsidR="00C21CBD" w:rsidRDefault="00C21CBD" w:rsidP="004A364A">
            <w:pPr>
              <w:spacing w:after="0" w:line="240" w:lineRule="auto"/>
              <w:jc w:val="center"/>
              <w:rPr>
                <w:rFonts w:cs="Arial"/>
                <w:sz w:val="20"/>
                <w:szCs w:val="20"/>
              </w:rPr>
            </w:pPr>
            <w:r>
              <w:rPr>
                <w:rFonts w:cs="Arial"/>
                <w:sz w:val="20"/>
                <w:szCs w:val="20"/>
              </w:rPr>
              <w:t>20</w:t>
            </w:r>
          </w:p>
        </w:tc>
        <w:tc>
          <w:tcPr>
            <w:tcW w:w="1572" w:type="dxa"/>
            <w:noWrap/>
            <w:vAlign w:val="center"/>
          </w:tcPr>
          <w:p w:rsidR="00C21CBD" w:rsidRDefault="00C21CBD" w:rsidP="004A364A">
            <w:pPr>
              <w:spacing w:after="0" w:line="240" w:lineRule="auto"/>
              <w:jc w:val="center"/>
              <w:rPr>
                <w:rFonts w:cs="Arial"/>
                <w:sz w:val="20"/>
                <w:szCs w:val="20"/>
              </w:rPr>
            </w:pPr>
            <w:r>
              <w:rPr>
                <w:rFonts w:cs="Arial"/>
                <w:sz w:val="20"/>
                <w:szCs w:val="20"/>
              </w:rPr>
              <w:t>0</w:t>
            </w:r>
          </w:p>
        </w:tc>
        <w:tc>
          <w:tcPr>
            <w:tcW w:w="1572" w:type="dxa"/>
            <w:vAlign w:val="center"/>
          </w:tcPr>
          <w:p w:rsidR="00C21CBD" w:rsidRDefault="00C21CBD" w:rsidP="004A364A">
            <w:pPr>
              <w:spacing w:after="0" w:line="240" w:lineRule="auto"/>
              <w:jc w:val="center"/>
              <w:rPr>
                <w:rFonts w:cs="Arial"/>
                <w:sz w:val="20"/>
                <w:szCs w:val="20"/>
              </w:rPr>
            </w:pPr>
            <w:r>
              <w:rPr>
                <w:rFonts w:cs="Arial"/>
                <w:sz w:val="20"/>
                <w:szCs w:val="20"/>
              </w:rPr>
              <w:t>0</w:t>
            </w:r>
          </w:p>
        </w:tc>
      </w:tr>
      <w:tr w:rsidR="00C21CBD" w:rsidRPr="00C4712A" w:rsidTr="00B73C3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C21CBD" w:rsidRPr="00C4712A" w:rsidRDefault="00C21CBD" w:rsidP="006C62B7">
            <w:pPr>
              <w:spacing w:after="0" w:line="240" w:lineRule="auto"/>
              <w:rPr>
                <w:sz w:val="20"/>
                <w:szCs w:val="20"/>
              </w:rPr>
            </w:pPr>
            <w:r w:rsidRPr="00C4712A">
              <w:rPr>
                <w:sz w:val="20"/>
                <w:szCs w:val="20"/>
              </w:rPr>
              <w:t>% of total below forecast</w:t>
            </w:r>
          </w:p>
        </w:tc>
        <w:tc>
          <w:tcPr>
            <w:tcW w:w="1571" w:type="dxa"/>
            <w:noWrap/>
            <w:vAlign w:val="center"/>
          </w:tcPr>
          <w:p w:rsidR="00C21CBD" w:rsidRDefault="00C21CBD" w:rsidP="004A364A">
            <w:pPr>
              <w:spacing w:after="0" w:line="240" w:lineRule="auto"/>
              <w:jc w:val="center"/>
              <w:rPr>
                <w:rFonts w:cs="Arial"/>
                <w:sz w:val="20"/>
                <w:szCs w:val="20"/>
              </w:rPr>
            </w:pPr>
            <w:r>
              <w:rPr>
                <w:rFonts w:cs="Arial"/>
                <w:sz w:val="20"/>
                <w:szCs w:val="20"/>
              </w:rPr>
              <w:t>70</w:t>
            </w:r>
          </w:p>
        </w:tc>
        <w:tc>
          <w:tcPr>
            <w:tcW w:w="1572" w:type="dxa"/>
            <w:noWrap/>
            <w:vAlign w:val="center"/>
          </w:tcPr>
          <w:p w:rsidR="00C21CBD" w:rsidRDefault="00C21CBD" w:rsidP="004A364A">
            <w:pPr>
              <w:spacing w:after="0" w:line="240" w:lineRule="auto"/>
              <w:jc w:val="center"/>
              <w:rPr>
                <w:rFonts w:cs="Arial"/>
                <w:sz w:val="20"/>
                <w:szCs w:val="20"/>
              </w:rPr>
            </w:pPr>
            <w:r>
              <w:rPr>
                <w:rFonts w:cs="Arial"/>
                <w:sz w:val="20"/>
                <w:szCs w:val="20"/>
              </w:rPr>
              <w:t>6</w:t>
            </w:r>
          </w:p>
        </w:tc>
        <w:tc>
          <w:tcPr>
            <w:tcW w:w="1572" w:type="dxa"/>
            <w:noWrap/>
            <w:vAlign w:val="center"/>
          </w:tcPr>
          <w:p w:rsidR="00C21CBD" w:rsidRDefault="00C21CBD" w:rsidP="004A364A">
            <w:pPr>
              <w:spacing w:after="0" w:line="240" w:lineRule="auto"/>
              <w:jc w:val="center"/>
              <w:rPr>
                <w:rFonts w:cs="Arial"/>
                <w:sz w:val="20"/>
                <w:szCs w:val="20"/>
              </w:rPr>
            </w:pPr>
            <w:r>
              <w:rPr>
                <w:rFonts w:cs="Arial"/>
                <w:sz w:val="20"/>
                <w:szCs w:val="20"/>
              </w:rPr>
              <w:t>0</w:t>
            </w:r>
          </w:p>
        </w:tc>
        <w:tc>
          <w:tcPr>
            <w:tcW w:w="1572" w:type="dxa"/>
            <w:vAlign w:val="center"/>
          </w:tcPr>
          <w:p w:rsidR="00C21CBD" w:rsidRDefault="00C21CBD" w:rsidP="004A364A">
            <w:pPr>
              <w:spacing w:after="0" w:line="240" w:lineRule="auto"/>
              <w:jc w:val="center"/>
              <w:rPr>
                <w:rFonts w:cs="Arial"/>
                <w:sz w:val="20"/>
                <w:szCs w:val="20"/>
              </w:rPr>
            </w:pPr>
            <w:r>
              <w:rPr>
                <w:rFonts w:cs="Arial"/>
                <w:sz w:val="20"/>
                <w:szCs w:val="20"/>
              </w:rPr>
              <w:t>1</w:t>
            </w:r>
          </w:p>
        </w:tc>
      </w:tr>
    </w:tbl>
    <w:p w:rsidR="00275002" w:rsidRPr="00C4712A" w:rsidRDefault="00275002" w:rsidP="00544C6F">
      <w:pPr>
        <w:spacing w:before="120" w:after="120"/>
        <w:rPr>
          <w:rFonts w:cs="Arial"/>
          <w:sz w:val="18"/>
          <w:szCs w:val="18"/>
        </w:rPr>
      </w:pPr>
      <w:r w:rsidRPr="00C4712A">
        <w:rPr>
          <w:rFonts w:cs="Arial"/>
          <w:sz w:val="18"/>
          <w:szCs w:val="18"/>
        </w:rPr>
        <w:t>Note: Due to rounding, the total may not be 100 per cent.</w:t>
      </w:r>
    </w:p>
    <w:p w:rsidR="00275002" w:rsidRPr="00C4712A" w:rsidRDefault="00275002" w:rsidP="00914A87">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6E2380" w:rsidRPr="00C4712A">
        <w:t xml:space="preserve">Figure </w:t>
      </w:r>
      <w:r w:rsidR="006E2380">
        <w:t>3</w:t>
      </w:r>
      <w:r w:rsidRPr="00C4712A">
        <w:fldChar w:fldCharType="end"/>
      </w:r>
      <w:r w:rsidRPr="00C4712A">
        <w:t xml:space="preserve"> to</w:t>
      </w:r>
      <w:r w:rsidR="00056949" w:rsidRPr="00C4712A">
        <w:t xml:space="preserve"> </w:t>
      </w:r>
      <w:r w:rsidR="00056949" w:rsidRPr="00C4712A">
        <w:fldChar w:fldCharType="begin"/>
      </w:r>
      <w:r w:rsidR="00056949" w:rsidRPr="00C4712A">
        <w:instrText xml:space="preserve"> REF _Ref433287168 \h </w:instrText>
      </w:r>
      <w:r w:rsidR="008F4C72" w:rsidRPr="00C4712A">
        <w:instrText xml:space="preserve"> \* MERGEFORMAT </w:instrText>
      </w:r>
      <w:r w:rsidR="00056949" w:rsidRPr="00C4712A">
        <w:fldChar w:fldCharType="separate"/>
      </w:r>
      <w:r w:rsidR="006E2380" w:rsidRPr="00C4712A">
        <w:t xml:space="preserve">Figure </w:t>
      </w:r>
      <w:r w:rsidR="006E2380">
        <w:rPr>
          <w:noProof/>
        </w:rPr>
        <w:t>7</w:t>
      </w:r>
      <w:r w:rsidR="00056949" w:rsidRPr="00C4712A">
        <w:fldChar w:fldCharType="end"/>
      </w:r>
      <w:r w:rsidRPr="00C4712A">
        <w:t xml:space="preserve"> show, the total generation dispatched and the amounts of capacity offered within certain price bands for each 30 minute trading interval in each region. </w:t>
      </w:r>
    </w:p>
    <w:p w:rsidR="00AF7C0E" w:rsidRPr="00C4712A" w:rsidRDefault="00AF7C0E" w:rsidP="00AF7C0E">
      <w:pPr>
        <w:pStyle w:val="AERbodytext"/>
      </w:pPr>
      <w:r>
        <w:t xml:space="preserve">South Australia’s wind generation performance this week is interesting </w:t>
      </w:r>
      <w:r w:rsidR="00CF1005">
        <w:t>as</w:t>
      </w:r>
      <w:r>
        <w:t xml:space="preserve"> there was little or no wind</w:t>
      </w:r>
      <w:r w:rsidR="00CF1005">
        <w:t xml:space="preserve"> for a number of days</w:t>
      </w:r>
      <w:r>
        <w:t>.</w:t>
      </w:r>
    </w:p>
    <w:p w:rsidR="00275002" w:rsidRPr="00C4712A" w:rsidRDefault="00275002" w:rsidP="000E2946">
      <w:pPr>
        <w:pStyle w:val="Caption"/>
      </w:pPr>
      <w:bookmarkStart w:id="13" w:name="_Ref410383507"/>
      <w:r w:rsidRPr="00C4712A">
        <w:t xml:space="preserve">Figure </w:t>
      </w:r>
      <w:fldSimple w:instr=" SEQ Figure \* ARABIC ">
        <w:r w:rsidR="006E2380">
          <w:rPr>
            <w:noProof/>
          </w:rPr>
          <w:t>3</w:t>
        </w:r>
      </w:fldSimple>
      <w:bookmarkEnd w:id="13"/>
      <w:r w:rsidRPr="00C4712A">
        <w:t>: Queensland generation and bidding patterns</w:t>
      </w:r>
    </w:p>
    <w:p w:rsidR="00FB265D" w:rsidRPr="00C4712A" w:rsidRDefault="00C21CBD" w:rsidP="00FB265D">
      <w:r w:rsidRPr="00C21CBD">
        <w:rPr>
          <w:noProof/>
          <w:lang w:eastAsia="en-AU"/>
        </w:rPr>
        <w:drawing>
          <wp:inline distT="0" distB="0" distL="0" distR="0" wp14:anchorId="4B8859FF" wp14:editId="48F15ECF">
            <wp:extent cx="5731510" cy="4116254"/>
            <wp:effectExtent l="0" t="0" r="2540" b="0"/>
            <wp:docPr id="4" name="Picture 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6254"/>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fldSimple w:instr=" SEQ Figure \* ARABIC ">
        <w:r w:rsidR="006E2380">
          <w:rPr>
            <w:noProof/>
          </w:rPr>
          <w:t>4</w:t>
        </w:r>
      </w:fldSimple>
      <w:bookmarkEnd w:id="14"/>
      <w:r w:rsidRPr="00C4712A">
        <w:t>: New South Wales generation and bidding patterns</w:t>
      </w:r>
    </w:p>
    <w:p w:rsidR="00181C46" w:rsidRPr="00C4712A" w:rsidRDefault="00C21CBD" w:rsidP="00181C46">
      <w:r w:rsidRPr="00C21CBD">
        <w:rPr>
          <w:noProof/>
          <w:lang w:eastAsia="en-AU"/>
        </w:rPr>
        <w:drawing>
          <wp:inline distT="0" distB="0" distL="0" distR="0" wp14:anchorId="6ECEF680" wp14:editId="14D37B66">
            <wp:extent cx="5731510" cy="4122649"/>
            <wp:effectExtent l="0" t="0" r="2540" b="0"/>
            <wp:docPr id="5" name="Picture 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2649"/>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6E2380">
          <w:rPr>
            <w:noProof/>
          </w:rPr>
          <w:t>5</w:t>
        </w:r>
      </w:fldSimple>
      <w:r w:rsidRPr="00C4712A">
        <w:t>: Victoria generation and bidding patterns</w:t>
      </w:r>
    </w:p>
    <w:p w:rsidR="00FB265D" w:rsidRPr="00C4712A" w:rsidRDefault="00C21CBD" w:rsidP="00FB265D">
      <w:r w:rsidRPr="00C21CBD">
        <w:rPr>
          <w:noProof/>
          <w:lang w:eastAsia="en-AU"/>
        </w:rPr>
        <w:drawing>
          <wp:inline distT="0" distB="0" distL="0" distR="0" wp14:anchorId="1031A4F1" wp14:editId="5B915D75">
            <wp:extent cx="5731510" cy="4116254"/>
            <wp:effectExtent l="0" t="0" r="2540" b="0"/>
            <wp:docPr id="10" name="Picture 10"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6254"/>
                    </a:xfrm>
                    <a:prstGeom prst="rect">
                      <a:avLst/>
                    </a:prstGeom>
                    <a:noFill/>
                    <a:ln>
                      <a:noFill/>
                    </a:ln>
                  </pic:spPr>
                </pic:pic>
              </a:graphicData>
            </a:graphic>
          </wp:inline>
        </w:drawing>
      </w:r>
    </w:p>
    <w:p w:rsidR="00275002" w:rsidRPr="00C4712A" w:rsidRDefault="00275002" w:rsidP="000E2946">
      <w:pPr>
        <w:pStyle w:val="Caption"/>
      </w:pPr>
      <w:bookmarkStart w:id="15" w:name="_Ref423965683"/>
      <w:r w:rsidRPr="00C4712A">
        <w:lastRenderedPageBreak/>
        <w:t xml:space="preserve">Figure </w:t>
      </w:r>
      <w:fldSimple w:instr=" SEQ Figure \* ARABIC ">
        <w:r w:rsidR="006E2380">
          <w:rPr>
            <w:noProof/>
          </w:rPr>
          <w:t>6</w:t>
        </w:r>
      </w:fldSimple>
      <w:bookmarkEnd w:id="15"/>
      <w:r w:rsidRPr="00C4712A">
        <w:t>: South Australia generation and bidding patterns</w:t>
      </w:r>
    </w:p>
    <w:p w:rsidR="00F019C5" w:rsidRPr="00C4712A" w:rsidRDefault="00E25F40" w:rsidP="00F019C5">
      <w:bookmarkStart w:id="16" w:name="_Ref410383520"/>
      <w:r w:rsidRPr="00E25F40">
        <w:rPr>
          <w:noProof/>
          <w:lang w:eastAsia="en-AU"/>
        </w:rPr>
        <w:drawing>
          <wp:inline distT="0" distB="0" distL="0" distR="0" wp14:anchorId="72BB3C46" wp14:editId="1404436A">
            <wp:extent cx="5731510" cy="4127584"/>
            <wp:effectExtent l="0" t="0" r="2540" b="6350"/>
            <wp:docPr id="6" name="Picture 6"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7584"/>
                    </a:xfrm>
                    <a:prstGeom prst="rect">
                      <a:avLst/>
                    </a:prstGeom>
                    <a:noFill/>
                    <a:ln>
                      <a:noFill/>
                    </a:ln>
                  </pic:spPr>
                </pic:pic>
              </a:graphicData>
            </a:graphic>
          </wp:inline>
        </w:drawing>
      </w:r>
    </w:p>
    <w:p w:rsidR="00275002" w:rsidRPr="00C4712A" w:rsidRDefault="00275002" w:rsidP="000E2946">
      <w:pPr>
        <w:pStyle w:val="Caption"/>
      </w:pPr>
      <w:bookmarkStart w:id="17" w:name="_Ref433287168"/>
      <w:r w:rsidRPr="00C4712A">
        <w:t xml:space="preserve">Figure </w:t>
      </w:r>
      <w:fldSimple w:instr=" SEQ Figure \* ARABIC ">
        <w:r w:rsidR="006E2380">
          <w:rPr>
            <w:noProof/>
          </w:rPr>
          <w:t>7</w:t>
        </w:r>
      </w:fldSimple>
      <w:bookmarkEnd w:id="16"/>
      <w:bookmarkEnd w:id="17"/>
      <w:r w:rsidRPr="00C4712A">
        <w:t>: Tasmania generation and bidding patterns</w:t>
      </w:r>
    </w:p>
    <w:p w:rsidR="00181C46" w:rsidRPr="00C4712A" w:rsidRDefault="001A3CDA" w:rsidP="00181C46">
      <w:r w:rsidRPr="001A3CDA">
        <w:rPr>
          <w:noProof/>
          <w:lang w:eastAsia="en-AU"/>
        </w:rPr>
        <w:drawing>
          <wp:inline distT="0" distB="0" distL="0" distR="0" wp14:anchorId="029B0843" wp14:editId="1098A226">
            <wp:extent cx="5731510" cy="4116254"/>
            <wp:effectExtent l="0" t="0" r="2540" b="0"/>
            <wp:docPr id="11" name="Picture 11"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6254"/>
                    </a:xfrm>
                    <a:prstGeom prst="rect">
                      <a:avLst/>
                    </a:prstGeom>
                    <a:noFill/>
                    <a:ln>
                      <a:noFill/>
                    </a:ln>
                  </pic:spPr>
                </pic:pic>
              </a:graphicData>
            </a:graphic>
          </wp:inline>
        </w:drawing>
      </w:r>
    </w:p>
    <w:p w:rsidR="00E43848" w:rsidRPr="00C4712A" w:rsidRDefault="00E43848" w:rsidP="00AF7C0E">
      <w:pPr>
        <w:pStyle w:val="AERbodytext"/>
      </w:pPr>
    </w:p>
    <w:p w:rsidR="00275002" w:rsidRPr="00C4712A" w:rsidRDefault="00275002" w:rsidP="00914A87">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1A3CDA" w:rsidRPr="001A3CDA" w:rsidRDefault="001A3CDA" w:rsidP="001A3CDA">
      <w:pPr>
        <w:spacing w:before="0" w:line="240" w:lineRule="auto"/>
        <w:jc w:val="both"/>
        <w:rPr>
          <w:rFonts w:eastAsia="Times New Roman" w:cs="Arial"/>
          <w:bCs/>
          <w:lang w:eastAsia="en-AU"/>
        </w:rPr>
      </w:pPr>
      <w:r w:rsidRPr="001A3CDA">
        <w:rPr>
          <w:rFonts w:eastAsia="Times New Roman" w:cs="Arial"/>
          <w:bCs/>
          <w:lang w:eastAsia="en-AU"/>
        </w:rPr>
        <w:t>The total cost of FCAS on the mainland for the week was $24</w:t>
      </w:r>
      <w:r w:rsidR="004A364A">
        <w:rPr>
          <w:rFonts w:eastAsia="Times New Roman" w:cs="Arial"/>
          <w:bCs/>
          <w:lang w:eastAsia="en-AU"/>
        </w:rPr>
        <w:t> </w:t>
      </w:r>
      <w:r w:rsidRPr="001A3CDA">
        <w:rPr>
          <w:rFonts w:eastAsia="Times New Roman" w:cs="Arial"/>
          <w:bCs/>
          <w:lang w:eastAsia="en-AU"/>
        </w:rPr>
        <w:t>9000 or less than 1 per cent of energy turnover on the mainland.</w:t>
      </w:r>
    </w:p>
    <w:p w:rsidR="000576CD" w:rsidRPr="00C4712A" w:rsidRDefault="001A3CDA" w:rsidP="00AF7C0E">
      <w:pPr>
        <w:pStyle w:val="AERbodytext"/>
      </w:pPr>
      <w:r w:rsidRPr="001A3CDA">
        <w:t xml:space="preserve">The total cost of FCAS in Tasmania for the </w:t>
      </w:r>
      <w:r>
        <w:t>week was $32</w:t>
      </w:r>
      <w:r w:rsidR="004A364A">
        <w:t> </w:t>
      </w:r>
      <w:r>
        <w:t xml:space="preserve">5500 or </w:t>
      </w:r>
      <w:r w:rsidR="004A364A">
        <w:t>around</w:t>
      </w:r>
      <w:r>
        <w:t xml:space="preserve"> 1.5</w:t>
      </w:r>
      <w:r w:rsidRPr="001A3CDA">
        <w:t xml:space="preserve"> per cent of energy turnover in Tasmania.</w:t>
      </w:r>
      <w:r w:rsidR="000576CD" w:rsidRPr="000576CD">
        <w:tab/>
      </w:r>
    </w:p>
    <w:bookmarkStart w:id="18" w:name="_Ref410383413"/>
    <w:p w:rsidR="00F3590E" w:rsidRPr="00C4712A" w:rsidRDefault="00F3590E" w:rsidP="00AF7C0E">
      <w:pPr>
        <w:pStyle w:val="AERbodytext"/>
      </w:pPr>
      <w:r w:rsidRPr="00C4712A">
        <w:fldChar w:fldCharType="begin"/>
      </w:r>
      <w:r w:rsidRPr="00C4712A">
        <w:instrText xml:space="preserve"> REF _Ref418082853 \h </w:instrText>
      </w:r>
      <w:r w:rsidR="00215E19" w:rsidRPr="00C4712A">
        <w:instrText xml:space="preserve"> \* MERGEFORMAT </w:instrText>
      </w:r>
      <w:r w:rsidRPr="00C4712A">
        <w:fldChar w:fldCharType="separate"/>
      </w:r>
      <w:r w:rsidR="006E2380" w:rsidRPr="00C4712A">
        <w:t xml:space="preserve">Figure </w:t>
      </w:r>
      <w:r w:rsidR="006E2380">
        <w:t>8</w:t>
      </w:r>
      <w:r w:rsidRPr="00C4712A">
        <w:fldChar w:fldCharType="end"/>
      </w:r>
      <w:r w:rsidRPr="00C4712A">
        <w:t xml:space="preserve"> shows the daily breakdown of cost for each FCAS for the NEM, as well as the average cost since the beginning of the previous financial year. </w:t>
      </w:r>
    </w:p>
    <w:p w:rsidR="00275002" w:rsidRPr="00C4712A" w:rsidRDefault="00275002" w:rsidP="000E2946">
      <w:pPr>
        <w:pStyle w:val="Caption"/>
      </w:pPr>
      <w:bookmarkStart w:id="19" w:name="_Ref418082853"/>
      <w:r w:rsidRPr="00C4712A">
        <w:t xml:space="preserve">Figure </w:t>
      </w:r>
      <w:fldSimple w:instr=" SEQ Figure \* ARABIC ">
        <w:r w:rsidR="006E2380">
          <w:rPr>
            <w:noProof/>
          </w:rPr>
          <w:t>8</w:t>
        </w:r>
      </w:fldSimple>
      <w:bookmarkEnd w:id="18"/>
      <w:bookmarkEnd w:id="19"/>
      <w:r w:rsidRPr="00C4712A">
        <w:t>: Daily frequency control ancillary service cost</w:t>
      </w:r>
    </w:p>
    <w:p w:rsidR="005A6CB0" w:rsidRPr="00C4712A" w:rsidRDefault="001A3CDA" w:rsidP="005A6CB0">
      <w:r w:rsidRPr="001A3CDA">
        <w:rPr>
          <w:noProof/>
          <w:lang w:eastAsia="en-AU"/>
        </w:rPr>
        <w:drawing>
          <wp:inline distT="0" distB="0" distL="0" distR="0" wp14:anchorId="4A913AF0" wp14:editId="408EDD55">
            <wp:extent cx="5731510" cy="2895456"/>
            <wp:effectExtent l="0" t="0" r="2540" b="635"/>
            <wp:docPr id="14" name="Picture 14"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5456"/>
                    </a:xfrm>
                    <a:prstGeom prst="rect">
                      <a:avLst/>
                    </a:prstGeom>
                    <a:noFill/>
                    <a:ln>
                      <a:noFill/>
                    </a:ln>
                  </pic:spPr>
                </pic:pic>
              </a:graphicData>
            </a:graphic>
          </wp:inline>
        </w:drawing>
      </w:r>
    </w:p>
    <w:p w:rsidR="00CF1005" w:rsidRDefault="00CF1005" w:rsidP="00950B15">
      <w:pPr>
        <w:pStyle w:val="AERHeading1"/>
        <w:keepNext/>
        <w:rPr>
          <w:rFonts w:cs="Arial"/>
        </w:rPr>
      </w:pPr>
    </w:p>
    <w:p w:rsidR="00CF1005" w:rsidRDefault="00CF1005" w:rsidP="00950B15">
      <w:pPr>
        <w:pStyle w:val="AERHeading1"/>
        <w:keepNext/>
        <w:rPr>
          <w:rFonts w:cs="Arial"/>
        </w:rPr>
      </w:pPr>
    </w:p>
    <w:p w:rsidR="00950B15" w:rsidRPr="00C4712A" w:rsidRDefault="00950B15" w:rsidP="00950B15">
      <w:pPr>
        <w:pStyle w:val="AERHeading1"/>
        <w:keepNext/>
        <w:rPr>
          <w:rFonts w:cs="Arial"/>
        </w:rPr>
      </w:pPr>
      <w:r w:rsidRPr="00C4712A">
        <w:rPr>
          <w:rFonts w:cs="Arial"/>
        </w:rPr>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E03725" w:rsidRDefault="001A3CDA" w:rsidP="00AF7C0E">
      <w:pPr>
        <w:pStyle w:val="AERHeading3"/>
        <w:keepNext/>
      </w:pPr>
      <w:r>
        <w:t xml:space="preserve">South Australia </w:t>
      </w:r>
    </w:p>
    <w:p w:rsidR="002C341F" w:rsidRPr="001B684F" w:rsidRDefault="00E03725" w:rsidP="00AF7C0E">
      <w:pPr>
        <w:pStyle w:val="AERbodytext"/>
        <w:rPr>
          <w:b/>
        </w:rPr>
      </w:pPr>
      <w:r w:rsidRPr="00E03725">
        <w:t>There was one occasion where the spot price in South Australia was greater than three times the South Australia weekly average price of $65/MWh and above $250/MWh.</w:t>
      </w:r>
    </w:p>
    <w:p w:rsidR="002C341F" w:rsidRDefault="00E03725" w:rsidP="002C341F">
      <w:pPr>
        <w:pStyle w:val="Caption"/>
        <w:rPr>
          <w:rFonts w:eastAsia="Times New Roman" w:cs="Times New Roman"/>
          <w:color w:val="51626F"/>
          <w:szCs w:val="20"/>
        </w:rPr>
      </w:pPr>
      <w:r>
        <w:rPr>
          <w:rFonts w:eastAsia="Times New Roman" w:cs="Times New Roman"/>
          <w:color w:val="51626F"/>
          <w:szCs w:val="20"/>
        </w:rPr>
        <w:t>Thursday, 21</w:t>
      </w:r>
      <w:r w:rsidR="002C341F">
        <w:rPr>
          <w:rFonts w:eastAsia="Times New Roman" w:cs="Times New Roman"/>
          <w:color w:val="51626F"/>
          <w:szCs w:val="20"/>
        </w:rPr>
        <w:t xml:space="preserve"> January</w:t>
      </w:r>
    </w:p>
    <w:p w:rsidR="002C341F" w:rsidRPr="009C7E88" w:rsidRDefault="002C341F" w:rsidP="002C341F">
      <w:pPr>
        <w:pStyle w:val="Caption"/>
      </w:pPr>
      <w:r>
        <w:t xml:space="preserve">Table </w:t>
      </w:r>
      <w:r w:rsidRPr="002C341F">
        <w:t>3:</w:t>
      </w:r>
      <w:r w:rsidRPr="009C7E88">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2C341F" w:rsidRPr="009C7E88" w:rsidTr="00C24398">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2C341F" w:rsidRPr="009C7E88" w:rsidRDefault="002C341F" w:rsidP="00C24398">
            <w:pPr>
              <w:pStyle w:val="TableHeading"/>
              <w:jc w:val="center"/>
              <w:rPr>
                <w:rFonts w:cs="Arial"/>
                <w:sz w:val="20"/>
                <w:szCs w:val="20"/>
              </w:rPr>
            </w:pPr>
            <w:r w:rsidRPr="009C7E88">
              <w:rPr>
                <w:rFonts w:cs="Arial"/>
                <w:sz w:val="20"/>
                <w:szCs w:val="20"/>
              </w:rPr>
              <w:t xml:space="preserve">Time </w:t>
            </w:r>
          </w:p>
        </w:tc>
        <w:tc>
          <w:tcPr>
            <w:tcW w:w="1615" w:type="pct"/>
            <w:gridSpan w:val="3"/>
            <w:hideMark/>
          </w:tcPr>
          <w:p w:rsidR="002C341F" w:rsidRPr="009C7E88" w:rsidRDefault="002C341F" w:rsidP="00C24398">
            <w:pPr>
              <w:pStyle w:val="TableHeading"/>
              <w:jc w:val="center"/>
              <w:rPr>
                <w:rFonts w:cs="Arial"/>
                <w:sz w:val="20"/>
                <w:szCs w:val="20"/>
              </w:rPr>
            </w:pPr>
            <w:r w:rsidRPr="009C7E88">
              <w:rPr>
                <w:rFonts w:cs="Arial"/>
                <w:sz w:val="20"/>
                <w:szCs w:val="20"/>
              </w:rPr>
              <w:t>Price ($/MWh)</w:t>
            </w:r>
          </w:p>
        </w:tc>
        <w:tc>
          <w:tcPr>
            <w:tcW w:w="1422" w:type="pct"/>
            <w:gridSpan w:val="3"/>
            <w:hideMark/>
          </w:tcPr>
          <w:p w:rsidR="002C341F" w:rsidRPr="009C7E88" w:rsidRDefault="002C341F" w:rsidP="00C24398">
            <w:pPr>
              <w:pStyle w:val="TableHeading"/>
              <w:jc w:val="center"/>
              <w:rPr>
                <w:rFonts w:cs="Arial"/>
                <w:sz w:val="20"/>
                <w:szCs w:val="20"/>
              </w:rPr>
            </w:pPr>
            <w:r w:rsidRPr="009C7E88">
              <w:rPr>
                <w:rFonts w:cs="Arial"/>
                <w:sz w:val="20"/>
                <w:szCs w:val="20"/>
              </w:rPr>
              <w:t>Demand (MW)</w:t>
            </w:r>
          </w:p>
        </w:tc>
        <w:tc>
          <w:tcPr>
            <w:tcW w:w="1429" w:type="pct"/>
            <w:gridSpan w:val="3"/>
            <w:hideMark/>
          </w:tcPr>
          <w:p w:rsidR="002C341F" w:rsidRPr="009C7E88" w:rsidRDefault="002C341F" w:rsidP="00C24398">
            <w:pPr>
              <w:pStyle w:val="TableHeading"/>
              <w:jc w:val="center"/>
              <w:rPr>
                <w:rFonts w:cs="Arial"/>
                <w:sz w:val="20"/>
                <w:szCs w:val="20"/>
              </w:rPr>
            </w:pPr>
            <w:r w:rsidRPr="009C7E88">
              <w:rPr>
                <w:rFonts w:cs="Arial"/>
                <w:sz w:val="20"/>
                <w:szCs w:val="20"/>
              </w:rPr>
              <w:t>Availability (MW)</w:t>
            </w:r>
          </w:p>
        </w:tc>
      </w:tr>
      <w:tr w:rsidR="002C341F" w:rsidRPr="009C7E88" w:rsidTr="00C24398">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 </w:t>
            </w:r>
          </w:p>
        </w:tc>
        <w:tc>
          <w:tcPr>
            <w:tcW w:w="611"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12 hr forecast</w:t>
            </w:r>
          </w:p>
        </w:tc>
        <w:tc>
          <w:tcPr>
            <w:tcW w:w="418"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12 hr forecast</w:t>
            </w:r>
          </w:p>
        </w:tc>
        <w:tc>
          <w:tcPr>
            <w:tcW w:w="425"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2C341F" w:rsidRPr="009C7E88" w:rsidRDefault="002C341F" w:rsidP="00C24398">
            <w:pPr>
              <w:pStyle w:val="tableheadingline2"/>
              <w:rPr>
                <w:rFonts w:cs="Arial"/>
                <w:sz w:val="20"/>
                <w:szCs w:val="20"/>
              </w:rPr>
            </w:pPr>
            <w:r w:rsidRPr="009C7E88">
              <w:rPr>
                <w:rFonts w:cs="Arial"/>
                <w:sz w:val="20"/>
                <w:szCs w:val="20"/>
              </w:rPr>
              <w:t>12 hr forecast</w:t>
            </w:r>
          </w:p>
        </w:tc>
      </w:tr>
      <w:tr w:rsidR="00E03725" w:rsidRPr="00E15B15" w:rsidTr="00E03725">
        <w:trPr>
          <w:trHeight w:val="510"/>
        </w:trPr>
        <w:tc>
          <w:tcPr>
            <w:tcW w:w="533" w:type="pct"/>
            <w:vAlign w:val="center"/>
          </w:tcPr>
          <w:p w:rsidR="00E03725" w:rsidRPr="00E03725" w:rsidRDefault="00E03725" w:rsidP="004A364A">
            <w:pPr>
              <w:jc w:val="center"/>
              <w:textAlignment w:val="center"/>
              <w:rPr>
                <w:rFonts w:cs="Arial"/>
                <w:b/>
                <w:color w:val="000000"/>
                <w:szCs w:val="18"/>
              </w:rPr>
            </w:pPr>
            <w:r w:rsidRPr="00E03725">
              <w:rPr>
                <w:rFonts w:cs="Arial"/>
                <w:b/>
                <w:color w:val="000000"/>
                <w:szCs w:val="18"/>
              </w:rPr>
              <w:t>7 PM</w:t>
            </w:r>
          </w:p>
        </w:tc>
        <w:tc>
          <w:tcPr>
            <w:tcW w:w="611" w:type="pct"/>
          </w:tcPr>
          <w:p w:rsidR="00E03725" w:rsidRPr="00E03725" w:rsidRDefault="00E03725" w:rsidP="00E03725">
            <w:pPr>
              <w:jc w:val="center"/>
              <w:textAlignment w:val="center"/>
              <w:rPr>
                <w:rFonts w:cs="Arial"/>
                <w:color w:val="000000"/>
                <w:szCs w:val="18"/>
              </w:rPr>
            </w:pPr>
            <w:r w:rsidRPr="00E03725">
              <w:rPr>
                <w:rFonts w:cs="Arial"/>
                <w:color w:val="000000"/>
                <w:szCs w:val="18"/>
              </w:rPr>
              <w:t>251.34</w:t>
            </w:r>
          </w:p>
        </w:tc>
        <w:tc>
          <w:tcPr>
            <w:tcW w:w="502" w:type="pct"/>
          </w:tcPr>
          <w:p w:rsidR="00E03725" w:rsidRPr="00E03725" w:rsidRDefault="00E03725" w:rsidP="00E03725">
            <w:pPr>
              <w:jc w:val="center"/>
              <w:textAlignment w:val="center"/>
              <w:rPr>
                <w:rFonts w:cs="Arial"/>
                <w:color w:val="000000"/>
                <w:szCs w:val="18"/>
              </w:rPr>
            </w:pPr>
            <w:r w:rsidRPr="00E03725">
              <w:rPr>
                <w:rFonts w:cs="Arial"/>
                <w:color w:val="000000"/>
                <w:szCs w:val="18"/>
              </w:rPr>
              <w:t>350.99</w:t>
            </w:r>
          </w:p>
        </w:tc>
        <w:tc>
          <w:tcPr>
            <w:tcW w:w="502" w:type="pct"/>
          </w:tcPr>
          <w:p w:rsidR="00E03725" w:rsidRPr="00E03725" w:rsidRDefault="00E03725" w:rsidP="00E03725">
            <w:pPr>
              <w:jc w:val="center"/>
              <w:textAlignment w:val="center"/>
              <w:rPr>
                <w:rFonts w:cs="Arial"/>
                <w:color w:val="000000"/>
                <w:szCs w:val="18"/>
              </w:rPr>
            </w:pPr>
            <w:r w:rsidRPr="00E03725">
              <w:rPr>
                <w:rFonts w:cs="Arial"/>
                <w:color w:val="000000"/>
                <w:szCs w:val="18"/>
              </w:rPr>
              <w:t>247.77</w:t>
            </w:r>
          </w:p>
        </w:tc>
        <w:tc>
          <w:tcPr>
            <w:tcW w:w="418" w:type="pct"/>
          </w:tcPr>
          <w:p w:rsidR="00E03725" w:rsidRPr="00E03725" w:rsidRDefault="00E03725" w:rsidP="00E03725">
            <w:pPr>
              <w:jc w:val="center"/>
              <w:textAlignment w:val="center"/>
              <w:rPr>
                <w:rFonts w:cs="Arial"/>
                <w:color w:val="000000"/>
                <w:szCs w:val="18"/>
              </w:rPr>
            </w:pPr>
            <w:r w:rsidRPr="00E03725">
              <w:rPr>
                <w:rFonts w:cs="Arial"/>
                <w:color w:val="000000"/>
                <w:szCs w:val="18"/>
              </w:rPr>
              <w:t>2444</w:t>
            </w:r>
          </w:p>
        </w:tc>
        <w:tc>
          <w:tcPr>
            <w:tcW w:w="502" w:type="pct"/>
          </w:tcPr>
          <w:p w:rsidR="00E03725" w:rsidRPr="00E03725" w:rsidRDefault="00E03725" w:rsidP="00E03725">
            <w:pPr>
              <w:jc w:val="center"/>
              <w:textAlignment w:val="center"/>
              <w:rPr>
                <w:rFonts w:cs="Arial"/>
                <w:color w:val="000000"/>
                <w:szCs w:val="18"/>
              </w:rPr>
            </w:pPr>
            <w:r w:rsidRPr="00E03725">
              <w:rPr>
                <w:rFonts w:cs="Arial"/>
                <w:color w:val="000000"/>
                <w:szCs w:val="18"/>
              </w:rPr>
              <w:t>2332</w:t>
            </w:r>
          </w:p>
        </w:tc>
        <w:tc>
          <w:tcPr>
            <w:tcW w:w="502" w:type="pct"/>
          </w:tcPr>
          <w:p w:rsidR="00E03725" w:rsidRPr="00E03725" w:rsidRDefault="00E03725" w:rsidP="00E03725">
            <w:pPr>
              <w:jc w:val="center"/>
              <w:textAlignment w:val="center"/>
              <w:rPr>
                <w:rFonts w:cs="Arial"/>
                <w:color w:val="000000"/>
                <w:szCs w:val="18"/>
              </w:rPr>
            </w:pPr>
            <w:r w:rsidRPr="00E03725">
              <w:rPr>
                <w:rFonts w:cs="Arial"/>
                <w:color w:val="000000"/>
                <w:szCs w:val="18"/>
              </w:rPr>
              <w:t>2335</w:t>
            </w:r>
          </w:p>
        </w:tc>
        <w:tc>
          <w:tcPr>
            <w:tcW w:w="425" w:type="pct"/>
          </w:tcPr>
          <w:p w:rsidR="00E03725" w:rsidRPr="00E03725" w:rsidRDefault="00E03725" w:rsidP="00E03725">
            <w:pPr>
              <w:jc w:val="center"/>
              <w:textAlignment w:val="center"/>
              <w:rPr>
                <w:rFonts w:cs="Arial"/>
                <w:color w:val="000000"/>
                <w:szCs w:val="18"/>
              </w:rPr>
            </w:pPr>
            <w:r w:rsidRPr="00E03725">
              <w:rPr>
                <w:rFonts w:cs="Arial"/>
                <w:color w:val="000000"/>
                <w:szCs w:val="18"/>
              </w:rPr>
              <w:t>2783</w:t>
            </w:r>
          </w:p>
        </w:tc>
        <w:tc>
          <w:tcPr>
            <w:tcW w:w="502" w:type="pct"/>
          </w:tcPr>
          <w:p w:rsidR="00E03725" w:rsidRPr="00E03725" w:rsidRDefault="00E03725" w:rsidP="00E03725">
            <w:pPr>
              <w:jc w:val="center"/>
              <w:textAlignment w:val="center"/>
              <w:rPr>
                <w:rFonts w:cs="Arial"/>
                <w:color w:val="000000"/>
                <w:szCs w:val="18"/>
              </w:rPr>
            </w:pPr>
            <w:r w:rsidRPr="00E03725">
              <w:rPr>
                <w:rFonts w:cs="Arial"/>
                <w:color w:val="000000"/>
                <w:szCs w:val="18"/>
              </w:rPr>
              <w:t>2735</w:t>
            </w:r>
          </w:p>
        </w:tc>
        <w:tc>
          <w:tcPr>
            <w:tcW w:w="502" w:type="pct"/>
          </w:tcPr>
          <w:p w:rsidR="00E03725" w:rsidRPr="00E03725" w:rsidRDefault="00E03725" w:rsidP="00E03725">
            <w:pPr>
              <w:jc w:val="center"/>
              <w:textAlignment w:val="center"/>
              <w:rPr>
                <w:rFonts w:cs="Arial"/>
                <w:color w:val="000000"/>
                <w:szCs w:val="18"/>
              </w:rPr>
            </w:pPr>
            <w:r w:rsidRPr="00E03725">
              <w:rPr>
                <w:rFonts w:cs="Arial"/>
                <w:color w:val="000000"/>
                <w:szCs w:val="18"/>
              </w:rPr>
              <w:t>3190</w:t>
            </w:r>
          </w:p>
        </w:tc>
      </w:tr>
    </w:tbl>
    <w:p w:rsidR="006D1D94" w:rsidRDefault="006D1D94" w:rsidP="00AF7C0E">
      <w:pPr>
        <w:pStyle w:val="AERbodytext"/>
      </w:pPr>
      <w:r>
        <w:t>Condi</w:t>
      </w:r>
      <w:r w:rsidR="004B5B3F">
        <w:t>tions</w:t>
      </w:r>
      <w:r w:rsidR="00270AF4">
        <w:t xml:space="preserve"> at the time saw demand approximately </w:t>
      </w:r>
      <w:r w:rsidR="00A45EAC">
        <w:t>100 </w:t>
      </w:r>
      <w:r w:rsidR="00270AF4">
        <w:t>MW above forecast four hours ahead and availability was close to forecast four hours ahead</w:t>
      </w:r>
      <w:r w:rsidR="00A1210E">
        <w:t>.</w:t>
      </w:r>
    </w:p>
    <w:p w:rsidR="009456DC" w:rsidRDefault="004A1061" w:rsidP="00AF7C0E">
      <w:pPr>
        <w:pStyle w:val="AERbodytext"/>
      </w:pPr>
      <w:r>
        <w:t xml:space="preserve">At around </w:t>
      </w:r>
      <w:r w:rsidR="00A45EAC">
        <w:t>3 </w:t>
      </w:r>
      <w:r>
        <w:t xml:space="preserve">pm, </w:t>
      </w:r>
      <w:r w:rsidR="00A45EAC">
        <w:t xml:space="preserve">AGL </w:t>
      </w:r>
      <w:r>
        <w:t>r</w:t>
      </w:r>
      <w:r w:rsidR="009456DC">
        <w:t xml:space="preserve">ebid </w:t>
      </w:r>
      <w:r>
        <w:t xml:space="preserve">approximately </w:t>
      </w:r>
      <w:r w:rsidR="00A45EAC">
        <w:t>160 </w:t>
      </w:r>
      <w:r>
        <w:t>MW</w:t>
      </w:r>
      <w:r w:rsidR="009456DC">
        <w:t xml:space="preserve"> </w:t>
      </w:r>
      <w:r>
        <w:t xml:space="preserve">of </w:t>
      </w:r>
      <w:r w:rsidR="009456DC">
        <w:t xml:space="preserve">available capacity at Torrens </w:t>
      </w:r>
      <w:r w:rsidR="005A5657">
        <w:t xml:space="preserve">Island </w:t>
      </w:r>
      <w:r w:rsidR="009456DC">
        <w:t>B from prices above $300</w:t>
      </w:r>
      <w:r w:rsidR="005A5657">
        <w:t>/</w:t>
      </w:r>
      <w:r w:rsidR="009456DC">
        <w:t>MWh</w:t>
      </w:r>
      <w:r w:rsidR="00A575E8">
        <w:t xml:space="preserve"> to</w:t>
      </w:r>
      <w:r w:rsidR="009456DC">
        <w:t xml:space="preserve"> less than $65/MWh</w:t>
      </w:r>
      <w:r>
        <w:t xml:space="preserve">. </w:t>
      </w:r>
      <w:r w:rsidR="005A5657">
        <w:t>This resulted</w:t>
      </w:r>
      <w:r w:rsidR="00783D4E">
        <w:t xml:space="preserve"> in</w:t>
      </w:r>
      <w:r w:rsidR="005A5657">
        <w:t xml:space="preserve"> slightly lower prices than forecast </w:t>
      </w:r>
      <w:bookmarkStart w:id="20" w:name="_GoBack"/>
      <w:bookmarkEnd w:id="20"/>
      <w:r w:rsidR="005A5657">
        <w:t>four hours ahead</w:t>
      </w:r>
      <w:r>
        <w:t xml:space="preserve">.  </w:t>
      </w:r>
    </w:p>
    <w:bookmarkEnd w:id="0"/>
    <w:bookmarkEnd w:id="1"/>
    <w:bookmarkEnd w:id="2"/>
    <w:bookmarkEnd w:id="3"/>
    <w:bookmarkEnd w:id="4"/>
    <w:bookmarkEnd w:id="5"/>
    <w:p w:rsidR="00275002" w:rsidRPr="009064FC" w:rsidRDefault="00275002" w:rsidP="009064FC">
      <w:pPr>
        <w:pStyle w:val="Heading2"/>
      </w:pPr>
      <w:r w:rsidRPr="0031019A">
        <w:t>Financial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6E2380">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6E2380">
          <w:rPr>
            <w:noProof/>
          </w:rPr>
          <w:t>9</w:t>
        </w:r>
      </w:fldSimple>
      <w:bookmarkEnd w:id="21"/>
      <w:r w:rsidR="002515C3">
        <w:t>:</w:t>
      </w:r>
      <w:r>
        <w:t xml:space="preserve"> </w:t>
      </w:r>
      <w:r w:rsidRPr="007A6ACB">
        <w:t>Quarterly base future prices Q</w:t>
      </w:r>
      <w:r w:rsidR="00C4712A">
        <w:t>1 2016</w:t>
      </w:r>
      <w:r w:rsidRPr="007A6ACB">
        <w:t xml:space="preserve"> – Q</w:t>
      </w:r>
      <w:r w:rsidR="00C4712A">
        <w:t>4</w:t>
      </w:r>
      <w:r w:rsidRPr="007A6ACB">
        <w:t xml:space="preserve"> 201</w:t>
      </w:r>
      <w:r w:rsidR="00F87EBA">
        <w:t>9</w:t>
      </w:r>
    </w:p>
    <w:p w:rsidR="00CA0ECB" w:rsidRDefault="001A3CDA" w:rsidP="00783D4E">
      <w:pPr>
        <w:spacing w:before="0" w:after="120" w:line="240" w:lineRule="auto"/>
      </w:pPr>
      <w:r w:rsidRPr="001A3CDA">
        <w:rPr>
          <w:noProof/>
          <w:lang w:eastAsia="en-AU"/>
        </w:rPr>
        <w:drawing>
          <wp:inline distT="0" distB="0" distL="0" distR="0" wp14:anchorId="7AFBA2F6" wp14:editId="22A7A13E">
            <wp:extent cx="5585076" cy="2811587"/>
            <wp:effectExtent l="0" t="0" r="0" b="8255"/>
            <wp:docPr id="21" name="Picture 21"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0334" cy="2809200"/>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Default="00275002" w:rsidP="00AF7C0E">
      <w:pPr>
        <w:pStyle w:val="AERbodytext"/>
      </w:pPr>
      <w:r>
        <w:lastRenderedPageBreak/>
        <w:fldChar w:fldCharType="begin"/>
      </w:r>
      <w:r>
        <w:instrText xml:space="preserve"> REF _Ref410380382 \h </w:instrText>
      </w:r>
      <w:r w:rsidR="009A3D22">
        <w:instrText xml:space="preserve"> \* MERGEFORMAT </w:instrText>
      </w:r>
      <w:r>
        <w:fldChar w:fldCharType="separate"/>
      </w:r>
      <w:r w:rsidR="006E2380">
        <w:t xml:space="preserve">Figure </w:t>
      </w:r>
      <w:r w:rsidR="006E2380">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w:t>
      </w:r>
      <w:r w:rsidR="005A5657" w:rsidRPr="0031019A">
        <w:t>South</w:t>
      </w:r>
      <w:r w:rsidR="005A5657">
        <w:t> </w:t>
      </w:r>
      <w:r w:rsidRPr="0031019A">
        <w:t xml:space="preserve">Australia is less reliable due to very low numbers of trades. </w:t>
      </w:r>
      <w:r w:rsidR="00E03725" w:rsidRPr="00AD36D0">
        <w:t>The high volume of trades in Figure 9, 10, and 11 are due to options on calendar year base load expiring on Thursday 19 November.</w:t>
      </w:r>
    </w:p>
    <w:p w:rsidR="00275002" w:rsidRDefault="00275002" w:rsidP="00783D4E">
      <w:pPr>
        <w:pStyle w:val="Caption"/>
        <w:spacing w:before="0" w:line="240" w:lineRule="auto"/>
      </w:pPr>
      <w:bookmarkStart w:id="22" w:name="_Ref410380382"/>
      <w:r>
        <w:t xml:space="preserve">Figure </w:t>
      </w:r>
      <w:fldSimple w:instr=" SEQ Figure \* ARABIC ">
        <w:r w:rsidR="006E2380">
          <w:rPr>
            <w:noProof/>
          </w:rPr>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5A5657" w:rsidP="00783D4E">
      <w:pPr>
        <w:pStyle w:val="Caption"/>
        <w:spacing w:before="0" w:line="240" w:lineRule="auto"/>
      </w:pPr>
      <w:r w:rsidRPr="005A5657">
        <w:rPr>
          <w:noProof/>
          <w:lang w:eastAsia="en-AU"/>
        </w:rPr>
        <w:drawing>
          <wp:inline distT="0" distB="0" distL="0" distR="0" wp14:anchorId="55AB41E9" wp14:editId="260C7797">
            <wp:extent cx="5731510" cy="2896952"/>
            <wp:effectExtent l="0" t="0" r="2540" b="0"/>
            <wp:docPr id="7" name="Picture 7"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6952"/>
                    </a:xfrm>
                    <a:prstGeom prst="rect">
                      <a:avLst/>
                    </a:prstGeom>
                    <a:noFill/>
                    <a:ln>
                      <a:noFill/>
                    </a:ln>
                  </pic:spPr>
                </pic:pic>
              </a:graphicData>
            </a:graphic>
          </wp:inline>
        </w:drawing>
      </w:r>
    </w:p>
    <w:p w:rsidR="00275002" w:rsidRPr="0031019A" w:rsidRDefault="00275002" w:rsidP="00783D4E">
      <w:pPr>
        <w:pStyle w:val="Source"/>
        <w:spacing w:before="0" w:after="12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6E2380">
        <w:t xml:space="preserve">Figure </w:t>
      </w:r>
      <w:r w:rsidR="006E2380">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3" w:name="_Ref428276233"/>
      <w:bookmarkStart w:id="24" w:name="_Ref410744936"/>
      <w:r>
        <w:lastRenderedPageBreak/>
        <w:t xml:space="preserve">Figure </w:t>
      </w:r>
      <w:fldSimple w:instr=" SEQ Figure \* ARABIC ">
        <w:r w:rsidR="006E2380">
          <w:rPr>
            <w:noProof/>
          </w:rPr>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AF0ED5" w:rsidP="00CB0FA5">
      <w:pPr>
        <w:spacing w:before="0" w:line="240" w:lineRule="auto"/>
      </w:pPr>
      <w:r w:rsidRPr="00AF0ED5">
        <w:rPr>
          <w:noProof/>
          <w:lang w:eastAsia="en-AU"/>
        </w:rPr>
        <w:drawing>
          <wp:inline distT="0" distB="0" distL="0" distR="0" wp14:anchorId="47549D91" wp14:editId="142DA8FB">
            <wp:extent cx="5731510" cy="2875381"/>
            <wp:effectExtent l="0" t="0" r="2540" b="1270"/>
            <wp:docPr id="23" name="Picture 23" descr="Figure 11 shows how the price for each regional Quarter 1 2016 cap contract has changed over the last 10 weeks (as well as the total number of trades each week). The closing quarter 1 2014 and quarter 1 2015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5381"/>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0D4350" w:rsidRDefault="000D4350" w:rsidP="00AF7C0E">
      <w:pPr>
        <w:pStyle w:val="AERbodytext"/>
      </w:pPr>
    </w:p>
    <w:p w:rsidR="00275002" w:rsidRPr="009F2CAC" w:rsidRDefault="00275002" w:rsidP="00783D4E">
      <w:pPr>
        <w:pStyle w:val="Heading4notnumbered"/>
      </w:pPr>
      <w:r w:rsidRPr="00035A9A">
        <w:t>Australian Energy Regulator</w:t>
      </w:r>
      <w:r w:rsidR="005B0EF5" w:rsidRPr="00035A9A">
        <w:br/>
      </w:r>
      <w:r w:rsidR="00AF0ED5">
        <w:t>February</w:t>
      </w:r>
      <w:r w:rsidR="004D5447" w:rsidRPr="00035A9A">
        <w:t xml:space="preserve"> </w:t>
      </w:r>
      <w:r w:rsidR="00C4712A">
        <w:t>2016</w:t>
      </w:r>
    </w:p>
    <w:sectPr w:rsidR="00275002" w:rsidRPr="009F2CAC" w:rsidSect="00F167CF">
      <w:footerReference w:type="even" r:id="rId26"/>
      <w:footerReference w:type="default" r:id="rId27"/>
      <w:footerReference w:type="first" r:id="rId28"/>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73" w:rsidRDefault="009A0A73" w:rsidP="004B4412">
      <w:pPr>
        <w:spacing w:before="0"/>
      </w:pPr>
      <w:r>
        <w:separator/>
      </w:r>
    </w:p>
  </w:endnote>
  <w:endnote w:type="continuationSeparator" w:id="0">
    <w:p w:rsidR="009A0A73" w:rsidRDefault="009A0A7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73" w:rsidRPr="00A91A9E" w:rsidRDefault="009A0A7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A0A73" w:rsidRDefault="009A0A73"/>
  <w:p w:rsidR="009A0A73" w:rsidRDefault="009A0A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73" w:rsidRPr="00A94D89" w:rsidRDefault="009A0A7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E2380">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73" w:rsidRPr="00A94D89" w:rsidRDefault="009A0A7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E2380">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D16/</w:t>
    </w:r>
    <w:r w:rsidR="00E91678">
      <w:rPr>
        <w:rFonts w:cs="Arial"/>
        <w:i/>
        <w:szCs w:val="18"/>
      </w:rPr>
      <w:t>12443</w:t>
    </w:r>
  </w:p>
  <w:p w:rsidR="009A0A73" w:rsidRDefault="009A0A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73" w:rsidRDefault="009A0A73" w:rsidP="004B4412">
      <w:pPr>
        <w:spacing w:before="0"/>
      </w:pPr>
      <w:r>
        <w:separator/>
      </w:r>
    </w:p>
  </w:footnote>
  <w:footnote w:type="continuationSeparator" w:id="0">
    <w:p w:rsidR="009A0A73" w:rsidRDefault="009A0A7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38E11D7"/>
    <w:multiLevelType w:val="hybridMultilevel"/>
    <w:tmpl w:val="F5463128"/>
    <w:lvl w:ilvl="0" w:tplc="A5CC2D4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3"/>
  </w:num>
  <w:num w:numId="5">
    <w:abstractNumId w:val="14"/>
  </w:num>
  <w:num w:numId="6">
    <w:abstractNumId w:val="29"/>
  </w:num>
  <w:num w:numId="7">
    <w:abstractNumId w:val="4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2"/>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1"/>
  </w:num>
  <w:num w:numId="24">
    <w:abstractNumId w:val="46"/>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5"/>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auret\Desktop\20150117 - 20150123 Electricity report\Electricity report 17 - 23 January 2016.docx"/>
  </w:docVars>
  <w:rsids>
    <w:rsidRoot w:val="00275002"/>
    <w:rsid w:val="00000BFE"/>
    <w:rsid w:val="00000CC3"/>
    <w:rsid w:val="00003169"/>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16E7"/>
    <w:rsid w:val="00033902"/>
    <w:rsid w:val="0003564D"/>
    <w:rsid w:val="0003578C"/>
    <w:rsid w:val="00035A9A"/>
    <w:rsid w:val="00040E4C"/>
    <w:rsid w:val="00041A89"/>
    <w:rsid w:val="000422AB"/>
    <w:rsid w:val="00043FA7"/>
    <w:rsid w:val="000442BA"/>
    <w:rsid w:val="00044D80"/>
    <w:rsid w:val="000452BA"/>
    <w:rsid w:val="000461E2"/>
    <w:rsid w:val="0005123C"/>
    <w:rsid w:val="00051880"/>
    <w:rsid w:val="000528FD"/>
    <w:rsid w:val="00056949"/>
    <w:rsid w:val="000576CD"/>
    <w:rsid w:val="00057973"/>
    <w:rsid w:val="00061CE2"/>
    <w:rsid w:val="00063247"/>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C8A"/>
    <w:rsid w:val="000D122C"/>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956"/>
    <w:rsid w:val="000F1D61"/>
    <w:rsid w:val="000F56F6"/>
    <w:rsid w:val="000F5855"/>
    <w:rsid w:val="000F6FA7"/>
    <w:rsid w:val="00100142"/>
    <w:rsid w:val="00105AF3"/>
    <w:rsid w:val="001107FF"/>
    <w:rsid w:val="00113AE0"/>
    <w:rsid w:val="001158FE"/>
    <w:rsid w:val="00115CCB"/>
    <w:rsid w:val="00116EB2"/>
    <w:rsid w:val="00117195"/>
    <w:rsid w:val="0012092C"/>
    <w:rsid w:val="00122831"/>
    <w:rsid w:val="001235DD"/>
    <w:rsid w:val="00124609"/>
    <w:rsid w:val="00125F4F"/>
    <w:rsid w:val="00127CAB"/>
    <w:rsid w:val="001337EF"/>
    <w:rsid w:val="00133FC8"/>
    <w:rsid w:val="00136716"/>
    <w:rsid w:val="00136A08"/>
    <w:rsid w:val="001373F1"/>
    <w:rsid w:val="001435CC"/>
    <w:rsid w:val="001450FB"/>
    <w:rsid w:val="0014511E"/>
    <w:rsid w:val="00145982"/>
    <w:rsid w:val="00145ACE"/>
    <w:rsid w:val="00145BFD"/>
    <w:rsid w:val="00151F61"/>
    <w:rsid w:val="001539E0"/>
    <w:rsid w:val="0015451B"/>
    <w:rsid w:val="00155113"/>
    <w:rsid w:val="001566F6"/>
    <w:rsid w:val="001573E4"/>
    <w:rsid w:val="00160756"/>
    <w:rsid w:val="00164FB1"/>
    <w:rsid w:val="00165247"/>
    <w:rsid w:val="00165C87"/>
    <w:rsid w:val="001666AA"/>
    <w:rsid w:val="00166BD2"/>
    <w:rsid w:val="001711CC"/>
    <w:rsid w:val="0017232E"/>
    <w:rsid w:val="00173DC1"/>
    <w:rsid w:val="00174102"/>
    <w:rsid w:val="001756AF"/>
    <w:rsid w:val="00180157"/>
    <w:rsid w:val="00181C46"/>
    <w:rsid w:val="001832C7"/>
    <w:rsid w:val="00186831"/>
    <w:rsid w:val="00186F77"/>
    <w:rsid w:val="001901A4"/>
    <w:rsid w:val="00191C6F"/>
    <w:rsid w:val="00192441"/>
    <w:rsid w:val="001926A4"/>
    <w:rsid w:val="00193ED7"/>
    <w:rsid w:val="001A2C0A"/>
    <w:rsid w:val="001A3CDA"/>
    <w:rsid w:val="001B0C3B"/>
    <w:rsid w:val="001B2363"/>
    <w:rsid w:val="001B45A0"/>
    <w:rsid w:val="001B4A7D"/>
    <w:rsid w:val="001B684F"/>
    <w:rsid w:val="001B6C15"/>
    <w:rsid w:val="001C027D"/>
    <w:rsid w:val="001C17B3"/>
    <w:rsid w:val="001C1BC0"/>
    <w:rsid w:val="001C2EE8"/>
    <w:rsid w:val="001C6748"/>
    <w:rsid w:val="001D055E"/>
    <w:rsid w:val="001D0CE3"/>
    <w:rsid w:val="001D3A5B"/>
    <w:rsid w:val="001D5BEB"/>
    <w:rsid w:val="001D60FF"/>
    <w:rsid w:val="001D7698"/>
    <w:rsid w:val="001D7FB7"/>
    <w:rsid w:val="001E01B4"/>
    <w:rsid w:val="001E14C2"/>
    <w:rsid w:val="001E2F01"/>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3300"/>
    <w:rsid w:val="0020376D"/>
    <w:rsid w:val="0020489F"/>
    <w:rsid w:val="002050F5"/>
    <w:rsid w:val="002062A9"/>
    <w:rsid w:val="002072A2"/>
    <w:rsid w:val="00207D5B"/>
    <w:rsid w:val="0021147E"/>
    <w:rsid w:val="00212D2F"/>
    <w:rsid w:val="00213CF6"/>
    <w:rsid w:val="00214FBA"/>
    <w:rsid w:val="00215E19"/>
    <w:rsid w:val="002164FB"/>
    <w:rsid w:val="00216865"/>
    <w:rsid w:val="002214D9"/>
    <w:rsid w:val="002216F5"/>
    <w:rsid w:val="00224DB9"/>
    <w:rsid w:val="002276F0"/>
    <w:rsid w:val="00227C97"/>
    <w:rsid w:val="00230D26"/>
    <w:rsid w:val="00231C73"/>
    <w:rsid w:val="00232A71"/>
    <w:rsid w:val="00237048"/>
    <w:rsid w:val="002427B3"/>
    <w:rsid w:val="00242C25"/>
    <w:rsid w:val="00243347"/>
    <w:rsid w:val="002438D9"/>
    <w:rsid w:val="00247473"/>
    <w:rsid w:val="002515C3"/>
    <w:rsid w:val="00251745"/>
    <w:rsid w:val="00251C37"/>
    <w:rsid w:val="00251D74"/>
    <w:rsid w:val="00262F65"/>
    <w:rsid w:val="00263AC0"/>
    <w:rsid w:val="002649D2"/>
    <w:rsid w:val="002649D8"/>
    <w:rsid w:val="00265486"/>
    <w:rsid w:val="0026772D"/>
    <w:rsid w:val="00270A51"/>
    <w:rsid w:val="00270AF4"/>
    <w:rsid w:val="0027318A"/>
    <w:rsid w:val="00275002"/>
    <w:rsid w:val="00275927"/>
    <w:rsid w:val="002817AB"/>
    <w:rsid w:val="002828A0"/>
    <w:rsid w:val="0028440E"/>
    <w:rsid w:val="00286874"/>
    <w:rsid w:val="0029246F"/>
    <w:rsid w:val="00294653"/>
    <w:rsid w:val="00294D01"/>
    <w:rsid w:val="00296B65"/>
    <w:rsid w:val="002A0AF0"/>
    <w:rsid w:val="002A1B5C"/>
    <w:rsid w:val="002A3CF2"/>
    <w:rsid w:val="002A4EF8"/>
    <w:rsid w:val="002A7439"/>
    <w:rsid w:val="002A7729"/>
    <w:rsid w:val="002A7C78"/>
    <w:rsid w:val="002A7DEF"/>
    <w:rsid w:val="002B0749"/>
    <w:rsid w:val="002B0DAE"/>
    <w:rsid w:val="002B1949"/>
    <w:rsid w:val="002B1B50"/>
    <w:rsid w:val="002B6FD1"/>
    <w:rsid w:val="002B720D"/>
    <w:rsid w:val="002C2278"/>
    <w:rsid w:val="002C341F"/>
    <w:rsid w:val="002C3E5B"/>
    <w:rsid w:val="002C581B"/>
    <w:rsid w:val="002C6DD3"/>
    <w:rsid w:val="002D1734"/>
    <w:rsid w:val="002D37FB"/>
    <w:rsid w:val="002D484E"/>
    <w:rsid w:val="002D4A1F"/>
    <w:rsid w:val="002E29A0"/>
    <w:rsid w:val="002E6254"/>
    <w:rsid w:val="002F02A4"/>
    <w:rsid w:val="002F3D02"/>
    <w:rsid w:val="002F4F34"/>
    <w:rsid w:val="002F7986"/>
    <w:rsid w:val="00300C0B"/>
    <w:rsid w:val="00302D83"/>
    <w:rsid w:val="003061FA"/>
    <w:rsid w:val="00307F6D"/>
    <w:rsid w:val="0031318F"/>
    <w:rsid w:val="003153EB"/>
    <w:rsid w:val="003177A2"/>
    <w:rsid w:val="00317A81"/>
    <w:rsid w:val="00321853"/>
    <w:rsid w:val="00322300"/>
    <w:rsid w:val="003243B4"/>
    <w:rsid w:val="003271B5"/>
    <w:rsid w:val="003274A9"/>
    <w:rsid w:val="00331264"/>
    <w:rsid w:val="00332F5D"/>
    <w:rsid w:val="00334C8D"/>
    <w:rsid w:val="00336D50"/>
    <w:rsid w:val="003401B9"/>
    <w:rsid w:val="00341169"/>
    <w:rsid w:val="00342870"/>
    <w:rsid w:val="00346F05"/>
    <w:rsid w:val="003518B3"/>
    <w:rsid w:val="00352DA8"/>
    <w:rsid w:val="00354887"/>
    <w:rsid w:val="00355CDD"/>
    <w:rsid w:val="00355D2F"/>
    <w:rsid w:val="00356E72"/>
    <w:rsid w:val="00366515"/>
    <w:rsid w:val="00371F3A"/>
    <w:rsid w:val="003749F7"/>
    <w:rsid w:val="00375E24"/>
    <w:rsid w:val="00383C6B"/>
    <w:rsid w:val="003846F1"/>
    <w:rsid w:val="00384A55"/>
    <w:rsid w:val="00384B54"/>
    <w:rsid w:val="00386C86"/>
    <w:rsid w:val="00395B4C"/>
    <w:rsid w:val="003A0810"/>
    <w:rsid w:val="003A1F17"/>
    <w:rsid w:val="003A3E2D"/>
    <w:rsid w:val="003A41E0"/>
    <w:rsid w:val="003A4B6B"/>
    <w:rsid w:val="003A7DC0"/>
    <w:rsid w:val="003B0D56"/>
    <w:rsid w:val="003B282E"/>
    <w:rsid w:val="003B40ED"/>
    <w:rsid w:val="003B4804"/>
    <w:rsid w:val="003B6F90"/>
    <w:rsid w:val="003C0710"/>
    <w:rsid w:val="003C24A9"/>
    <w:rsid w:val="003C2B22"/>
    <w:rsid w:val="003C2BC1"/>
    <w:rsid w:val="003C3C98"/>
    <w:rsid w:val="003C62E9"/>
    <w:rsid w:val="003C7EFA"/>
    <w:rsid w:val="003D5258"/>
    <w:rsid w:val="003E1341"/>
    <w:rsid w:val="003E47DC"/>
    <w:rsid w:val="003E521D"/>
    <w:rsid w:val="003E78A9"/>
    <w:rsid w:val="003F0289"/>
    <w:rsid w:val="003F54CB"/>
    <w:rsid w:val="003F57F1"/>
    <w:rsid w:val="003F5F74"/>
    <w:rsid w:val="003F75C8"/>
    <w:rsid w:val="00402142"/>
    <w:rsid w:val="00403473"/>
    <w:rsid w:val="004034C5"/>
    <w:rsid w:val="00404492"/>
    <w:rsid w:val="00404504"/>
    <w:rsid w:val="00405B42"/>
    <w:rsid w:val="00411897"/>
    <w:rsid w:val="00412176"/>
    <w:rsid w:val="00414488"/>
    <w:rsid w:val="00415788"/>
    <w:rsid w:val="004157C0"/>
    <w:rsid w:val="00416641"/>
    <w:rsid w:val="0042429B"/>
    <w:rsid w:val="00424809"/>
    <w:rsid w:val="00440D85"/>
    <w:rsid w:val="00442767"/>
    <w:rsid w:val="00444A48"/>
    <w:rsid w:val="0045129B"/>
    <w:rsid w:val="00456C20"/>
    <w:rsid w:val="00462CFF"/>
    <w:rsid w:val="00465210"/>
    <w:rsid w:val="00471992"/>
    <w:rsid w:val="00471E68"/>
    <w:rsid w:val="0048018F"/>
    <w:rsid w:val="00480B4B"/>
    <w:rsid w:val="004831F8"/>
    <w:rsid w:val="00485752"/>
    <w:rsid w:val="00485DC4"/>
    <w:rsid w:val="00487C10"/>
    <w:rsid w:val="004923CD"/>
    <w:rsid w:val="00492A06"/>
    <w:rsid w:val="00493B02"/>
    <w:rsid w:val="00494036"/>
    <w:rsid w:val="00495574"/>
    <w:rsid w:val="004A1061"/>
    <w:rsid w:val="004A1184"/>
    <w:rsid w:val="004A2770"/>
    <w:rsid w:val="004A364A"/>
    <w:rsid w:val="004B104F"/>
    <w:rsid w:val="004B1708"/>
    <w:rsid w:val="004B231C"/>
    <w:rsid w:val="004B42A7"/>
    <w:rsid w:val="004B4412"/>
    <w:rsid w:val="004B5B3F"/>
    <w:rsid w:val="004C28B2"/>
    <w:rsid w:val="004C348C"/>
    <w:rsid w:val="004C63B9"/>
    <w:rsid w:val="004C6C5B"/>
    <w:rsid w:val="004D4A76"/>
    <w:rsid w:val="004D5447"/>
    <w:rsid w:val="004D55BA"/>
    <w:rsid w:val="004E1B1C"/>
    <w:rsid w:val="004E1E95"/>
    <w:rsid w:val="004E34E7"/>
    <w:rsid w:val="004E4142"/>
    <w:rsid w:val="004E6AFC"/>
    <w:rsid w:val="004E7D10"/>
    <w:rsid w:val="004F171D"/>
    <w:rsid w:val="004F18F3"/>
    <w:rsid w:val="004F6ED0"/>
    <w:rsid w:val="00501B85"/>
    <w:rsid w:val="00502843"/>
    <w:rsid w:val="00502D42"/>
    <w:rsid w:val="00505B5E"/>
    <w:rsid w:val="005177C0"/>
    <w:rsid w:val="00522360"/>
    <w:rsid w:val="00522486"/>
    <w:rsid w:val="00522668"/>
    <w:rsid w:val="005279B6"/>
    <w:rsid w:val="00530128"/>
    <w:rsid w:val="00530657"/>
    <w:rsid w:val="005323B2"/>
    <w:rsid w:val="00532467"/>
    <w:rsid w:val="0053491C"/>
    <w:rsid w:val="0053611E"/>
    <w:rsid w:val="0054102B"/>
    <w:rsid w:val="0054173F"/>
    <w:rsid w:val="00543945"/>
    <w:rsid w:val="00543BEC"/>
    <w:rsid w:val="00544C6F"/>
    <w:rsid w:val="00547DC4"/>
    <w:rsid w:val="005502E7"/>
    <w:rsid w:val="00555667"/>
    <w:rsid w:val="00556B64"/>
    <w:rsid w:val="005575B9"/>
    <w:rsid w:val="00562CEE"/>
    <w:rsid w:val="00564A4D"/>
    <w:rsid w:val="00565239"/>
    <w:rsid w:val="005656E2"/>
    <w:rsid w:val="00565F50"/>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85D42"/>
    <w:rsid w:val="00595ED0"/>
    <w:rsid w:val="005A1339"/>
    <w:rsid w:val="005A3B2C"/>
    <w:rsid w:val="005A404D"/>
    <w:rsid w:val="005A5657"/>
    <w:rsid w:val="005A6CB0"/>
    <w:rsid w:val="005A6F22"/>
    <w:rsid w:val="005B0461"/>
    <w:rsid w:val="005B0EF5"/>
    <w:rsid w:val="005B1E3C"/>
    <w:rsid w:val="005B7F8F"/>
    <w:rsid w:val="005C26CC"/>
    <w:rsid w:val="005C3411"/>
    <w:rsid w:val="005C3D54"/>
    <w:rsid w:val="005C3DEC"/>
    <w:rsid w:val="005C4E3D"/>
    <w:rsid w:val="005C4F80"/>
    <w:rsid w:val="005C53C0"/>
    <w:rsid w:val="005C546A"/>
    <w:rsid w:val="005C553B"/>
    <w:rsid w:val="005C592F"/>
    <w:rsid w:val="005C5D2E"/>
    <w:rsid w:val="005C5E72"/>
    <w:rsid w:val="005D2FBD"/>
    <w:rsid w:val="005D69AF"/>
    <w:rsid w:val="005E0B7E"/>
    <w:rsid w:val="005E2086"/>
    <w:rsid w:val="005E6FFA"/>
    <w:rsid w:val="005F0661"/>
    <w:rsid w:val="005F0CD5"/>
    <w:rsid w:val="005F69C4"/>
    <w:rsid w:val="005F6ADE"/>
    <w:rsid w:val="005F702C"/>
    <w:rsid w:val="005F7247"/>
    <w:rsid w:val="00600B2D"/>
    <w:rsid w:val="00602A58"/>
    <w:rsid w:val="00603914"/>
    <w:rsid w:val="00604DB6"/>
    <w:rsid w:val="006057DD"/>
    <w:rsid w:val="00607BA0"/>
    <w:rsid w:val="00612006"/>
    <w:rsid w:val="00613324"/>
    <w:rsid w:val="00613DEC"/>
    <w:rsid w:val="00615619"/>
    <w:rsid w:val="00615C6B"/>
    <w:rsid w:val="00616CEC"/>
    <w:rsid w:val="00620B1B"/>
    <w:rsid w:val="00621545"/>
    <w:rsid w:val="0062525D"/>
    <w:rsid w:val="00626A3A"/>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588"/>
    <w:rsid w:val="0065661E"/>
    <w:rsid w:val="006566B8"/>
    <w:rsid w:val="006569A5"/>
    <w:rsid w:val="006573B5"/>
    <w:rsid w:val="00660F82"/>
    <w:rsid w:val="00661F88"/>
    <w:rsid w:val="00663DAD"/>
    <w:rsid w:val="00665ACC"/>
    <w:rsid w:val="0067180B"/>
    <w:rsid w:val="00673D15"/>
    <w:rsid w:val="00676679"/>
    <w:rsid w:val="006777D7"/>
    <w:rsid w:val="00686411"/>
    <w:rsid w:val="00687AA8"/>
    <w:rsid w:val="00694FD6"/>
    <w:rsid w:val="006956EC"/>
    <w:rsid w:val="006A35B0"/>
    <w:rsid w:val="006A6EDD"/>
    <w:rsid w:val="006B0C7B"/>
    <w:rsid w:val="006B4CF9"/>
    <w:rsid w:val="006B6CC3"/>
    <w:rsid w:val="006B77F5"/>
    <w:rsid w:val="006B7AC8"/>
    <w:rsid w:val="006C196C"/>
    <w:rsid w:val="006C1E8B"/>
    <w:rsid w:val="006C2373"/>
    <w:rsid w:val="006C41C4"/>
    <w:rsid w:val="006C447D"/>
    <w:rsid w:val="006C62B7"/>
    <w:rsid w:val="006D1D94"/>
    <w:rsid w:val="006D3561"/>
    <w:rsid w:val="006D38CE"/>
    <w:rsid w:val="006D550F"/>
    <w:rsid w:val="006D5B9F"/>
    <w:rsid w:val="006D6001"/>
    <w:rsid w:val="006D7923"/>
    <w:rsid w:val="006E1E7D"/>
    <w:rsid w:val="006E218F"/>
    <w:rsid w:val="006E2380"/>
    <w:rsid w:val="006E5F3E"/>
    <w:rsid w:val="006F0601"/>
    <w:rsid w:val="006F3750"/>
    <w:rsid w:val="006F393C"/>
    <w:rsid w:val="006F3FCB"/>
    <w:rsid w:val="006F4C38"/>
    <w:rsid w:val="006F6C2D"/>
    <w:rsid w:val="00700DAB"/>
    <w:rsid w:val="00701CAB"/>
    <w:rsid w:val="007037F6"/>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A7"/>
    <w:rsid w:val="00741247"/>
    <w:rsid w:val="00741D03"/>
    <w:rsid w:val="007426D5"/>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3D4E"/>
    <w:rsid w:val="00784059"/>
    <w:rsid w:val="0078423F"/>
    <w:rsid w:val="00784A7E"/>
    <w:rsid w:val="0079277A"/>
    <w:rsid w:val="0079310A"/>
    <w:rsid w:val="007959E7"/>
    <w:rsid w:val="00796D6A"/>
    <w:rsid w:val="007A1428"/>
    <w:rsid w:val="007A1AB0"/>
    <w:rsid w:val="007A33E8"/>
    <w:rsid w:val="007B1732"/>
    <w:rsid w:val="007B2C72"/>
    <w:rsid w:val="007B3F68"/>
    <w:rsid w:val="007B57F8"/>
    <w:rsid w:val="007C1C53"/>
    <w:rsid w:val="007C2EE8"/>
    <w:rsid w:val="007C62FE"/>
    <w:rsid w:val="007D1133"/>
    <w:rsid w:val="007D2028"/>
    <w:rsid w:val="007D53A8"/>
    <w:rsid w:val="007D6FC9"/>
    <w:rsid w:val="007E1516"/>
    <w:rsid w:val="007E4904"/>
    <w:rsid w:val="007E4CB5"/>
    <w:rsid w:val="007E5597"/>
    <w:rsid w:val="007E74E0"/>
    <w:rsid w:val="007F066B"/>
    <w:rsid w:val="007F0F77"/>
    <w:rsid w:val="007F2BBD"/>
    <w:rsid w:val="007F475F"/>
    <w:rsid w:val="007F4AB4"/>
    <w:rsid w:val="007F5457"/>
    <w:rsid w:val="008033C4"/>
    <w:rsid w:val="00806C88"/>
    <w:rsid w:val="00807A5C"/>
    <w:rsid w:val="0081034E"/>
    <w:rsid w:val="0081253D"/>
    <w:rsid w:val="00812E7B"/>
    <w:rsid w:val="0081351D"/>
    <w:rsid w:val="00813CE4"/>
    <w:rsid w:val="008238B2"/>
    <w:rsid w:val="008257CA"/>
    <w:rsid w:val="00831483"/>
    <w:rsid w:val="008344B4"/>
    <w:rsid w:val="008344F6"/>
    <w:rsid w:val="0083510F"/>
    <w:rsid w:val="008366CD"/>
    <w:rsid w:val="00836890"/>
    <w:rsid w:val="00840C6C"/>
    <w:rsid w:val="00847ED9"/>
    <w:rsid w:val="00851209"/>
    <w:rsid w:val="0085188E"/>
    <w:rsid w:val="00852B3D"/>
    <w:rsid w:val="008556A5"/>
    <w:rsid w:val="00857917"/>
    <w:rsid w:val="00861AED"/>
    <w:rsid w:val="00867506"/>
    <w:rsid w:val="00870903"/>
    <w:rsid w:val="0087280A"/>
    <w:rsid w:val="0087308C"/>
    <w:rsid w:val="00873B1F"/>
    <w:rsid w:val="0087479D"/>
    <w:rsid w:val="008837AC"/>
    <w:rsid w:val="00884D30"/>
    <w:rsid w:val="00886BAB"/>
    <w:rsid w:val="00886CEC"/>
    <w:rsid w:val="00887EBF"/>
    <w:rsid w:val="008909FD"/>
    <w:rsid w:val="008934F4"/>
    <w:rsid w:val="008A4DB6"/>
    <w:rsid w:val="008A587D"/>
    <w:rsid w:val="008A6198"/>
    <w:rsid w:val="008A7580"/>
    <w:rsid w:val="008A7E37"/>
    <w:rsid w:val="008B0D4C"/>
    <w:rsid w:val="008B416B"/>
    <w:rsid w:val="008B6DA5"/>
    <w:rsid w:val="008C094A"/>
    <w:rsid w:val="008C1D7C"/>
    <w:rsid w:val="008C1FE0"/>
    <w:rsid w:val="008C4E0D"/>
    <w:rsid w:val="008C50F7"/>
    <w:rsid w:val="008C5486"/>
    <w:rsid w:val="008C6B16"/>
    <w:rsid w:val="008D4E23"/>
    <w:rsid w:val="008D6AC3"/>
    <w:rsid w:val="008E1E8E"/>
    <w:rsid w:val="008E535A"/>
    <w:rsid w:val="008E6CAE"/>
    <w:rsid w:val="008E7031"/>
    <w:rsid w:val="008F05DF"/>
    <w:rsid w:val="008F14C9"/>
    <w:rsid w:val="008F2DE1"/>
    <w:rsid w:val="008F4AD5"/>
    <w:rsid w:val="008F4C72"/>
    <w:rsid w:val="008F4DFD"/>
    <w:rsid w:val="008F6E27"/>
    <w:rsid w:val="008F6FC7"/>
    <w:rsid w:val="009004F5"/>
    <w:rsid w:val="0090239D"/>
    <w:rsid w:val="009057E0"/>
    <w:rsid w:val="009064FC"/>
    <w:rsid w:val="00913C7D"/>
    <w:rsid w:val="00914975"/>
    <w:rsid w:val="00914A87"/>
    <w:rsid w:val="00915BFF"/>
    <w:rsid w:val="00921957"/>
    <w:rsid w:val="00922ACF"/>
    <w:rsid w:val="009233EE"/>
    <w:rsid w:val="0092422F"/>
    <w:rsid w:val="009335AE"/>
    <w:rsid w:val="00933B55"/>
    <w:rsid w:val="00936740"/>
    <w:rsid w:val="009377D8"/>
    <w:rsid w:val="00940393"/>
    <w:rsid w:val="00942863"/>
    <w:rsid w:val="00944863"/>
    <w:rsid w:val="009456DC"/>
    <w:rsid w:val="00950B15"/>
    <w:rsid w:val="0095158D"/>
    <w:rsid w:val="00952CF7"/>
    <w:rsid w:val="00953534"/>
    <w:rsid w:val="009540FA"/>
    <w:rsid w:val="00956C19"/>
    <w:rsid w:val="00957591"/>
    <w:rsid w:val="0095772E"/>
    <w:rsid w:val="00960AC5"/>
    <w:rsid w:val="00960C83"/>
    <w:rsid w:val="009661DE"/>
    <w:rsid w:val="009721AF"/>
    <w:rsid w:val="00972A40"/>
    <w:rsid w:val="00974CDB"/>
    <w:rsid w:val="00981578"/>
    <w:rsid w:val="00981E7F"/>
    <w:rsid w:val="00982FEB"/>
    <w:rsid w:val="009837D1"/>
    <w:rsid w:val="00983EEC"/>
    <w:rsid w:val="009856B7"/>
    <w:rsid w:val="00985A66"/>
    <w:rsid w:val="0098646A"/>
    <w:rsid w:val="009920D2"/>
    <w:rsid w:val="009928BC"/>
    <w:rsid w:val="0099572C"/>
    <w:rsid w:val="009A0A73"/>
    <w:rsid w:val="009A3D22"/>
    <w:rsid w:val="009A6D69"/>
    <w:rsid w:val="009B0884"/>
    <w:rsid w:val="009B1174"/>
    <w:rsid w:val="009B21F2"/>
    <w:rsid w:val="009B4E65"/>
    <w:rsid w:val="009B533B"/>
    <w:rsid w:val="009B5478"/>
    <w:rsid w:val="009B5D28"/>
    <w:rsid w:val="009B615C"/>
    <w:rsid w:val="009B69AA"/>
    <w:rsid w:val="009B74B0"/>
    <w:rsid w:val="009C01D7"/>
    <w:rsid w:val="009C381D"/>
    <w:rsid w:val="009C4FB9"/>
    <w:rsid w:val="009C6A83"/>
    <w:rsid w:val="009C77CC"/>
    <w:rsid w:val="009C7E88"/>
    <w:rsid w:val="009C7FDF"/>
    <w:rsid w:val="009D0B16"/>
    <w:rsid w:val="009D3016"/>
    <w:rsid w:val="009D3902"/>
    <w:rsid w:val="009D6B46"/>
    <w:rsid w:val="009E1209"/>
    <w:rsid w:val="009E1242"/>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6AD1"/>
    <w:rsid w:val="00A1210E"/>
    <w:rsid w:val="00A159BF"/>
    <w:rsid w:val="00A15E40"/>
    <w:rsid w:val="00A2302C"/>
    <w:rsid w:val="00A26C2F"/>
    <w:rsid w:val="00A3632A"/>
    <w:rsid w:val="00A42006"/>
    <w:rsid w:val="00A4478A"/>
    <w:rsid w:val="00A44852"/>
    <w:rsid w:val="00A45EAC"/>
    <w:rsid w:val="00A47A03"/>
    <w:rsid w:val="00A52A18"/>
    <w:rsid w:val="00A575E8"/>
    <w:rsid w:val="00A57D04"/>
    <w:rsid w:val="00A57D69"/>
    <w:rsid w:val="00A60A26"/>
    <w:rsid w:val="00A61598"/>
    <w:rsid w:val="00A64EBB"/>
    <w:rsid w:val="00A6730F"/>
    <w:rsid w:val="00A679F2"/>
    <w:rsid w:val="00A71AA6"/>
    <w:rsid w:val="00A75AAA"/>
    <w:rsid w:val="00A81710"/>
    <w:rsid w:val="00A81EF8"/>
    <w:rsid w:val="00A8219E"/>
    <w:rsid w:val="00A84E2D"/>
    <w:rsid w:val="00A84F46"/>
    <w:rsid w:val="00A85D73"/>
    <w:rsid w:val="00A871F4"/>
    <w:rsid w:val="00A87F90"/>
    <w:rsid w:val="00A91A4B"/>
    <w:rsid w:val="00A923DD"/>
    <w:rsid w:val="00A9455D"/>
    <w:rsid w:val="00A94D89"/>
    <w:rsid w:val="00A971A0"/>
    <w:rsid w:val="00AA0CEB"/>
    <w:rsid w:val="00AA476F"/>
    <w:rsid w:val="00AA649A"/>
    <w:rsid w:val="00AA73F0"/>
    <w:rsid w:val="00AB6478"/>
    <w:rsid w:val="00AB6927"/>
    <w:rsid w:val="00AC0FE9"/>
    <w:rsid w:val="00AC1B2C"/>
    <w:rsid w:val="00AC1CF3"/>
    <w:rsid w:val="00AC242C"/>
    <w:rsid w:val="00AC3264"/>
    <w:rsid w:val="00AD0424"/>
    <w:rsid w:val="00AD36D0"/>
    <w:rsid w:val="00AD3987"/>
    <w:rsid w:val="00AD3D69"/>
    <w:rsid w:val="00AD592F"/>
    <w:rsid w:val="00AD76AE"/>
    <w:rsid w:val="00AE0399"/>
    <w:rsid w:val="00AE1BF1"/>
    <w:rsid w:val="00AE20B1"/>
    <w:rsid w:val="00AE2792"/>
    <w:rsid w:val="00AE317D"/>
    <w:rsid w:val="00AF0DD2"/>
    <w:rsid w:val="00AF0ED5"/>
    <w:rsid w:val="00AF3A41"/>
    <w:rsid w:val="00AF46F3"/>
    <w:rsid w:val="00AF66A7"/>
    <w:rsid w:val="00AF7058"/>
    <w:rsid w:val="00AF7C0E"/>
    <w:rsid w:val="00B02ED5"/>
    <w:rsid w:val="00B03817"/>
    <w:rsid w:val="00B057C8"/>
    <w:rsid w:val="00B065C9"/>
    <w:rsid w:val="00B109DD"/>
    <w:rsid w:val="00B11C09"/>
    <w:rsid w:val="00B1285B"/>
    <w:rsid w:val="00B13048"/>
    <w:rsid w:val="00B14CE4"/>
    <w:rsid w:val="00B1716D"/>
    <w:rsid w:val="00B17A1D"/>
    <w:rsid w:val="00B207A0"/>
    <w:rsid w:val="00B20F61"/>
    <w:rsid w:val="00B211EE"/>
    <w:rsid w:val="00B23484"/>
    <w:rsid w:val="00B25887"/>
    <w:rsid w:val="00B26AAA"/>
    <w:rsid w:val="00B30D82"/>
    <w:rsid w:val="00B31071"/>
    <w:rsid w:val="00B35810"/>
    <w:rsid w:val="00B35937"/>
    <w:rsid w:val="00B4128D"/>
    <w:rsid w:val="00B41686"/>
    <w:rsid w:val="00B44E99"/>
    <w:rsid w:val="00B52EC8"/>
    <w:rsid w:val="00B55C24"/>
    <w:rsid w:val="00B56E03"/>
    <w:rsid w:val="00B6278D"/>
    <w:rsid w:val="00B62BB5"/>
    <w:rsid w:val="00B63E2C"/>
    <w:rsid w:val="00B64DF7"/>
    <w:rsid w:val="00B65CAC"/>
    <w:rsid w:val="00B673A4"/>
    <w:rsid w:val="00B70A7F"/>
    <w:rsid w:val="00B70CA5"/>
    <w:rsid w:val="00B7397E"/>
    <w:rsid w:val="00B73C3A"/>
    <w:rsid w:val="00B752C5"/>
    <w:rsid w:val="00B8080B"/>
    <w:rsid w:val="00B85D8A"/>
    <w:rsid w:val="00B87C39"/>
    <w:rsid w:val="00B87DD6"/>
    <w:rsid w:val="00B904FF"/>
    <w:rsid w:val="00B91BE8"/>
    <w:rsid w:val="00B92CD5"/>
    <w:rsid w:val="00B956D7"/>
    <w:rsid w:val="00BA1F27"/>
    <w:rsid w:val="00BA2E61"/>
    <w:rsid w:val="00BA390A"/>
    <w:rsid w:val="00BA3992"/>
    <w:rsid w:val="00BA4665"/>
    <w:rsid w:val="00BB20BA"/>
    <w:rsid w:val="00BB2FB2"/>
    <w:rsid w:val="00BB3304"/>
    <w:rsid w:val="00BB4732"/>
    <w:rsid w:val="00BB7780"/>
    <w:rsid w:val="00BC03BC"/>
    <w:rsid w:val="00BC1B6B"/>
    <w:rsid w:val="00BC6398"/>
    <w:rsid w:val="00BC675F"/>
    <w:rsid w:val="00BD0BD0"/>
    <w:rsid w:val="00BD10B4"/>
    <w:rsid w:val="00BD1AD7"/>
    <w:rsid w:val="00BD1BCA"/>
    <w:rsid w:val="00BD26AE"/>
    <w:rsid w:val="00BD3446"/>
    <w:rsid w:val="00BD412C"/>
    <w:rsid w:val="00BD4E33"/>
    <w:rsid w:val="00BD5467"/>
    <w:rsid w:val="00BD6CD4"/>
    <w:rsid w:val="00BD7176"/>
    <w:rsid w:val="00BD71BD"/>
    <w:rsid w:val="00BE1F1B"/>
    <w:rsid w:val="00BE377D"/>
    <w:rsid w:val="00BE47B5"/>
    <w:rsid w:val="00BE7DBC"/>
    <w:rsid w:val="00BF19CB"/>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2A83"/>
    <w:rsid w:val="00C154C0"/>
    <w:rsid w:val="00C16B2C"/>
    <w:rsid w:val="00C1786D"/>
    <w:rsid w:val="00C17CB8"/>
    <w:rsid w:val="00C17F0D"/>
    <w:rsid w:val="00C17FC7"/>
    <w:rsid w:val="00C21CBD"/>
    <w:rsid w:val="00C238EB"/>
    <w:rsid w:val="00C24398"/>
    <w:rsid w:val="00C30BBE"/>
    <w:rsid w:val="00C34065"/>
    <w:rsid w:val="00C41237"/>
    <w:rsid w:val="00C420EB"/>
    <w:rsid w:val="00C43C4F"/>
    <w:rsid w:val="00C46AB5"/>
    <w:rsid w:val="00C4709E"/>
    <w:rsid w:val="00C4712A"/>
    <w:rsid w:val="00C50EC2"/>
    <w:rsid w:val="00C51484"/>
    <w:rsid w:val="00C51BE7"/>
    <w:rsid w:val="00C538A9"/>
    <w:rsid w:val="00C53B5A"/>
    <w:rsid w:val="00C54CF3"/>
    <w:rsid w:val="00C54F5A"/>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87867"/>
    <w:rsid w:val="00C950AF"/>
    <w:rsid w:val="00C9660A"/>
    <w:rsid w:val="00C96A92"/>
    <w:rsid w:val="00CA04F2"/>
    <w:rsid w:val="00CA0ECB"/>
    <w:rsid w:val="00CA51FE"/>
    <w:rsid w:val="00CA771A"/>
    <w:rsid w:val="00CA7D3F"/>
    <w:rsid w:val="00CB0FA5"/>
    <w:rsid w:val="00CB45EC"/>
    <w:rsid w:val="00CB666B"/>
    <w:rsid w:val="00CB695E"/>
    <w:rsid w:val="00CC1D64"/>
    <w:rsid w:val="00CC2C03"/>
    <w:rsid w:val="00CC2CA1"/>
    <w:rsid w:val="00CC6516"/>
    <w:rsid w:val="00CC6738"/>
    <w:rsid w:val="00CD2754"/>
    <w:rsid w:val="00CD40AD"/>
    <w:rsid w:val="00CD4E7F"/>
    <w:rsid w:val="00CE15A5"/>
    <w:rsid w:val="00CE1831"/>
    <w:rsid w:val="00CE6F6D"/>
    <w:rsid w:val="00CF0B65"/>
    <w:rsid w:val="00CF0E01"/>
    <w:rsid w:val="00CF1005"/>
    <w:rsid w:val="00CF36F5"/>
    <w:rsid w:val="00CF455C"/>
    <w:rsid w:val="00CF5382"/>
    <w:rsid w:val="00CF62CA"/>
    <w:rsid w:val="00CF6F3C"/>
    <w:rsid w:val="00CF7D47"/>
    <w:rsid w:val="00D01CF0"/>
    <w:rsid w:val="00D0442A"/>
    <w:rsid w:val="00D07128"/>
    <w:rsid w:val="00D10120"/>
    <w:rsid w:val="00D11721"/>
    <w:rsid w:val="00D11CB3"/>
    <w:rsid w:val="00D1516F"/>
    <w:rsid w:val="00D16710"/>
    <w:rsid w:val="00D22BD4"/>
    <w:rsid w:val="00D22E23"/>
    <w:rsid w:val="00D2306D"/>
    <w:rsid w:val="00D250AC"/>
    <w:rsid w:val="00D270E1"/>
    <w:rsid w:val="00D323D0"/>
    <w:rsid w:val="00D32767"/>
    <w:rsid w:val="00D40B44"/>
    <w:rsid w:val="00D43663"/>
    <w:rsid w:val="00D44037"/>
    <w:rsid w:val="00D4681D"/>
    <w:rsid w:val="00D5111E"/>
    <w:rsid w:val="00D5124C"/>
    <w:rsid w:val="00D53F55"/>
    <w:rsid w:val="00D61388"/>
    <w:rsid w:val="00D615F9"/>
    <w:rsid w:val="00D61A54"/>
    <w:rsid w:val="00D64DEA"/>
    <w:rsid w:val="00D67D07"/>
    <w:rsid w:val="00D70F71"/>
    <w:rsid w:val="00D71771"/>
    <w:rsid w:val="00D73D17"/>
    <w:rsid w:val="00D74261"/>
    <w:rsid w:val="00D74971"/>
    <w:rsid w:val="00D80893"/>
    <w:rsid w:val="00D839A7"/>
    <w:rsid w:val="00D86899"/>
    <w:rsid w:val="00D87097"/>
    <w:rsid w:val="00D92A31"/>
    <w:rsid w:val="00D92CF1"/>
    <w:rsid w:val="00D92D38"/>
    <w:rsid w:val="00D936B6"/>
    <w:rsid w:val="00D950F5"/>
    <w:rsid w:val="00D95177"/>
    <w:rsid w:val="00D96914"/>
    <w:rsid w:val="00DA1CA3"/>
    <w:rsid w:val="00DA4E07"/>
    <w:rsid w:val="00DB0F93"/>
    <w:rsid w:val="00DB16A7"/>
    <w:rsid w:val="00DB196A"/>
    <w:rsid w:val="00DB20BF"/>
    <w:rsid w:val="00DB2353"/>
    <w:rsid w:val="00DB402D"/>
    <w:rsid w:val="00DB4CC4"/>
    <w:rsid w:val="00DB7FD1"/>
    <w:rsid w:val="00DC153A"/>
    <w:rsid w:val="00DC22E3"/>
    <w:rsid w:val="00DC24BF"/>
    <w:rsid w:val="00DC2907"/>
    <w:rsid w:val="00DC395C"/>
    <w:rsid w:val="00DC5E54"/>
    <w:rsid w:val="00DC7981"/>
    <w:rsid w:val="00DC7B5A"/>
    <w:rsid w:val="00DD15C2"/>
    <w:rsid w:val="00DD27EA"/>
    <w:rsid w:val="00DD33DE"/>
    <w:rsid w:val="00DE45B5"/>
    <w:rsid w:val="00DE4EFA"/>
    <w:rsid w:val="00DE5520"/>
    <w:rsid w:val="00DE6AA6"/>
    <w:rsid w:val="00DE7345"/>
    <w:rsid w:val="00DF02A4"/>
    <w:rsid w:val="00DF0714"/>
    <w:rsid w:val="00DF1C55"/>
    <w:rsid w:val="00DF3C7E"/>
    <w:rsid w:val="00DF7793"/>
    <w:rsid w:val="00E00EC9"/>
    <w:rsid w:val="00E03069"/>
    <w:rsid w:val="00E03725"/>
    <w:rsid w:val="00E04818"/>
    <w:rsid w:val="00E06442"/>
    <w:rsid w:val="00E113E2"/>
    <w:rsid w:val="00E115DE"/>
    <w:rsid w:val="00E13056"/>
    <w:rsid w:val="00E135DB"/>
    <w:rsid w:val="00E13C85"/>
    <w:rsid w:val="00E15B15"/>
    <w:rsid w:val="00E227A4"/>
    <w:rsid w:val="00E23993"/>
    <w:rsid w:val="00E2504E"/>
    <w:rsid w:val="00E25B8C"/>
    <w:rsid w:val="00E25F40"/>
    <w:rsid w:val="00E32A8C"/>
    <w:rsid w:val="00E333EF"/>
    <w:rsid w:val="00E35AE8"/>
    <w:rsid w:val="00E3678B"/>
    <w:rsid w:val="00E3724C"/>
    <w:rsid w:val="00E37F0B"/>
    <w:rsid w:val="00E40B9C"/>
    <w:rsid w:val="00E42976"/>
    <w:rsid w:val="00E42DF3"/>
    <w:rsid w:val="00E43848"/>
    <w:rsid w:val="00E4482C"/>
    <w:rsid w:val="00E4680F"/>
    <w:rsid w:val="00E46D48"/>
    <w:rsid w:val="00E47EAD"/>
    <w:rsid w:val="00E52107"/>
    <w:rsid w:val="00E52A27"/>
    <w:rsid w:val="00E55C3C"/>
    <w:rsid w:val="00E56018"/>
    <w:rsid w:val="00E6018A"/>
    <w:rsid w:val="00E605DA"/>
    <w:rsid w:val="00E65C85"/>
    <w:rsid w:val="00E65CF4"/>
    <w:rsid w:val="00E66199"/>
    <w:rsid w:val="00E715D5"/>
    <w:rsid w:val="00E73797"/>
    <w:rsid w:val="00E737E3"/>
    <w:rsid w:val="00E7472E"/>
    <w:rsid w:val="00E755EC"/>
    <w:rsid w:val="00E7624D"/>
    <w:rsid w:val="00E8137D"/>
    <w:rsid w:val="00E822FE"/>
    <w:rsid w:val="00E823D9"/>
    <w:rsid w:val="00E8569F"/>
    <w:rsid w:val="00E86851"/>
    <w:rsid w:val="00E91678"/>
    <w:rsid w:val="00E91BED"/>
    <w:rsid w:val="00E95CA7"/>
    <w:rsid w:val="00E96EFF"/>
    <w:rsid w:val="00EA1DEE"/>
    <w:rsid w:val="00EA3D42"/>
    <w:rsid w:val="00EA6B1B"/>
    <w:rsid w:val="00EB049F"/>
    <w:rsid w:val="00EB456D"/>
    <w:rsid w:val="00EB540F"/>
    <w:rsid w:val="00EB7D7F"/>
    <w:rsid w:val="00EC05BF"/>
    <w:rsid w:val="00EC24B0"/>
    <w:rsid w:val="00EC317E"/>
    <w:rsid w:val="00EC67D4"/>
    <w:rsid w:val="00EC7EB1"/>
    <w:rsid w:val="00ED3C5B"/>
    <w:rsid w:val="00ED4A25"/>
    <w:rsid w:val="00ED6E24"/>
    <w:rsid w:val="00EE164B"/>
    <w:rsid w:val="00EE28F3"/>
    <w:rsid w:val="00EE347F"/>
    <w:rsid w:val="00EE42C2"/>
    <w:rsid w:val="00EE46CE"/>
    <w:rsid w:val="00EE575A"/>
    <w:rsid w:val="00EF013A"/>
    <w:rsid w:val="00EF0E42"/>
    <w:rsid w:val="00EF0FE6"/>
    <w:rsid w:val="00EF1961"/>
    <w:rsid w:val="00EF3FB8"/>
    <w:rsid w:val="00EF5110"/>
    <w:rsid w:val="00EF62CA"/>
    <w:rsid w:val="00F019C5"/>
    <w:rsid w:val="00F02D9B"/>
    <w:rsid w:val="00F031FE"/>
    <w:rsid w:val="00F06B5B"/>
    <w:rsid w:val="00F072C7"/>
    <w:rsid w:val="00F113FD"/>
    <w:rsid w:val="00F13B99"/>
    <w:rsid w:val="00F13EAA"/>
    <w:rsid w:val="00F15882"/>
    <w:rsid w:val="00F15AB9"/>
    <w:rsid w:val="00F167CF"/>
    <w:rsid w:val="00F1785E"/>
    <w:rsid w:val="00F20BD3"/>
    <w:rsid w:val="00F248D0"/>
    <w:rsid w:val="00F27967"/>
    <w:rsid w:val="00F32D35"/>
    <w:rsid w:val="00F3590E"/>
    <w:rsid w:val="00F373A5"/>
    <w:rsid w:val="00F376D3"/>
    <w:rsid w:val="00F42DB4"/>
    <w:rsid w:val="00F45B2F"/>
    <w:rsid w:val="00F47559"/>
    <w:rsid w:val="00F5112C"/>
    <w:rsid w:val="00F55548"/>
    <w:rsid w:val="00F55859"/>
    <w:rsid w:val="00F6043C"/>
    <w:rsid w:val="00F60561"/>
    <w:rsid w:val="00F61055"/>
    <w:rsid w:val="00F61AA8"/>
    <w:rsid w:val="00F61EEA"/>
    <w:rsid w:val="00F64C7B"/>
    <w:rsid w:val="00F64F82"/>
    <w:rsid w:val="00F662F1"/>
    <w:rsid w:val="00F66967"/>
    <w:rsid w:val="00F676DD"/>
    <w:rsid w:val="00F70811"/>
    <w:rsid w:val="00F70D8D"/>
    <w:rsid w:val="00F71486"/>
    <w:rsid w:val="00F72F41"/>
    <w:rsid w:val="00F74CBC"/>
    <w:rsid w:val="00F75A26"/>
    <w:rsid w:val="00F766B3"/>
    <w:rsid w:val="00F77D49"/>
    <w:rsid w:val="00F8021A"/>
    <w:rsid w:val="00F805F3"/>
    <w:rsid w:val="00F80CCA"/>
    <w:rsid w:val="00F83FAD"/>
    <w:rsid w:val="00F87EBA"/>
    <w:rsid w:val="00F93027"/>
    <w:rsid w:val="00F952A0"/>
    <w:rsid w:val="00F965FC"/>
    <w:rsid w:val="00FA25D4"/>
    <w:rsid w:val="00FA3830"/>
    <w:rsid w:val="00FA3C7F"/>
    <w:rsid w:val="00FA7920"/>
    <w:rsid w:val="00FB153F"/>
    <w:rsid w:val="00FB265D"/>
    <w:rsid w:val="00FB4068"/>
    <w:rsid w:val="00FB411D"/>
    <w:rsid w:val="00FB41E6"/>
    <w:rsid w:val="00FB6C59"/>
    <w:rsid w:val="00FB74E2"/>
    <w:rsid w:val="00FC447B"/>
    <w:rsid w:val="00FC4CF7"/>
    <w:rsid w:val="00FC52AC"/>
    <w:rsid w:val="00FC54E6"/>
    <w:rsid w:val="00FC656F"/>
    <w:rsid w:val="00FC7B0B"/>
    <w:rsid w:val="00FD0763"/>
    <w:rsid w:val="00FD166D"/>
    <w:rsid w:val="00FD2F97"/>
    <w:rsid w:val="00FD5316"/>
    <w:rsid w:val="00FD5614"/>
    <w:rsid w:val="00FD72DC"/>
    <w:rsid w:val="00FE0BE1"/>
    <w:rsid w:val="00FE1DE9"/>
    <w:rsid w:val="00FE292D"/>
    <w:rsid w:val="00FE39C2"/>
    <w:rsid w:val="00FE3E67"/>
    <w:rsid w:val="00FE4B6D"/>
    <w:rsid w:val="00FE64AE"/>
    <w:rsid w:val="00FE7E62"/>
    <w:rsid w:val="00FF2C56"/>
    <w:rsid w:val="00FF3373"/>
    <w:rsid w:val="00FF3980"/>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4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AF7C0E"/>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AF7C0E"/>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AF7C0E"/>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AF7C0E"/>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F812B1D2</Template>
  <TotalTime>0</TotalTime>
  <Pages>9</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2016-02-08T04:11:00Z</dcterms:created>
  <dcterms:modified xsi:type="dcterms:W3CDTF">2016-02-08T05:06:00Z</dcterms:modified>
</cp:coreProperties>
</file>