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7AE2299B" wp14:editId="516323DB">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6D6F03" w:rsidP="002A4EF8">
      <w:pPr>
        <w:rPr>
          <w:b/>
          <w:sz w:val="36"/>
          <w:szCs w:val="36"/>
        </w:rPr>
      </w:pPr>
      <w:r>
        <w:rPr>
          <w:b/>
          <w:sz w:val="36"/>
          <w:szCs w:val="36"/>
        </w:rPr>
        <w:t>14</w:t>
      </w:r>
      <w:r w:rsidR="00366713">
        <w:rPr>
          <w:b/>
          <w:sz w:val="36"/>
          <w:szCs w:val="36"/>
        </w:rPr>
        <w:t xml:space="preserve"> </w:t>
      </w:r>
      <w:r w:rsidR="001761FF">
        <w:rPr>
          <w:b/>
          <w:sz w:val="36"/>
          <w:szCs w:val="36"/>
        </w:rPr>
        <w:t>–</w:t>
      </w:r>
      <w:r w:rsidR="00B04808">
        <w:rPr>
          <w:b/>
          <w:sz w:val="36"/>
          <w:szCs w:val="36"/>
        </w:rPr>
        <w:t> </w:t>
      </w:r>
      <w:r>
        <w:rPr>
          <w:b/>
          <w:sz w:val="36"/>
          <w:szCs w:val="36"/>
        </w:rPr>
        <w:t>20</w:t>
      </w:r>
      <w:r w:rsidR="00432A51">
        <w:rPr>
          <w:b/>
          <w:sz w:val="36"/>
          <w:szCs w:val="36"/>
        </w:rPr>
        <w:t> </w:t>
      </w:r>
      <w:r w:rsidR="00ED6B46">
        <w:rPr>
          <w:b/>
          <w:sz w:val="36"/>
          <w:szCs w:val="36"/>
        </w:rPr>
        <w:t>May</w:t>
      </w:r>
      <w:r w:rsidR="00474513">
        <w:rPr>
          <w:b/>
          <w:sz w:val="36"/>
          <w:szCs w:val="36"/>
        </w:rPr>
        <w:t xml:space="preserve"> </w:t>
      </w:r>
      <w:r w:rsidR="00FA25D4" w:rsidRPr="00C4712A">
        <w:rPr>
          <w:b/>
          <w:sz w:val="36"/>
          <w:szCs w:val="36"/>
        </w:rPr>
        <w:t>201</w:t>
      </w:r>
      <w:r w:rsidR="00474513">
        <w:rPr>
          <w:b/>
          <w:sz w:val="36"/>
          <w:szCs w:val="36"/>
        </w:rPr>
        <w:t>7</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D9655A" w:rsidRPr="0000255F">
        <w:t xml:space="preserve">Figure </w:t>
      </w:r>
      <w:r w:rsidR="00D9655A">
        <w:t>1</w:t>
      </w:r>
      <w:r w:rsidRPr="00F21187">
        <w:fldChar w:fldCharType="end"/>
      </w:r>
      <w:r w:rsidRPr="00F21187">
        <w:t xml:space="preserve"> </w:t>
      </w:r>
      <w:r w:rsidR="00AF7058" w:rsidRPr="00F21187">
        <w:t xml:space="preserve">shows the spot prices that occurred in each region during the week </w:t>
      </w:r>
      <w:r w:rsidR="006D6F03">
        <w:t>14</w:t>
      </w:r>
      <w:r w:rsidR="005D385A">
        <w:t xml:space="preserve"> </w:t>
      </w:r>
      <w:r w:rsidR="006D40F1">
        <w:t xml:space="preserve">– </w:t>
      </w:r>
      <w:r w:rsidR="006D6F03">
        <w:t>20</w:t>
      </w:r>
      <w:r w:rsidR="00432A51">
        <w:t xml:space="preserve"> </w:t>
      </w:r>
      <w:r w:rsidR="00ED6B46">
        <w:t xml:space="preserve">May </w:t>
      </w:r>
      <w:r w:rsidR="00FA25D4" w:rsidRPr="00F21187">
        <w:t>201</w:t>
      </w:r>
      <w:r w:rsidR="00474513">
        <w:t>7</w:t>
      </w:r>
      <w:r w:rsidR="00AF7058" w:rsidRPr="00F21187">
        <w:t>.</w:t>
      </w:r>
      <w:bookmarkStart w:id="6" w:name="_GoBack"/>
      <w:bookmarkEnd w:id="6"/>
    </w:p>
    <w:p w:rsidR="00BF4639" w:rsidRPr="00C4712A" w:rsidRDefault="00275002" w:rsidP="00405B42">
      <w:pPr>
        <w:pStyle w:val="Caption"/>
      </w:pPr>
      <w:bookmarkStart w:id="7" w:name="_Ref410382491"/>
      <w:bookmarkStart w:id="8" w:name="OLE_LINK28"/>
      <w:bookmarkStart w:id="9" w:name="OLE_LINK29"/>
      <w:r w:rsidRPr="0000255F">
        <w:t xml:space="preserve">Figure </w:t>
      </w:r>
      <w:r w:rsidR="00D9655A">
        <w:fldChar w:fldCharType="begin"/>
      </w:r>
      <w:r w:rsidR="00D9655A">
        <w:instrText xml:space="preserve"> SEQ Figure \* ARABIC </w:instrText>
      </w:r>
      <w:r w:rsidR="00D9655A">
        <w:fldChar w:fldCharType="separate"/>
      </w:r>
      <w:r w:rsidR="00D9655A">
        <w:rPr>
          <w:noProof/>
        </w:rPr>
        <w:t>1</w:t>
      </w:r>
      <w:r w:rsidR="00D9655A">
        <w:rPr>
          <w:noProof/>
        </w:rPr>
        <w:fldChar w:fldCharType="end"/>
      </w:r>
      <w:bookmarkEnd w:id="7"/>
      <w:r w:rsidRPr="0000255F">
        <w:t>: Spot price by region ($/MWh)</w:t>
      </w:r>
    </w:p>
    <w:p w:rsidR="00EC05BF" w:rsidRDefault="004D69E2" w:rsidP="00C4712A">
      <w:pPr>
        <w:pStyle w:val="Caption"/>
        <w:rPr>
          <w:bCs w:val="0"/>
          <w:lang w:eastAsia="en-AU"/>
        </w:rPr>
      </w:pPr>
      <w:r w:rsidRPr="004D69E2">
        <w:drawing>
          <wp:inline distT="0" distB="0" distL="0" distR="0" wp14:anchorId="25EB0643" wp14:editId="445C0A03">
            <wp:extent cx="5731510" cy="3732797"/>
            <wp:effectExtent l="0" t="0" r="2540" b="1270"/>
            <wp:docPr id="10" name="Picture 10"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732797"/>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D9655A" w:rsidRPr="0000255F">
        <w:t xml:space="preserve">Figure </w:t>
      </w:r>
      <w:r w:rsidR="00D9655A">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D9655A" w:rsidRPr="00686EDE">
        <w:t xml:space="preserve">Table </w:t>
      </w:r>
      <w:r w:rsidR="00D9655A">
        <w:t>1</w:t>
      </w:r>
      <w:r w:rsidRPr="000938FB">
        <w:fldChar w:fldCharType="end"/>
      </w:r>
      <w:r w:rsidRPr="000938FB">
        <w:t>) and the preceding 12 weeks, as well as the VWA price over the previous 3 financial years</w:t>
      </w:r>
      <w:r w:rsidR="00762D41" w:rsidRPr="000938FB">
        <w:t>.</w:t>
      </w:r>
    </w:p>
    <w:p w:rsidR="00275002" w:rsidRPr="00C4712A" w:rsidRDefault="00275002" w:rsidP="00F167CF">
      <w:pPr>
        <w:pStyle w:val="Caption"/>
        <w:spacing w:before="0" w:line="240" w:lineRule="auto"/>
      </w:pPr>
      <w:bookmarkStart w:id="10" w:name="_Ref410382517"/>
      <w:r w:rsidRPr="0000255F">
        <w:lastRenderedPageBreak/>
        <w:t xml:space="preserve">Figure </w:t>
      </w:r>
      <w:r w:rsidR="00D9655A">
        <w:fldChar w:fldCharType="begin"/>
      </w:r>
      <w:r w:rsidR="00D9655A">
        <w:instrText xml:space="preserve"> SEQ Figure \* ARABIC </w:instrText>
      </w:r>
      <w:r w:rsidR="00D9655A">
        <w:fldChar w:fldCharType="separate"/>
      </w:r>
      <w:r w:rsidR="00D9655A">
        <w:rPr>
          <w:noProof/>
        </w:rPr>
        <w:t>2</w:t>
      </w:r>
      <w:r w:rsidR="00D9655A">
        <w:rPr>
          <w:noProof/>
        </w:rPr>
        <w:fldChar w:fldCharType="end"/>
      </w:r>
      <w:bookmarkEnd w:id="10"/>
      <w:r w:rsidRPr="0000255F">
        <w:t>: Volume weighted average spot price by region ($/MWh)</w:t>
      </w:r>
    </w:p>
    <w:p w:rsidR="001F22EE" w:rsidRDefault="006D6F03" w:rsidP="00F167CF">
      <w:pPr>
        <w:spacing w:before="0" w:after="120" w:line="240" w:lineRule="auto"/>
      </w:pPr>
      <w:r w:rsidRPr="006D6F03">
        <w:rPr>
          <w:noProof/>
          <w:lang w:eastAsia="en-AU"/>
        </w:rPr>
        <w:drawing>
          <wp:inline distT="0" distB="0" distL="0" distR="0" wp14:anchorId="2844C6D0" wp14:editId="718BD953">
            <wp:extent cx="5731510" cy="2858405"/>
            <wp:effectExtent l="0" t="0" r="2540" b="0"/>
            <wp:docPr id="4" name="Picture 4"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8405"/>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1" w:name="_Ref410382587"/>
      <w:r w:rsidRPr="00686EDE">
        <w:t xml:space="preserve">Table </w:t>
      </w:r>
      <w:r w:rsidR="00D9655A">
        <w:fldChar w:fldCharType="begin"/>
      </w:r>
      <w:r w:rsidR="00D9655A">
        <w:instrText xml:space="preserve"> SEQ Table \* ARABIC </w:instrText>
      </w:r>
      <w:r w:rsidR="00D9655A">
        <w:fldChar w:fldCharType="separate"/>
      </w:r>
      <w:r w:rsidR="00D9655A">
        <w:rPr>
          <w:noProof/>
        </w:rPr>
        <w:t>1</w:t>
      </w:r>
      <w:r w:rsidR="00D9655A">
        <w:rPr>
          <w:noProof/>
        </w:rPr>
        <w:fldChar w:fldCharType="end"/>
      </w:r>
      <w:bookmarkEnd w:id="11"/>
      <w:r w:rsidRPr="00686EDE">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B95B0D">
            <w:pPr>
              <w:spacing w:before="120"/>
              <w:jc w:val="center"/>
              <w:rPr>
                <w:sz w:val="20"/>
              </w:rPr>
            </w:pPr>
            <w:r w:rsidRPr="00C4712A">
              <w:rPr>
                <w:sz w:val="20"/>
              </w:rPr>
              <w:t>Region</w:t>
            </w:r>
          </w:p>
        </w:tc>
        <w:tc>
          <w:tcPr>
            <w:tcW w:w="728" w:type="pct"/>
            <w:noWrap/>
            <w:vAlign w:val="center"/>
            <w:hideMark/>
          </w:tcPr>
          <w:p w:rsidR="00B92CD5" w:rsidRPr="00C4712A" w:rsidRDefault="00B92CD5" w:rsidP="00B95B0D">
            <w:pPr>
              <w:spacing w:before="120"/>
              <w:jc w:val="center"/>
              <w:rPr>
                <w:sz w:val="20"/>
              </w:rPr>
            </w:pPr>
            <w:r w:rsidRPr="00C4712A">
              <w:rPr>
                <w:sz w:val="20"/>
              </w:rPr>
              <w:t>Qld</w:t>
            </w:r>
          </w:p>
        </w:tc>
        <w:tc>
          <w:tcPr>
            <w:tcW w:w="729" w:type="pct"/>
            <w:noWrap/>
            <w:vAlign w:val="center"/>
            <w:hideMark/>
          </w:tcPr>
          <w:p w:rsidR="00B92CD5" w:rsidRPr="00C4712A" w:rsidRDefault="00B92CD5" w:rsidP="00B95B0D">
            <w:pPr>
              <w:spacing w:before="120"/>
              <w:jc w:val="center"/>
              <w:rPr>
                <w:sz w:val="20"/>
              </w:rPr>
            </w:pPr>
            <w:r w:rsidRPr="00C4712A">
              <w:rPr>
                <w:sz w:val="20"/>
              </w:rPr>
              <w:t>NSW</w:t>
            </w:r>
          </w:p>
        </w:tc>
        <w:tc>
          <w:tcPr>
            <w:tcW w:w="728" w:type="pct"/>
            <w:noWrap/>
            <w:vAlign w:val="center"/>
            <w:hideMark/>
          </w:tcPr>
          <w:p w:rsidR="00B92CD5" w:rsidRPr="00C4712A" w:rsidRDefault="00B92CD5" w:rsidP="00B95B0D">
            <w:pPr>
              <w:spacing w:before="120"/>
              <w:jc w:val="center"/>
              <w:rPr>
                <w:sz w:val="20"/>
              </w:rPr>
            </w:pPr>
            <w:r w:rsidRPr="00C4712A">
              <w:rPr>
                <w:sz w:val="20"/>
              </w:rPr>
              <w:t>Vic</w:t>
            </w:r>
          </w:p>
        </w:tc>
        <w:tc>
          <w:tcPr>
            <w:tcW w:w="729" w:type="pct"/>
            <w:noWrap/>
            <w:vAlign w:val="center"/>
            <w:hideMark/>
          </w:tcPr>
          <w:p w:rsidR="00B92CD5" w:rsidRPr="00C4712A" w:rsidRDefault="00B92CD5" w:rsidP="00B95B0D">
            <w:pPr>
              <w:spacing w:before="120"/>
              <w:jc w:val="center"/>
              <w:rPr>
                <w:sz w:val="20"/>
              </w:rPr>
            </w:pPr>
            <w:r w:rsidRPr="00C4712A">
              <w:rPr>
                <w:sz w:val="20"/>
              </w:rPr>
              <w:t>SA</w:t>
            </w:r>
          </w:p>
        </w:tc>
        <w:tc>
          <w:tcPr>
            <w:tcW w:w="729" w:type="pct"/>
            <w:noWrap/>
            <w:vAlign w:val="center"/>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6D6F03" w:rsidRPr="00C4712A" w:rsidTr="006D6F03">
        <w:trPr>
          <w:trHeight w:hRule="exact" w:val="340"/>
        </w:trPr>
        <w:tc>
          <w:tcPr>
            <w:tcW w:w="1357" w:type="pct"/>
            <w:noWrap/>
            <w:vAlign w:val="center"/>
            <w:hideMark/>
          </w:tcPr>
          <w:p w:rsidR="006D6F03" w:rsidRPr="00B95B0D" w:rsidRDefault="006D6F03" w:rsidP="001A73EF">
            <w:pPr>
              <w:spacing w:before="60" w:afterLines="120" w:after="288"/>
              <w:rPr>
                <w:rFonts w:cs="Arial"/>
                <w:bCs/>
                <w:sz w:val="20"/>
                <w:szCs w:val="20"/>
              </w:rPr>
            </w:pPr>
            <w:r w:rsidRPr="00B95B0D">
              <w:rPr>
                <w:rFonts w:cs="Arial"/>
                <w:bCs/>
                <w:sz w:val="20"/>
                <w:szCs w:val="20"/>
              </w:rPr>
              <w:t>Current week</w:t>
            </w:r>
          </w:p>
        </w:tc>
        <w:tc>
          <w:tcPr>
            <w:tcW w:w="728" w:type="pct"/>
            <w:noWrap/>
            <w:vAlign w:val="center"/>
          </w:tcPr>
          <w:p w:rsidR="006D6F03" w:rsidRPr="006D6F03" w:rsidRDefault="006D6F03" w:rsidP="006D6F03">
            <w:pPr>
              <w:spacing w:before="0" w:after="0" w:line="240" w:lineRule="auto"/>
              <w:jc w:val="center"/>
              <w:rPr>
                <w:sz w:val="20"/>
              </w:rPr>
            </w:pPr>
            <w:r w:rsidRPr="006D6F03">
              <w:rPr>
                <w:sz w:val="20"/>
              </w:rPr>
              <w:t>90</w:t>
            </w:r>
          </w:p>
        </w:tc>
        <w:tc>
          <w:tcPr>
            <w:tcW w:w="729" w:type="pct"/>
            <w:noWrap/>
            <w:vAlign w:val="center"/>
          </w:tcPr>
          <w:p w:rsidR="006D6F03" w:rsidRPr="006D6F03" w:rsidRDefault="006D6F03" w:rsidP="006D6F03">
            <w:pPr>
              <w:spacing w:before="0" w:after="0" w:line="240" w:lineRule="auto"/>
              <w:jc w:val="center"/>
              <w:rPr>
                <w:sz w:val="20"/>
              </w:rPr>
            </w:pPr>
            <w:r w:rsidRPr="006D6F03">
              <w:rPr>
                <w:sz w:val="20"/>
              </w:rPr>
              <w:t>91</w:t>
            </w:r>
          </w:p>
        </w:tc>
        <w:tc>
          <w:tcPr>
            <w:tcW w:w="728" w:type="pct"/>
            <w:noWrap/>
            <w:vAlign w:val="center"/>
          </w:tcPr>
          <w:p w:rsidR="006D6F03" w:rsidRPr="006D6F03" w:rsidRDefault="006D6F03" w:rsidP="006D6F03">
            <w:pPr>
              <w:spacing w:before="0" w:after="0" w:line="240" w:lineRule="auto"/>
              <w:jc w:val="center"/>
              <w:rPr>
                <w:sz w:val="20"/>
              </w:rPr>
            </w:pPr>
            <w:r w:rsidRPr="006D6F03">
              <w:rPr>
                <w:sz w:val="20"/>
              </w:rPr>
              <w:t>115</w:t>
            </w:r>
          </w:p>
        </w:tc>
        <w:tc>
          <w:tcPr>
            <w:tcW w:w="729" w:type="pct"/>
            <w:noWrap/>
            <w:vAlign w:val="center"/>
          </w:tcPr>
          <w:p w:rsidR="006D6F03" w:rsidRPr="006D6F03" w:rsidRDefault="006D6F03" w:rsidP="006D6F03">
            <w:pPr>
              <w:spacing w:before="0" w:after="0" w:line="240" w:lineRule="auto"/>
              <w:jc w:val="center"/>
              <w:rPr>
                <w:sz w:val="20"/>
              </w:rPr>
            </w:pPr>
            <w:r w:rsidRPr="006D6F03">
              <w:rPr>
                <w:sz w:val="20"/>
              </w:rPr>
              <w:t>129</w:t>
            </w:r>
          </w:p>
        </w:tc>
        <w:tc>
          <w:tcPr>
            <w:tcW w:w="729" w:type="pct"/>
            <w:noWrap/>
            <w:vAlign w:val="center"/>
          </w:tcPr>
          <w:p w:rsidR="006D6F03" w:rsidRPr="006D6F03" w:rsidRDefault="006D6F03" w:rsidP="006D6F03">
            <w:pPr>
              <w:spacing w:before="0" w:after="0" w:line="240" w:lineRule="auto"/>
              <w:jc w:val="center"/>
              <w:rPr>
                <w:sz w:val="20"/>
              </w:rPr>
            </w:pPr>
            <w:r w:rsidRPr="006D6F03">
              <w:rPr>
                <w:sz w:val="20"/>
              </w:rPr>
              <w:t>115</w:t>
            </w:r>
          </w:p>
        </w:tc>
      </w:tr>
      <w:tr w:rsidR="006D6F03" w:rsidRPr="00C4712A" w:rsidTr="006D6F03">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6D6F03" w:rsidRPr="00B95B0D" w:rsidRDefault="006D6F03" w:rsidP="001A73EF">
            <w:pPr>
              <w:spacing w:before="60" w:afterLines="120" w:after="288"/>
              <w:rPr>
                <w:rFonts w:cs="Arial"/>
                <w:bCs/>
                <w:szCs w:val="20"/>
              </w:rPr>
            </w:pPr>
            <w:r w:rsidRPr="00B95B0D">
              <w:rPr>
                <w:rFonts w:cs="Arial"/>
                <w:bCs/>
                <w:szCs w:val="20"/>
              </w:rPr>
              <w:t>15-16 financial YTD</w:t>
            </w:r>
          </w:p>
        </w:tc>
        <w:tc>
          <w:tcPr>
            <w:tcW w:w="728" w:type="pct"/>
            <w:noWrap/>
            <w:vAlign w:val="center"/>
          </w:tcPr>
          <w:p w:rsidR="006D6F03" w:rsidRPr="006D6F03" w:rsidRDefault="006D6F03" w:rsidP="006D6F03">
            <w:pPr>
              <w:spacing w:before="0" w:after="0" w:line="240" w:lineRule="auto"/>
              <w:jc w:val="center"/>
            </w:pPr>
            <w:r w:rsidRPr="006D6F03">
              <w:t>61</w:t>
            </w:r>
          </w:p>
        </w:tc>
        <w:tc>
          <w:tcPr>
            <w:tcW w:w="729" w:type="pct"/>
            <w:noWrap/>
            <w:vAlign w:val="center"/>
          </w:tcPr>
          <w:p w:rsidR="006D6F03" w:rsidRPr="006D6F03" w:rsidRDefault="006D6F03" w:rsidP="006D6F03">
            <w:pPr>
              <w:spacing w:before="0" w:after="0" w:line="240" w:lineRule="auto"/>
              <w:jc w:val="center"/>
            </w:pPr>
            <w:r w:rsidRPr="006D6F03">
              <w:t>48</w:t>
            </w:r>
          </w:p>
        </w:tc>
        <w:tc>
          <w:tcPr>
            <w:tcW w:w="728" w:type="pct"/>
            <w:noWrap/>
            <w:vAlign w:val="center"/>
          </w:tcPr>
          <w:p w:rsidR="006D6F03" w:rsidRPr="006D6F03" w:rsidRDefault="006D6F03" w:rsidP="006D6F03">
            <w:pPr>
              <w:spacing w:before="0" w:after="0" w:line="240" w:lineRule="auto"/>
              <w:jc w:val="center"/>
            </w:pPr>
            <w:r w:rsidRPr="006D6F03">
              <w:t>45</w:t>
            </w:r>
          </w:p>
        </w:tc>
        <w:tc>
          <w:tcPr>
            <w:tcW w:w="729" w:type="pct"/>
            <w:noWrap/>
            <w:vAlign w:val="center"/>
          </w:tcPr>
          <w:p w:rsidR="006D6F03" w:rsidRPr="006D6F03" w:rsidRDefault="006D6F03" w:rsidP="006D6F03">
            <w:pPr>
              <w:spacing w:before="0" w:after="0" w:line="240" w:lineRule="auto"/>
              <w:jc w:val="center"/>
            </w:pPr>
            <w:r w:rsidRPr="006D6F03">
              <w:t>61</w:t>
            </w:r>
          </w:p>
        </w:tc>
        <w:tc>
          <w:tcPr>
            <w:tcW w:w="729" w:type="pct"/>
            <w:noWrap/>
            <w:vAlign w:val="center"/>
          </w:tcPr>
          <w:p w:rsidR="006D6F03" w:rsidRPr="006D6F03" w:rsidRDefault="006D6F03" w:rsidP="006D6F03">
            <w:pPr>
              <w:spacing w:before="0" w:after="0" w:line="240" w:lineRule="auto"/>
              <w:jc w:val="center"/>
            </w:pPr>
            <w:r w:rsidRPr="006D6F03">
              <w:t>101</w:t>
            </w:r>
          </w:p>
        </w:tc>
      </w:tr>
      <w:tr w:rsidR="006D6F03" w:rsidRPr="00C4712A" w:rsidTr="006D6F03">
        <w:trPr>
          <w:trHeight w:hRule="exact" w:val="340"/>
        </w:trPr>
        <w:tc>
          <w:tcPr>
            <w:tcW w:w="1357" w:type="pct"/>
            <w:noWrap/>
            <w:vAlign w:val="center"/>
            <w:hideMark/>
          </w:tcPr>
          <w:p w:rsidR="006D6F03" w:rsidRPr="00B95B0D" w:rsidRDefault="006D6F03" w:rsidP="001A73EF">
            <w:pPr>
              <w:spacing w:before="60" w:afterLines="120" w:after="288"/>
              <w:rPr>
                <w:rFonts w:cs="Arial"/>
                <w:bCs/>
                <w:sz w:val="20"/>
                <w:szCs w:val="20"/>
              </w:rPr>
            </w:pPr>
            <w:r w:rsidRPr="00B95B0D">
              <w:rPr>
                <w:rFonts w:cs="Arial"/>
                <w:bCs/>
                <w:sz w:val="20"/>
                <w:szCs w:val="20"/>
              </w:rPr>
              <w:t>16-17 financial YTD</w:t>
            </w:r>
          </w:p>
        </w:tc>
        <w:tc>
          <w:tcPr>
            <w:tcW w:w="728" w:type="pct"/>
            <w:noWrap/>
            <w:vAlign w:val="center"/>
          </w:tcPr>
          <w:p w:rsidR="006D6F03" w:rsidRPr="006D6F03" w:rsidRDefault="006D6F03" w:rsidP="006D6F03">
            <w:pPr>
              <w:spacing w:before="0" w:after="0" w:line="240" w:lineRule="auto"/>
              <w:jc w:val="center"/>
              <w:rPr>
                <w:sz w:val="20"/>
              </w:rPr>
            </w:pPr>
            <w:r w:rsidRPr="006D6F03">
              <w:rPr>
                <w:sz w:val="20"/>
              </w:rPr>
              <w:t>106</w:t>
            </w:r>
          </w:p>
        </w:tc>
        <w:tc>
          <w:tcPr>
            <w:tcW w:w="729" w:type="pct"/>
            <w:noWrap/>
            <w:vAlign w:val="center"/>
          </w:tcPr>
          <w:p w:rsidR="006D6F03" w:rsidRPr="006D6F03" w:rsidRDefault="006D6F03" w:rsidP="006D6F03">
            <w:pPr>
              <w:spacing w:before="0" w:after="0" w:line="240" w:lineRule="auto"/>
              <w:jc w:val="center"/>
              <w:rPr>
                <w:sz w:val="20"/>
              </w:rPr>
            </w:pPr>
            <w:r w:rsidRPr="006D6F03">
              <w:rPr>
                <w:sz w:val="20"/>
              </w:rPr>
              <w:t>89</w:t>
            </w:r>
          </w:p>
        </w:tc>
        <w:tc>
          <w:tcPr>
            <w:tcW w:w="728" w:type="pct"/>
            <w:noWrap/>
            <w:vAlign w:val="center"/>
          </w:tcPr>
          <w:p w:rsidR="006D6F03" w:rsidRPr="006D6F03" w:rsidRDefault="006D6F03" w:rsidP="006D6F03">
            <w:pPr>
              <w:spacing w:before="0" w:after="0" w:line="240" w:lineRule="auto"/>
              <w:jc w:val="center"/>
              <w:rPr>
                <w:sz w:val="20"/>
              </w:rPr>
            </w:pPr>
            <w:r w:rsidRPr="006D6F03">
              <w:rPr>
                <w:sz w:val="20"/>
              </w:rPr>
              <w:t>66</w:t>
            </w:r>
          </w:p>
        </w:tc>
        <w:tc>
          <w:tcPr>
            <w:tcW w:w="729" w:type="pct"/>
            <w:noWrap/>
            <w:vAlign w:val="center"/>
          </w:tcPr>
          <w:p w:rsidR="006D6F03" w:rsidRPr="006D6F03" w:rsidRDefault="006D6F03" w:rsidP="006D6F03">
            <w:pPr>
              <w:spacing w:before="0" w:after="0" w:line="240" w:lineRule="auto"/>
              <w:jc w:val="center"/>
              <w:rPr>
                <w:sz w:val="20"/>
              </w:rPr>
            </w:pPr>
            <w:r w:rsidRPr="006D6F03">
              <w:rPr>
                <w:sz w:val="20"/>
              </w:rPr>
              <w:t>125</w:t>
            </w:r>
          </w:p>
        </w:tc>
        <w:tc>
          <w:tcPr>
            <w:tcW w:w="729" w:type="pct"/>
            <w:noWrap/>
            <w:vAlign w:val="center"/>
          </w:tcPr>
          <w:p w:rsidR="006D6F03" w:rsidRPr="006D6F03" w:rsidRDefault="006D6F03" w:rsidP="006D6F03">
            <w:pPr>
              <w:spacing w:before="0" w:after="0" w:line="240" w:lineRule="auto"/>
              <w:jc w:val="center"/>
              <w:rPr>
                <w:sz w:val="20"/>
              </w:rPr>
            </w:pPr>
            <w:r w:rsidRPr="006D6F03">
              <w:rPr>
                <w:sz w:val="20"/>
              </w:rPr>
              <w:t>72</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8"/>
      <w:bookmarkEnd w:id="9"/>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1A73EF">
        <w:t>1</w:t>
      </w:r>
      <w:r w:rsidR="006D6F03">
        <w:t>25</w:t>
      </w:r>
      <w:r w:rsidR="00FD34BC" w:rsidRPr="00C944D6">
        <w:t xml:space="preserve"> trading</w:t>
      </w:r>
      <w:r w:rsidR="00FD34BC" w:rsidRPr="003A4136">
        <w:t xml:space="preserve"> intervals throughout the week where actual prices varied significantly from forecasts. This compares to the weekly average in 201</w:t>
      </w:r>
      <w:r w:rsidR="00214274">
        <w:t>6</w:t>
      </w:r>
      <w:r w:rsidR="00FD34BC" w:rsidRPr="003A4136">
        <w:t xml:space="preserve"> of </w:t>
      </w:r>
      <w:r w:rsidR="00214274">
        <w:t>273</w:t>
      </w:r>
      <w:r w:rsidR="00FD34BC" w:rsidRPr="003A4136">
        <w:t xml:space="preserve"> counts and the average in 201</w:t>
      </w:r>
      <w:r w:rsidR="00214274">
        <w:t>5</w:t>
      </w:r>
      <w:r w:rsidR="00FD34BC" w:rsidRPr="003A4136">
        <w:t xml:space="preserve"> of </w:t>
      </w:r>
      <w:r w:rsidR="00214274">
        <w:t>133</w:t>
      </w:r>
      <w:r w:rsidR="00FD34BC" w:rsidRPr="003A4136">
        <w:t xml:space="preserve">.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D9655A" w:rsidRPr="00686EDE">
        <w:t xml:space="preserve">Table </w:t>
      </w:r>
      <w:r w:rsidR="00D9655A">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C4712A" w:rsidRDefault="00275002" w:rsidP="000E2946">
      <w:pPr>
        <w:pStyle w:val="Caption"/>
      </w:pPr>
      <w:bookmarkStart w:id="12" w:name="_Ref410993002"/>
      <w:bookmarkStart w:id="13" w:name="_Ref410992996"/>
      <w:r w:rsidRPr="00686EDE">
        <w:lastRenderedPageBreak/>
        <w:t xml:space="preserve">Table </w:t>
      </w:r>
      <w:r w:rsidR="00D9655A">
        <w:fldChar w:fldCharType="begin"/>
      </w:r>
      <w:r w:rsidR="00D9655A">
        <w:instrText xml:space="preserve"> SEQ Table \* ARABIC </w:instrText>
      </w:r>
      <w:r w:rsidR="00D9655A">
        <w:fldChar w:fldCharType="separate"/>
      </w:r>
      <w:r w:rsidR="00D9655A">
        <w:rPr>
          <w:noProof/>
        </w:rPr>
        <w:t>2</w:t>
      </w:r>
      <w:r w:rsidR="00D9655A">
        <w:rPr>
          <w:noProof/>
        </w:rPr>
        <w:fldChar w:fldCharType="end"/>
      </w:r>
      <w:bookmarkEnd w:id="12"/>
      <w:r w:rsidRPr="00686EDE">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6D6F03" w:rsidRPr="00C4712A" w:rsidTr="00277ADB">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6D6F03" w:rsidRPr="00C4712A" w:rsidRDefault="006D6F03" w:rsidP="000D05BD">
            <w:pPr>
              <w:spacing w:before="60"/>
              <w:rPr>
                <w:sz w:val="20"/>
                <w:szCs w:val="20"/>
              </w:rPr>
            </w:pPr>
            <w:r w:rsidRPr="00C4712A">
              <w:rPr>
                <w:sz w:val="20"/>
                <w:szCs w:val="20"/>
              </w:rPr>
              <w:t>% of total above forecast</w:t>
            </w:r>
          </w:p>
        </w:tc>
        <w:tc>
          <w:tcPr>
            <w:tcW w:w="1571" w:type="dxa"/>
            <w:noWrap/>
            <w:vAlign w:val="center"/>
          </w:tcPr>
          <w:p w:rsidR="006D6F03" w:rsidRDefault="006D6F03" w:rsidP="006D6F03">
            <w:pPr>
              <w:spacing w:after="0" w:line="240" w:lineRule="auto"/>
              <w:jc w:val="center"/>
              <w:rPr>
                <w:rFonts w:cs="Arial"/>
                <w:sz w:val="20"/>
                <w:szCs w:val="20"/>
              </w:rPr>
            </w:pPr>
            <w:r>
              <w:rPr>
                <w:rFonts w:cs="Arial"/>
                <w:sz w:val="20"/>
                <w:szCs w:val="20"/>
              </w:rPr>
              <w:t>7</w:t>
            </w:r>
          </w:p>
        </w:tc>
        <w:tc>
          <w:tcPr>
            <w:tcW w:w="1572" w:type="dxa"/>
            <w:noWrap/>
            <w:vAlign w:val="center"/>
          </w:tcPr>
          <w:p w:rsidR="006D6F03" w:rsidRDefault="006D6F03" w:rsidP="006D6F03">
            <w:pPr>
              <w:spacing w:after="0" w:line="240" w:lineRule="auto"/>
              <w:jc w:val="center"/>
              <w:rPr>
                <w:rFonts w:cs="Arial"/>
                <w:sz w:val="20"/>
                <w:szCs w:val="20"/>
              </w:rPr>
            </w:pPr>
            <w:r>
              <w:rPr>
                <w:rFonts w:cs="Arial"/>
                <w:sz w:val="20"/>
                <w:szCs w:val="20"/>
              </w:rPr>
              <w:t>31</w:t>
            </w:r>
          </w:p>
        </w:tc>
        <w:tc>
          <w:tcPr>
            <w:tcW w:w="1572" w:type="dxa"/>
            <w:noWrap/>
            <w:vAlign w:val="center"/>
          </w:tcPr>
          <w:p w:rsidR="006D6F03" w:rsidRDefault="006D6F03" w:rsidP="006D6F03">
            <w:pPr>
              <w:spacing w:after="0" w:line="240" w:lineRule="auto"/>
              <w:jc w:val="center"/>
              <w:rPr>
                <w:rFonts w:cs="Arial"/>
                <w:sz w:val="20"/>
                <w:szCs w:val="20"/>
              </w:rPr>
            </w:pPr>
            <w:r>
              <w:rPr>
                <w:rFonts w:cs="Arial"/>
                <w:sz w:val="20"/>
                <w:szCs w:val="20"/>
              </w:rPr>
              <w:t>0</w:t>
            </w:r>
          </w:p>
        </w:tc>
        <w:tc>
          <w:tcPr>
            <w:tcW w:w="1572" w:type="dxa"/>
            <w:vAlign w:val="center"/>
          </w:tcPr>
          <w:p w:rsidR="006D6F03" w:rsidRDefault="006D6F03" w:rsidP="006D6F03">
            <w:pPr>
              <w:spacing w:after="0" w:line="240" w:lineRule="auto"/>
              <w:jc w:val="center"/>
              <w:rPr>
                <w:rFonts w:cs="Arial"/>
                <w:sz w:val="20"/>
                <w:szCs w:val="20"/>
              </w:rPr>
            </w:pPr>
            <w:r>
              <w:rPr>
                <w:rFonts w:cs="Arial"/>
                <w:sz w:val="20"/>
                <w:szCs w:val="20"/>
              </w:rPr>
              <w:t>4</w:t>
            </w:r>
          </w:p>
        </w:tc>
      </w:tr>
      <w:tr w:rsidR="006D6F03" w:rsidRPr="00C4712A" w:rsidTr="00277ADB">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6D6F03" w:rsidRPr="00C4712A" w:rsidRDefault="006D6F03" w:rsidP="000D05BD">
            <w:pPr>
              <w:spacing w:before="60"/>
              <w:rPr>
                <w:sz w:val="20"/>
                <w:szCs w:val="20"/>
              </w:rPr>
            </w:pPr>
            <w:r w:rsidRPr="00C4712A">
              <w:rPr>
                <w:sz w:val="20"/>
                <w:szCs w:val="20"/>
              </w:rPr>
              <w:t>% of total below forecast</w:t>
            </w:r>
          </w:p>
        </w:tc>
        <w:tc>
          <w:tcPr>
            <w:tcW w:w="1571" w:type="dxa"/>
            <w:noWrap/>
            <w:vAlign w:val="center"/>
          </w:tcPr>
          <w:p w:rsidR="006D6F03" w:rsidRDefault="006D6F03" w:rsidP="006D6F03">
            <w:pPr>
              <w:spacing w:after="0" w:line="240" w:lineRule="auto"/>
              <w:jc w:val="center"/>
              <w:rPr>
                <w:rFonts w:cs="Arial"/>
                <w:sz w:val="20"/>
                <w:szCs w:val="20"/>
              </w:rPr>
            </w:pPr>
            <w:r>
              <w:rPr>
                <w:rFonts w:cs="Arial"/>
                <w:sz w:val="20"/>
                <w:szCs w:val="20"/>
              </w:rPr>
              <w:t>54</w:t>
            </w:r>
          </w:p>
        </w:tc>
        <w:tc>
          <w:tcPr>
            <w:tcW w:w="1572" w:type="dxa"/>
            <w:noWrap/>
            <w:vAlign w:val="center"/>
          </w:tcPr>
          <w:p w:rsidR="006D6F03" w:rsidRDefault="006D6F03" w:rsidP="006D6F03">
            <w:pPr>
              <w:spacing w:after="0" w:line="240" w:lineRule="auto"/>
              <w:jc w:val="center"/>
              <w:rPr>
                <w:rFonts w:cs="Arial"/>
                <w:sz w:val="20"/>
                <w:szCs w:val="20"/>
              </w:rPr>
            </w:pPr>
            <w:r>
              <w:rPr>
                <w:rFonts w:cs="Arial"/>
                <w:sz w:val="20"/>
                <w:szCs w:val="20"/>
              </w:rPr>
              <w:t>3</w:t>
            </w:r>
          </w:p>
        </w:tc>
        <w:tc>
          <w:tcPr>
            <w:tcW w:w="1572" w:type="dxa"/>
            <w:noWrap/>
            <w:vAlign w:val="center"/>
          </w:tcPr>
          <w:p w:rsidR="006D6F03" w:rsidRDefault="006D6F03" w:rsidP="006D6F03">
            <w:pPr>
              <w:spacing w:after="0" w:line="240" w:lineRule="auto"/>
              <w:jc w:val="center"/>
              <w:rPr>
                <w:rFonts w:cs="Arial"/>
                <w:sz w:val="20"/>
                <w:szCs w:val="20"/>
              </w:rPr>
            </w:pPr>
            <w:r>
              <w:rPr>
                <w:rFonts w:cs="Arial"/>
                <w:sz w:val="20"/>
                <w:szCs w:val="20"/>
              </w:rPr>
              <w:t>0</w:t>
            </w:r>
          </w:p>
        </w:tc>
        <w:tc>
          <w:tcPr>
            <w:tcW w:w="1572" w:type="dxa"/>
            <w:vAlign w:val="center"/>
          </w:tcPr>
          <w:p w:rsidR="006D6F03" w:rsidRDefault="006D6F03" w:rsidP="006D6F03">
            <w:pPr>
              <w:spacing w:after="0" w:line="240" w:lineRule="auto"/>
              <w:jc w:val="center"/>
              <w:rPr>
                <w:rFonts w:cs="Arial"/>
                <w:sz w:val="20"/>
                <w:szCs w:val="20"/>
              </w:rPr>
            </w:pPr>
            <w:r>
              <w:rPr>
                <w:rFonts w:cs="Arial"/>
                <w:sz w:val="20"/>
                <w:szCs w:val="20"/>
              </w:rPr>
              <w:t>1</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D9655A" w:rsidRPr="00686EDE">
        <w:t xml:space="preserve">Figure </w:t>
      </w:r>
      <w:r w:rsidR="00D9655A">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D9655A" w:rsidRPr="00686EDE">
        <w:t xml:space="preserve">Figure </w:t>
      </w:r>
      <w:r w:rsidR="00D9655A" w:rsidRPr="00D9655A">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686EDE">
        <w:t xml:space="preserve">Figure </w:t>
      </w:r>
      <w:r w:rsidR="00D9655A">
        <w:fldChar w:fldCharType="begin"/>
      </w:r>
      <w:r w:rsidR="00D9655A">
        <w:instrText xml:space="preserve"> SEQ Figure \* ARABIC </w:instrText>
      </w:r>
      <w:r w:rsidR="00D9655A">
        <w:fldChar w:fldCharType="separate"/>
      </w:r>
      <w:r w:rsidR="00D9655A">
        <w:rPr>
          <w:noProof/>
        </w:rPr>
        <w:t>3</w:t>
      </w:r>
      <w:r w:rsidR="00D9655A">
        <w:rPr>
          <w:noProof/>
        </w:rPr>
        <w:fldChar w:fldCharType="end"/>
      </w:r>
      <w:bookmarkEnd w:id="14"/>
      <w:r w:rsidRPr="00686EDE">
        <w:t>: Queensland generation and bidding patterns</w:t>
      </w:r>
    </w:p>
    <w:p w:rsidR="007B78AB" w:rsidRPr="008707C1" w:rsidRDefault="006D6F03" w:rsidP="00886FA8">
      <w:pPr>
        <w:pStyle w:val="AERbodytext"/>
        <w:rPr>
          <w:bCs w:val="0"/>
        </w:rPr>
      </w:pPr>
      <w:r w:rsidRPr="006D6F03">
        <w:rPr>
          <w:noProof/>
        </w:rPr>
        <w:drawing>
          <wp:inline distT="0" distB="0" distL="0" distR="0" wp14:anchorId="1D1D3519" wp14:editId="048AC1CC">
            <wp:extent cx="5731510" cy="3900496"/>
            <wp:effectExtent l="0" t="0" r="2540" b="5080"/>
            <wp:docPr id="5" name="Picture 5"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900496"/>
                    </a:xfrm>
                    <a:prstGeom prst="rect">
                      <a:avLst/>
                    </a:prstGeom>
                    <a:noFill/>
                    <a:ln>
                      <a:noFill/>
                    </a:ln>
                  </pic:spPr>
                </pic:pic>
              </a:graphicData>
            </a:graphic>
          </wp:inline>
        </w:drawing>
      </w:r>
    </w:p>
    <w:p w:rsidR="00275002" w:rsidRPr="00C4712A" w:rsidRDefault="00275002" w:rsidP="000E2946">
      <w:pPr>
        <w:pStyle w:val="Caption"/>
      </w:pPr>
      <w:bookmarkStart w:id="15" w:name="_Ref428273135"/>
      <w:r w:rsidRPr="00686EDE">
        <w:lastRenderedPageBreak/>
        <w:t xml:space="preserve">Figure </w:t>
      </w:r>
      <w:r w:rsidR="00D9655A">
        <w:fldChar w:fldCharType="begin"/>
      </w:r>
      <w:r w:rsidR="00D9655A">
        <w:instrText xml:space="preserve"> SEQ Figure \* ARABIC </w:instrText>
      </w:r>
      <w:r w:rsidR="00D9655A">
        <w:fldChar w:fldCharType="separate"/>
      </w:r>
      <w:r w:rsidR="00D9655A">
        <w:rPr>
          <w:noProof/>
        </w:rPr>
        <w:t>4</w:t>
      </w:r>
      <w:r w:rsidR="00D9655A">
        <w:rPr>
          <w:noProof/>
        </w:rPr>
        <w:fldChar w:fldCharType="end"/>
      </w:r>
      <w:bookmarkEnd w:id="15"/>
      <w:r w:rsidRPr="00686EDE">
        <w:t>: New South Wales generation and bidding patterns</w:t>
      </w:r>
    </w:p>
    <w:p w:rsidR="00181C46" w:rsidRPr="00C4712A" w:rsidRDefault="006D6F03" w:rsidP="00181C46">
      <w:r w:rsidRPr="006D6F03">
        <w:rPr>
          <w:noProof/>
          <w:lang w:eastAsia="en-AU"/>
        </w:rPr>
        <w:drawing>
          <wp:inline distT="0" distB="0" distL="0" distR="0" wp14:anchorId="5A396E0C" wp14:editId="683FB260">
            <wp:extent cx="5731510" cy="3900496"/>
            <wp:effectExtent l="0" t="0" r="2540" b="5080"/>
            <wp:docPr id="6" name="Picture 6"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900496"/>
                    </a:xfrm>
                    <a:prstGeom prst="rect">
                      <a:avLst/>
                    </a:prstGeom>
                    <a:noFill/>
                    <a:ln>
                      <a:noFill/>
                    </a:ln>
                  </pic:spPr>
                </pic:pic>
              </a:graphicData>
            </a:graphic>
          </wp:inline>
        </w:drawing>
      </w:r>
    </w:p>
    <w:p w:rsidR="00275002" w:rsidRPr="00C4712A" w:rsidRDefault="00275002" w:rsidP="000E2946">
      <w:pPr>
        <w:pStyle w:val="Caption"/>
      </w:pPr>
      <w:r w:rsidRPr="00686EDE">
        <w:t xml:space="preserve">Figure </w:t>
      </w:r>
      <w:r w:rsidR="00D9655A">
        <w:fldChar w:fldCharType="begin"/>
      </w:r>
      <w:r w:rsidR="00D9655A">
        <w:instrText xml:space="preserve"> SEQ Figure \* ARABIC </w:instrText>
      </w:r>
      <w:r w:rsidR="00D9655A">
        <w:fldChar w:fldCharType="separate"/>
      </w:r>
      <w:r w:rsidR="00D9655A">
        <w:rPr>
          <w:noProof/>
        </w:rPr>
        <w:t>5</w:t>
      </w:r>
      <w:r w:rsidR="00D9655A">
        <w:rPr>
          <w:noProof/>
        </w:rPr>
        <w:fldChar w:fldCharType="end"/>
      </w:r>
      <w:r w:rsidRPr="00686EDE">
        <w:t>: Victoria generation and bidding patterns</w:t>
      </w:r>
    </w:p>
    <w:p w:rsidR="00FB265D" w:rsidRDefault="006D6F03" w:rsidP="00FB265D">
      <w:r w:rsidRPr="006D6F03">
        <w:rPr>
          <w:noProof/>
          <w:lang w:eastAsia="en-AU"/>
        </w:rPr>
        <w:drawing>
          <wp:inline distT="0" distB="0" distL="0" distR="0" wp14:anchorId="6EAAFBEB" wp14:editId="308F478E">
            <wp:extent cx="5731510" cy="3900496"/>
            <wp:effectExtent l="0" t="0" r="2540" b="5080"/>
            <wp:docPr id="7" name="Picture 7"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900496"/>
                    </a:xfrm>
                    <a:prstGeom prst="rect">
                      <a:avLst/>
                    </a:prstGeom>
                    <a:noFill/>
                    <a:ln>
                      <a:noFill/>
                    </a:ln>
                  </pic:spPr>
                </pic:pic>
              </a:graphicData>
            </a:graphic>
          </wp:inline>
        </w:drawing>
      </w:r>
    </w:p>
    <w:p w:rsidR="00862283" w:rsidRDefault="00862283" w:rsidP="00862283">
      <w:pPr>
        <w:pStyle w:val="AERbodytext"/>
      </w:pPr>
      <w:bookmarkStart w:id="16" w:name="_Ref423965683"/>
    </w:p>
    <w:p w:rsidR="00275002" w:rsidRPr="00686EDE" w:rsidRDefault="00275002" w:rsidP="000E2946">
      <w:pPr>
        <w:pStyle w:val="Caption"/>
      </w:pPr>
      <w:r w:rsidRPr="00686EDE">
        <w:lastRenderedPageBreak/>
        <w:t xml:space="preserve">Figure </w:t>
      </w:r>
      <w:r w:rsidR="00D9655A">
        <w:fldChar w:fldCharType="begin"/>
      </w:r>
      <w:r w:rsidR="00D9655A">
        <w:instrText xml:space="preserve"> SEQ Figure \* ARABIC </w:instrText>
      </w:r>
      <w:r w:rsidR="00D9655A">
        <w:fldChar w:fldCharType="separate"/>
      </w:r>
      <w:r w:rsidR="00D9655A">
        <w:rPr>
          <w:noProof/>
        </w:rPr>
        <w:t>6</w:t>
      </w:r>
      <w:r w:rsidR="00D9655A">
        <w:rPr>
          <w:noProof/>
        </w:rPr>
        <w:fldChar w:fldCharType="end"/>
      </w:r>
      <w:bookmarkEnd w:id="16"/>
      <w:r w:rsidRPr="00686EDE">
        <w:t>: South Australia generation and bidding patterns</w:t>
      </w:r>
    </w:p>
    <w:p w:rsidR="002F2481" w:rsidRPr="00686EDE" w:rsidRDefault="001A1357" w:rsidP="00A25353">
      <w:r w:rsidRPr="001A1357">
        <w:rPr>
          <w:noProof/>
          <w:lang w:eastAsia="en-AU"/>
        </w:rPr>
        <w:drawing>
          <wp:inline distT="0" distB="0" distL="0" distR="0" wp14:anchorId="03B8DCB2" wp14:editId="65F73E6D">
            <wp:extent cx="5731510" cy="4254873"/>
            <wp:effectExtent l="0" t="0" r="2540" b="0"/>
            <wp:docPr id="23" name="Picture 23"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254873"/>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686EDE">
        <w:t xml:space="preserve">Figure </w:t>
      </w:r>
      <w:r w:rsidR="00D9655A">
        <w:fldChar w:fldCharType="begin"/>
      </w:r>
      <w:r w:rsidR="00D9655A">
        <w:instrText xml:space="preserve"> SEQ Figure \* ARABIC </w:instrText>
      </w:r>
      <w:r w:rsidR="00D9655A">
        <w:fldChar w:fldCharType="separate"/>
      </w:r>
      <w:r w:rsidR="00D9655A">
        <w:rPr>
          <w:noProof/>
        </w:rPr>
        <w:t>7</w:t>
      </w:r>
      <w:r w:rsidR="00D9655A">
        <w:rPr>
          <w:noProof/>
        </w:rPr>
        <w:fldChar w:fldCharType="end"/>
      </w:r>
      <w:bookmarkEnd w:id="17"/>
      <w:r w:rsidRPr="00686EDE">
        <w:t>: Tasmania generation and bidding patterns</w:t>
      </w:r>
    </w:p>
    <w:bookmarkEnd w:id="18"/>
    <w:p w:rsidR="00DB7B59" w:rsidRDefault="006D6F03" w:rsidP="00AF7C0E">
      <w:pPr>
        <w:pStyle w:val="AERbodytext"/>
      </w:pPr>
      <w:r w:rsidRPr="006D6F03">
        <w:rPr>
          <w:noProof/>
        </w:rPr>
        <w:drawing>
          <wp:inline distT="0" distB="0" distL="0" distR="0" wp14:anchorId="5922CA6A" wp14:editId="26BC3726">
            <wp:extent cx="5731510" cy="3900496"/>
            <wp:effectExtent l="0" t="0" r="2540" b="5080"/>
            <wp:docPr id="8" name="Picture 8"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3900496"/>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5475AD">
      <w:pPr>
        <w:pStyle w:val="Bulletpoint"/>
        <w:jc w:val="both"/>
      </w:pPr>
      <w:r w:rsidRPr="00C4712A">
        <w:t>fast services, which arrest a frequency deviation within the first 6 seconds of a contingent event (raise and lower 6 second)</w:t>
      </w:r>
    </w:p>
    <w:p w:rsidR="00275002" w:rsidRPr="00C4712A" w:rsidRDefault="00275002" w:rsidP="005475AD">
      <w:pPr>
        <w:pStyle w:val="Bulletpoint"/>
        <w:jc w:val="both"/>
      </w:pPr>
      <w:r w:rsidRPr="00C4712A">
        <w:t>slow services, which stabilise frequency deviations within 60 seconds of the event (raise and lower 60 second)</w:t>
      </w:r>
    </w:p>
    <w:p w:rsidR="00275002" w:rsidRPr="00C4712A" w:rsidRDefault="00275002" w:rsidP="005475AD">
      <w:pPr>
        <w:pStyle w:val="Bulletpoint"/>
        <w:jc w:val="both"/>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9115F5">
      <w:pPr>
        <w:spacing w:line="240" w:lineRule="auto"/>
        <w:jc w:val="both"/>
        <w:rPr>
          <w:rFonts w:eastAsia="Times New Roman" w:cs="Arial"/>
          <w:bCs/>
          <w:lang w:eastAsia="en-AU"/>
        </w:rPr>
      </w:pPr>
      <w:bookmarkStart w:id="19" w:name="_Ref410383413"/>
      <w:r w:rsidRPr="00612013">
        <w:rPr>
          <w:rFonts w:eastAsia="Times New Roman" w:cs="Arial"/>
          <w:bCs/>
          <w:lang w:eastAsia="en-AU"/>
        </w:rPr>
        <w:t>The total cost of FCAS on the mainland for the week was $</w:t>
      </w:r>
      <w:r w:rsidR="006C3CFD">
        <w:rPr>
          <w:rFonts w:eastAsia="Times New Roman" w:cs="Arial"/>
          <w:bCs/>
          <w:lang w:eastAsia="en-AU"/>
        </w:rPr>
        <w:t>2 </w:t>
      </w:r>
      <w:r w:rsidR="006D4889">
        <w:rPr>
          <w:rFonts w:eastAsia="Times New Roman" w:cs="Arial"/>
          <w:bCs/>
          <w:lang w:eastAsia="en-AU"/>
        </w:rPr>
        <w:t>290</w:t>
      </w:r>
      <w:r w:rsidR="006C3CFD">
        <w:rPr>
          <w:rFonts w:eastAsia="Times New Roman" w:cs="Arial"/>
          <w:bCs/>
          <w:lang w:eastAsia="en-AU"/>
        </w:rPr>
        <w:t> </w:t>
      </w:r>
      <w:r w:rsidR="006D4889">
        <w:rPr>
          <w:rFonts w:eastAsia="Times New Roman" w:cs="Arial"/>
          <w:bCs/>
          <w:lang w:eastAsia="en-AU"/>
        </w:rPr>
        <w:t>0</w:t>
      </w:r>
      <w:r w:rsidR="006C3CFD">
        <w:rPr>
          <w:rFonts w:eastAsia="Times New Roman" w:cs="Arial"/>
          <w:bCs/>
          <w:lang w:eastAsia="en-AU"/>
        </w:rPr>
        <w:t>00</w:t>
      </w:r>
      <w:r w:rsidRPr="00612013">
        <w:rPr>
          <w:rFonts w:eastAsia="Times New Roman" w:cs="Arial"/>
          <w:bCs/>
          <w:lang w:eastAsia="en-AU"/>
        </w:rPr>
        <w:t xml:space="preserve"> or </w:t>
      </w:r>
      <w:r w:rsidR="00474FEC">
        <w:rPr>
          <w:rFonts w:eastAsia="Times New Roman" w:cs="Arial"/>
          <w:bCs/>
          <w:lang w:eastAsia="en-AU"/>
        </w:rPr>
        <w:t>around</w:t>
      </w:r>
      <w:r w:rsidR="001761FF" w:rsidRPr="00612013">
        <w:rPr>
          <w:rFonts w:eastAsia="Times New Roman" w:cs="Arial"/>
          <w:bCs/>
          <w:lang w:eastAsia="en-AU"/>
        </w:rPr>
        <w:t xml:space="preserve"> </w:t>
      </w:r>
      <w:r w:rsidR="006C3CFD">
        <w:rPr>
          <w:rFonts w:eastAsia="Times New Roman" w:cs="Arial"/>
          <w:bCs/>
          <w:lang w:eastAsia="en-AU"/>
        </w:rPr>
        <w:t>one</w:t>
      </w:r>
      <w:r w:rsidR="00D84E13">
        <w:rPr>
          <w:rFonts w:eastAsia="Times New Roman" w:cs="Arial"/>
          <w:bCs/>
          <w:lang w:eastAsia="en-AU"/>
        </w:rPr>
        <w:t xml:space="preserve"> </w:t>
      </w:r>
      <w:r w:rsidRPr="00612013">
        <w:rPr>
          <w:rFonts w:eastAsia="Times New Roman" w:cs="Arial"/>
          <w:bCs/>
          <w:lang w:eastAsia="en-AU"/>
        </w:rPr>
        <w:t>per cent of energy turnover on the mainland.</w:t>
      </w:r>
    </w:p>
    <w:p w:rsidR="00D9655A" w:rsidRPr="00612013" w:rsidRDefault="005358F4" w:rsidP="00D9655A">
      <w:pPr>
        <w:spacing w:line="240" w:lineRule="auto"/>
      </w:pPr>
      <w:r w:rsidRPr="00612013">
        <w:rPr>
          <w:rFonts w:eastAsia="Times New Roman" w:cs="Arial"/>
          <w:bCs/>
          <w:lang w:eastAsia="en-AU"/>
        </w:rPr>
        <w:t>The total cost of FCAS in Tasmania for the week was $</w:t>
      </w:r>
      <w:r w:rsidR="006D4889">
        <w:rPr>
          <w:rFonts w:eastAsia="Times New Roman" w:cs="Arial"/>
          <w:bCs/>
          <w:lang w:eastAsia="en-AU"/>
        </w:rPr>
        <w:t>601</w:t>
      </w:r>
      <w:r w:rsidR="00685A1B">
        <w:rPr>
          <w:rFonts w:eastAsia="Times New Roman" w:cs="Arial"/>
          <w:bCs/>
          <w:lang w:eastAsia="en-AU"/>
        </w:rPr>
        <w:t> </w:t>
      </w:r>
      <w:r w:rsidR="006D4889">
        <w:rPr>
          <w:rFonts w:eastAsia="Times New Roman" w:cs="Arial"/>
          <w:bCs/>
          <w:lang w:eastAsia="en-AU"/>
        </w:rPr>
        <w:t>0</w:t>
      </w:r>
      <w:r w:rsidRPr="00612013">
        <w:rPr>
          <w:rFonts w:eastAsia="Times New Roman" w:cs="Arial"/>
          <w:bCs/>
          <w:lang w:eastAsia="en-AU"/>
        </w:rPr>
        <w:t xml:space="preserve">00 or </w:t>
      </w:r>
      <w:r w:rsidR="00D84E13">
        <w:rPr>
          <w:rFonts w:eastAsia="Times New Roman" w:cs="Arial"/>
          <w:bCs/>
          <w:lang w:eastAsia="en-AU"/>
        </w:rPr>
        <w:t xml:space="preserve">around </w:t>
      </w:r>
      <w:r w:rsidR="006C3CFD">
        <w:rPr>
          <w:rFonts w:eastAsia="Times New Roman" w:cs="Arial"/>
          <w:bCs/>
          <w:lang w:eastAsia="en-AU"/>
        </w:rPr>
        <w:t>three</w:t>
      </w:r>
      <w:r w:rsidR="00D05B72">
        <w:rPr>
          <w:rFonts w:eastAsia="Times New Roman" w:cs="Arial"/>
          <w:bCs/>
          <w:lang w:eastAsia="en-AU"/>
        </w:rPr>
        <w:t xml:space="preserve"> </w:t>
      </w:r>
      <w:r w:rsidRPr="00612013">
        <w:rPr>
          <w:rFonts w:eastAsia="Times New Roman" w:cs="Arial"/>
          <w:bCs/>
          <w:lang w:eastAsia="en-AU"/>
        </w:rPr>
        <w:t>per cent of energy turnover in Tasmania.</w:t>
      </w:r>
      <w:r w:rsidR="00F3590E" w:rsidRPr="00612013">
        <w:rPr>
          <w:rFonts w:eastAsia="Times New Roman" w:cs="Arial"/>
          <w:bCs/>
          <w:lang w:eastAsia="en-AU"/>
        </w:rPr>
        <w:fldChar w:fldCharType="begin"/>
      </w:r>
      <w:r w:rsidR="00F3590E"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00F3590E" w:rsidRPr="00612013">
        <w:rPr>
          <w:rFonts w:eastAsia="Times New Roman" w:cs="Arial"/>
          <w:bCs/>
          <w:lang w:eastAsia="en-AU"/>
        </w:rPr>
      </w:r>
      <w:r w:rsidR="00F3590E" w:rsidRPr="00612013">
        <w:rPr>
          <w:rFonts w:eastAsia="Times New Roman" w:cs="Arial"/>
          <w:bCs/>
          <w:lang w:eastAsia="en-AU"/>
        </w:rPr>
        <w:fldChar w:fldCharType="separate"/>
      </w:r>
    </w:p>
    <w:p w:rsidR="00B01BD3" w:rsidRPr="00612013" w:rsidRDefault="00D9655A" w:rsidP="00551739">
      <w:pPr>
        <w:pStyle w:val="AERbodytext"/>
      </w:pPr>
      <w:r w:rsidRPr="00686EDE">
        <w:t xml:space="preserve">Figure </w:t>
      </w:r>
      <w:r>
        <w:t>8</w:t>
      </w:r>
      <w:r w:rsidR="00F3590E" w:rsidRPr="00612013">
        <w:fldChar w:fldCharType="end"/>
      </w:r>
      <w:r w:rsidR="00F3590E" w:rsidRPr="00612013">
        <w:t xml:space="preserve"> shows the daily breakdown of cost for each FCAS for the NEM, as well as the average cost since the beginning of the previous financial year. </w:t>
      </w:r>
      <w:bookmarkStart w:id="20" w:name="_Ref418082853"/>
    </w:p>
    <w:p w:rsidR="00275002" w:rsidRPr="00C4712A" w:rsidRDefault="00275002" w:rsidP="00551739">
      <w:pPr>
        <w:pStyle w:val="Caption"/>
        <w:rPr>
          <w:noProof/>
        </w:rPr>
      </w:pPr>
      <w:r w:rsidRPr="00686EDE">
        <w:rPr>
          <w:noProof/>
        </w:rPr>
        <w:t xml:space="preserve">Figure </w:t>
      </w:r>
      <w:r w:rsidR="00DF6E09" w:rsidRPr="00686EDE">
        <w:rPr>
          <w:noProof/>
        </w:rPr>
        <w:fldChar w:fldCharType="begin"/>
      </w:r>
      <w:r w:rsidR="00DF6E09" w:rsidRPr="00686EDE">
        <w:rPr>
          <w:noProof/>
        </w:rPr>
        <w:instrText xml:space="preserve"> SEQ Figure \* ARABIC </w:instrText>
      </w:r>
      <w:r w:rsidR="00DF6E09" w:rsidRPr="00686EDE">
        <w:rPr>
          <w:noProof/>
        </w:rPr>
        <w:fldChar w:fldCharType="separate"/>
      </w:r>
      <w:r w:rsidR="00D9655A">
        <w:rPr>
          <w:noProof/>
        </w:rPr>
        <w:t>8</w:t>
      </w:r>
      <w:r w:rsidR="00DF6E09" w:rsidRPr="00686EDE">
        <w:rPr>
          <w:noProof/>
        </w:rPr>
        <w:fldChar w:fldCharType="end"/>
      </w:r>
      <w:bookmarkEnd w:id="19"/>
      <w:bookmarkEnd w:id="20"/>
      <w:r w:rsidRPr="00686EDE">
        <w:rPr>
          <w:noProof/>
        </w:rPr>
        <w:t>: Daily frequency control ancillary service cost</w:t>
      </w:r>
    </w:p>
    <w:p w:rsidR="006D1A40" w:rsidRDefault="006D4889" w:rsidP="006D1A40">
      <w:pPr>
        <w:spacing w:line="240" w:lineRule="auto"/>
        <w:rPr>
          <w:rStyle w:val="AERbodytextChar"/>
          <w:rFonts w:eastAsiaTheme="minorHAnsi"/>
        </w:rPr>
      </w:pPr>
      <w:r w:rsidRPr="006D4889">
        <w:rPr>
          <w:noProof/>
          <w:lang w:eastAsia="en-AU"/>
        </w:rPr>
        <w:drawing>
          <wp:inline distT="0" distB="0" distL="0" distR="0" wp14:anchorId="1D9C8333" wp14:editId="1861FF91">
            <wp:extent cx="5731510" cy="2888758"/>
            <wp:effectExtent l="0" t="0" r="2540" b="6985"/>
            <wp:docPr id="9" name="Picture 9"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88758"/>
                    </a:xfrm>
                    <a:prstGeom prst="rect">
                      <a:avLst/>
                    </a:prstGeom>
                    <a:noFill/>
                    <a:ln>
                      <a:noFill/>
                    </a:ln>
                  </pic:spPr>
                </pic:pic>
              </a:graphicData>
            </a:graphic>
          </wp:inline>
        </w:drawing>
      </w:r>
    </w:p>
    <w:p w:rsidR="004D69E2" w:rsidRDefault="004D69E2" w:rsidP="004D69E2">
      <w:pPr>
        <w:jc w:val="both"/>
        <w:rPr>
          <w:color w:val="000000" w:themeColor="text1"/>
        </w:rPr>
      </w:pPr>
      <w:r>
        <w:rPr>
          <w:color w:val="000000" w:themeColor="text1"/>
        </w:rPr>
        <w:t>Since 5 May, AEMO limited the contribution of regulation services from Tasmania to the mainland to 50 MW. This has seen prices rise in the mainland and has led to the daily cost being higher than the previous financial year’s average.</w:t>
      </w:r>
    </w:p>
    <w:p w:rsidR="00432EC2" w:rsidRPr="00C4712A" w:rsidRDefault="00432EC2" w:rsidP="00432EC2">
      <w:pPr>
        <w:pStyle w:val="AERHeading1"/>
      </w:pPr>
      <w:r w:rsidRPr="00C4712A">
        <w:lastRenderedPageBreak/>
        <w:t>Detailed market analysis of significant price events</w:t>
      </w:r>
    </w:p>
    <w:p w:rsidR="00432EC2" w:rsidRDefault="00432EC2" w:rsidP="00432EC2">
      <w:pPr>
        <w:pStyle w:val="Heading2"/>
        <w:rPr>
          <w:rFonts w:eastAsia="Times New Roman"/>
          <w:b w:val="0"/>
          <w:bCs w:val="0"/>
          <w:lang w:eastAsia="en-AU"/>
        </w:rPr>
      </w:pPr>
      <w:r>
        <w:rPr>
          <w:rFonts w:eastAsia="Times New Roman"/>
          <w:b w:val="0"/>
          <w:bCs w:val="0"/>
          <w:lang w:eastAsia="en-AU"/>
        </w:rPr>
        <w:t>South Australia</w:t>
      </w:r>
    </w:p>
    <w:p w:rsidR="00432EC2" w:rsidRDefault="00432EC2" w:rsidP="00432EC2">
      <w:pPr>
        <w:pStyle w:val="AERbodytext"/>
        <w:rPr>
          <w:b/>
        </w:rPr>
      </w:pPr>
      <w:r>
        <w:t>There was one occasion where the spot price in South Australia was greater than three times the South Australia weekly average price of $129/MWh and above $250/MWh.</w:t>
      </w:r>
    </w:p>
    <w:p w:rsidR="00432EC2" w:rsidRPr="00487D4B" w:rsidRDefault="00432EC2" w:rsidP="00432EC2">
      <w:pPr>
        <w:pStyle w:val="Heading3"/>
        <w:rPr>
          <w:rFonts w:eastAsia="Times New Roman"/>
          <w:sz w:val="22"/>
        </w:rPr>
      </w:pPr>
      <w:r w:rsidRPr="00487D4B">
        <w:rPr>
          <w:rFonts w:eastAsia="Times New Roman" w:cs="Arial"/>
          <w:color w:val="auto"/>
          <w:sz w:val="22"/>
          <w:lang w:eastAsia="en-AU"/>
        </w:rPr>
        <w:t>Friday, 19</w:t>
      </w:r>
      <w:r w:rsidRPr="00487D4B">
        <w:rPr>
          <w:rFonts w:eastAsia="Times New Roman"/>
          <w:sz w:val="22"/>
        </w:rPr>
        <w:t xml:space="preserve"> May</w:t>
      </w:r>
    </w:p>
    <w:p w:rsidR="00432EC2" w:rsidRPr="001C5A97" w:rsidRDefault="00432EC2" w:rsidP="00432EC2">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D9655A">
        <w:rPr>
          <w:rFonts w:asciiTheme="minorHAnsi" w:hAnsiTheme="minorHAnsi" w:cstheme="minorHAnsi"/>
          <w:noProof/>
        </w:rPr>
        <w:t>3</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432EC2" w:rsidRPr="0073319F" w:rsidTr="00AC567A">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432EC2" w:rsidRPr="007D74C6" w:rsidRDefault="00432EC2" w:rsidP="00AC567A">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432EC2" w:rsidRPr="007D74C6" w:rsidRDefault="00432EC2" w:rsidP="00AC567A">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432EC2" w:rsidRPr="007D74C6" w:rsidRDefault="00432EC2" w:rsidP="00AC567A">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432EC2" w:rsidRPr="007D74C6" w:rsidRDefault="00432EC2" w:rsidP="00AC567A">
            <w:pPr>
              <w:pStyle w:val="TableHeading"/>
              <w:jc w:val="center"/>
              <w:rPr>
                <w:rFonts w:cs="Arial"/>
                <w:b w:val="0"/>
                <w:sz w:val="20"/>
                <w:szCs w:val="20"/>
              </w:rPr>
            </w:pPr>
            <w:r w:rsidRPr="007D74C6">
              <w:rPr>
                <w:rFonts w:cs="Arial"/>
                <w:b w:val="0"/>
                <w:sz w:val="20"/>
                <w:szCs w:val="20"/>
              </w:rPr>
              <w:t>Availability (MW)</w:t>
            </w:r>
          </w:p>
        </w:tc>
      </w:tr>
      <w:tr w:rsidR="00432EC2" w:rsidRPr="0073319F" w:rsidTr="00AC567A">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432EC2" w:rsidRPr="007D74C6" w:rsidRDefault="00432EC2" w:rsidP="00AC567A">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432EC2" w:rsidRPr="007D74C6" w:rsidRDefault="00432EC2" w:rsidP="00AC567A">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432EC2" w:rsidRPr="007D74C6" w:rsidRDefault="00432EC2" w:rsidP="00AC567A">
            <w:pPr>
              <w:pStyle w:val="tableheadingline2"/>
              <w:rPr>
                <w:rFonts w:cs="Arial"/>
                <w:sz w:val="20"/>
                <w:szCs w:val="20"/>
              </w:rPr>
            </w:pPr>
            <w:r w:rsidRPr="007D74C6">
              <w:rPr>
                <w:rFonts w:cs="Arial"/>
                <w:sz w:val="20"/>
                <w:szCs w:val="20"/>
              </w:rPr>
              <w:t xml:space="preserve">4 </w:t>
            </w:r>
            <w:proofErr w:type="spellStart"/>
            <w:r w:rsidRPr="007D74C6">
              <w:rPr>
                <w:rFonts w:cs="Arial"/>
                <w:sz w:val="20"/>
                <w:szCs w:val="20"/>
              </w:rPr>
              <w:t>hr</w:t>
            </w:r>
            <w:proofErr w:type="spellEnd"/>
            <w:r w:rsidRPr="007D74C6">
              <w:rPr>
                <w:rFonts w:cs="Arial"/>
                <w:sz w:val="20"/>
                <w:szCs w:val="20"/>
              </w:rPr>
              <w:t xml:space="preserve"> forecast</w:t>
            </w:r>
          </w:p>
        </w:tc>
        <w:tc>
          <w:tcPr>
            <w:tcW w:w="533" w:type="pct"/>
            <w:tcMar>
              <w:left w:w="57" w:type="dxa"/>
              <w:right w:w="57" w:type="dxa"/>
            </w:tcMar>
            <w:hideMark/>
          </w:tcPr>
          <w:p w:rsidR="00432EC2" w:rsidRPr="007D74C6" w:rsidRDefault="00432EC2" w:rsidP="00AC567A">
            <w:pPr>
              <w:pStyle w:val="tableheadingline2"/>
              <w:rPr>
                <w:rFonts w:cs="Arial"/>
                <w:sz w:val="20"/>
                <w:szCs w:val="20"/>
              </w:rPr>
            </w:pPr>
            <w:r w:rsidRPr="007D74C6">
              <w:rPr>
                <w:rFonts w:cs="Arial"/>
                <w:sz w:val="20"/>
                <w:szCs w:val="20"/>
              </w:rPr>
              <w:t xml:space="preserve">12 </w:t>
            </w:r>
            <w:proofErr w:type="spellStart"/>
            <w:r w:rsidRPr="007D74C6">
              <w:rPr>
                <w:rFonts w:cs="Arial"/>
                <w:sz w:val="20"/>
                <w:szCs w:val="20"/>
              </w:rPr>
              <w:t>hr</w:t>
            </w:r>
            <w:proofErr w:type="spellEnd"/>
            <w:r w:rsidRPr="007D74C6">
              <w:rPr>
                <w:rFonts w:cs="Arial"/>
                <w:sz w:val="20"/>
                <w:szCs w:val="20"/>
              </w:rPr>
              <w:t xml:space="preserve"> forecast</w:t>
            </w:r>
          </w:p>
        </w:tc>
        <w:tc>
          <w:tcPr>
            <w:tcW w:w="455" w:type="pct"/>
            <w:tcMar>
              <w:left w:w="57" w:type="dxa"/>
              <w:right w:w="57" w:type="dxa"/>
            </w:tcMar>
            <w:hideMark/>
          </w:tcPr>
          <w:p w:rsidR="00432EC2" w:rsidRPr="007D74C6" w:rsidRDefault="00432EC2" w:rsidP="00AC567A">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432EC2" w:rsidRPr="007D74C6" w:rsidRDefault="00432EC2" w:rsidP="00AC567A">
            <w:pPr>
              <w:pStyle w:val="tableheadingline2"/>
              <w:rPr>
                <w:rFonts w:cs="Arial"/>
                <w:sz w:val="20"/>
                <w:szCs w:val="20"/>
              </w:rPr>
            </w:pPr>
            <w:r w:rsidRPr="007D74C6">
              <w:rPr>
                <w:rFonts w:cs="Arial"/>
                <w:sz w:val="20"/>
                <w:szCs w:val="20"/>
              </w:rPr>
              <w:t xml:space="preserve">4 </w:t>
            </w:r>
            <w:proofErr w:type="spellStart"/>
            <w:r w:rsidRPr="007D74C6">
              <w:rPr>
                <w:rFonts w:cs="Arial"/>
                <w:sz w:val="20"/>
                <w:szCs w:val="20"/>
              </w:rPr>
              <w:t>hr</w:t>
            </w:r>
            <w:proofErr w:type="spellEnd"/>
            <w:r w:rsidRPr="007D74C6">
              <w:rPr>
                <w:rFonts w:cs="Arial"/>
                <w:sz w:val="20"/>
                <w:szCs w:val="20"/>
              </w:rPr>
              <w:t xml:space="preserve"> forecast</w:t>
            </w:r>
          </w:p>
        </w:tc>
        <w:tc>
          <w:tcPr>
            <w:tcW w:w="534" w:type="pct"/>
            <w:tcMar>
              <w:left w:w="57" w:type="dxa"/>
              <w:right w:w="57" w:type="dxa"/>
            </w:tcMar>
            <w:hideMark/>
          </w:tcPr>
          <w:p w:rsidR="00432EC2" w:rsidRPr="007D74C6" w:rsidRDefault="00432EC2" w:rsidP="00AC567A">
            <w:pPr>
              <w:pStyle w:val="tableheadingline2"/>
              <w:rPr>
                <w:rFonts w:cs="Arial"/>
                <w:sz w:val="20"/>
                <w:szCs w:val="20"/>
              </w:rPr>
            </w:pPr>
            <w:r w:rsidRPr="007D74C6">
              <w:rPr>
                <w:rFonts w:cs="Arial"/>
                <w:sz w:val="20"/>
                <w:szCs w:val="20"/>
              </w:rPr>
              <w:t xml:space="preserve">12 </w:t>
            </w:r>
            <w:proofErr w:type="spellStart"/>
            <w:r w:rsidRPr="007D74C6">
              <w:rPr>
                <w:rFonts w:cs="Arial"/>
                <w:sz w:val="20"/>
                <w:szCs w:val="20"/>
              </w:rPr>
              <w:t>hr</w:t>
            </w:r>
            <w:proofErr w:type="spellEnd"/>
            <w:r w:rsidRPr="007D74C6">
              <w:rPr>
                <w:rFonts w:cs="Arial"/>
                <w:sz w:val="20"/>
                <w:szCs w:val="20"/>
              </w:rPr>
              <w:t xml:space="preserve"> forecast</w:t>
            </w:r>
          </w:p>
        </w:tc>
        <w:tc>
          <w:tcPr>
            <w:tcW w:w="532" w:type="pct"/>
            <w:tcMar>
              <w:left w:w="57" w:type="dxa"/>
              <w:right w:w="57" w:type="dxa"/>
            </w:tcMar>
            <w:hideMark/>
          </w:tcPr>
          <w:p w:rsidR="00432EC2" w:rsidRPr="007D74C6" w:rsidRDefault="00432EC2" w:rsidP="00AC567A">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432EC2" w:rsidRPr="007D74C6" w:rsidRDefault="00432EC2" w:rsidP="00AC567A">
            <w:pPr>
              <w:pStyle w:val="tableheadingline2"/>
              <w:rPr>
                <w:rFonts w:cs="Arial"/>
                <w:sz w:val="20"/>
                <w:szCs w:val="20"/>
              </w:rPr>
            </w:pPr>
            <w:r w:rsidRPr="007D74C6">
              <w:rPr>
                <w:rFonts w:cs="Arial"/>
                <w:sz w:val="20"/>
                <w:szCs w:val="20"/>
              </w:rPr>
              <w:t xml:space="preserve">4 </w:t>
            </w:r>
            <w:proofErr w:type="spellStart"/>
            <w:r w:rsidRPr="007D74C6">
              <w:rPr>
                <w:rFonts w:cs="Arial"/>
                <w:sz w:val="20"/>
                <w:szCs w:val="20"/>
              </w:rPr>
              <w:t>hr</w:t>
            </w:r>
            <w:proofErr w:type="spellEnd"/>
            <w:r w:rsidRPr="007D74C6">
              <w:rPr>
                <w:rFonts w:cs="Arial"/>
                <w:sz w:val="20"/>
                <w:szCs w:val="20"/>
              </w:rPr>
              <w:t xml:space="preserve"> forecast</w:t>
            </w:r>
          </w:p>
        </w:tc>
        <w:tc>
          <w:tcPr>
            <w:tcW w:w="453" w:type="pct"/>
            <w:tcMar>
              <w:left w:w="57" w:type="dxa"/>
              <w:right w:w="57" w:type="dxa"/>
            </w:tcMar>
            <w:hideMark/>
          </w:tcPr>
          <w:p w:rsidR="00432EC2" w:rsidRPr="007D74C6" w:rsidRDefault="00432EC2" w:rsidP="00AC567A">
            <w:pPr>
              <w:pStyle w:val="tableheadingline2"/>
              <w:rPr>
                <w:rFonts w:cs="Arial"/>
                <w:sz w:val="20"/>
                <w:szCs w:val="20"/>
              </w:rPr>
            </w:pPr>
            <w:r w:rsidRPr="007D74C6">
              <w:rPr>
                <w:rFonts w:cs="Arial"/>
                <w:sz w:val="20"/>
                <w:szCs w:val="20"/>
              </w:rPr>
              <w:t xml:space="preserve">12 </w:t>
            </w:r>
            <w:proofErr w:type="spellStart"/>
            <w:r w:rsidRPr="007D74C6">
              <w:rPr>
                <w:rFonts w:cs="Arial"/>
                <w:sz w:val="20"/>
                <w:szCs w:val="20"/>
              </w:rPr>
              <w:t>hr</w:t>
            </w:r>
            <w:proofErr w:type="spellEnd"/>
            <w:r w:rsidRPr="007D74C6">
              <w:rPr>
                <w:rFonts w:cs="Arial"/>
                <w:sz w:val="20"/>
                <w:szCs w:val="20"/>
              </w:rPr>
              <w:t xml:space="preserve"> forecast</w:t>
            </w:r>
          </w:p>
        </w:tc>
      </w:tr>
      <w:tr w:rsidR="00432EC2" w:rsidRPr="0073319F" w:rsidTr="00432EC2">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432EC2" w:rsidRDefault="00432EC2" w:rsidP="00432EC2">
            <w:pPr>
              <w:pStyle w:val="tablebody2"/>
              <w:spacing w:after="0" w:line="240" w:lineRule="auto"/>
              <w:jc w:val="center"/>
            </w:pPr>
            <w:r>
              <w:t>Midnight</w:t>
            </w:r>
          </w:p>
        </w:tc>
        <w:tc>
          <w:tcPr>
            <w:tcW w:w="516" w:type="pct"/>
            <w:vAlign w:val="center"/>
          </w:tcPr>
          <w:p w:rsidR="00432EC2" w:rsidRDefault="00432EC2" w:rsidP="00432EC2">
            <w:pPr>
              <w:pStyle w:val="tablebody2"/>
              <w:spacing w:after="0" w:line="240" w:lineRule="auto"/>
              <w:jc w:val="center"/>
            </w:pPr>
            <w:r>
              <w:t>2488.54</w:t>
            </w:r>
          </w:p>
        </w:tc>
        <w:tc>
          <w:tcPr>
            <w:tcW w:w="533" w:type="pct"/>
            <w:vAlign w:val="center"/>
          </w:tcPr>
          <w:p w:rsidR="00432EC2" w:rsidRDefault="00432EC2" w:rsidP="00432EC2">
            <w:pPr>
              <w:pStyle w:val="tablebody2"/>
              <w:spacing w:after="0" w:line="240" w:lineRule="auto"/>
              <w:jc w:val="center"/>
            </w:pPr>
            <w:r>
              <w:t>159.99</w:t>
            </w:r>
          </w:p>
        </w:tc>
        <w:tc>
          <w:tcPr>
            <w:tcW w:w="533" w:type="pct"/>
            <w:vAlign w:val="center"/>
          </w:tcPr>
          <w:p w:rsidR="00432EC2" w:rsidRDefault="00432EC2" w:rsidP="00432EC2">
            <w:pPr>
              <w:pStyle w:val="tablebody2"/>
              <w:spacing w:after="0" w:line="240" w:lineRule="auto"/>
              <w:jc w:val="center"/>
            </w:pPr>
            <w:r>
              <w:t>159.99</w:t>
            </w:r>
          </w:p>
        </w:tc>
        <w:tc>
          <w:tcPr>
            <w:tcW w:w="455" w:type="pct"/>
            <w:vAlign w:val="center"/>
          </w:tcPr>
          <w:p w:rsidR="00432EC2" w:rsidRDefault="00432EC2" w:rsidP="00432EC2">
            <w:pPr>
              <w:pStyle w:val="tablebody2"/>
              <w:spacing w:after="0" w:line="240" w:lineRule="auto"/>
              <w:jc w:val="center"/>
            </w:pPr>
            <w:r>
              <w:t>1647</w:t>
            </w:r>
          </w:p>
        </w:tc>
        <w:tc>
          <w:tcPr>
            <w:tcW w:w="456" w:type="pct"/>
            <w:vAlign w:val="center"/>
          </w:tcPr>
          <w:p w:rsidR="00432EC2" w:rsidRDefault="00432EC2" w:rsidP="00432EC2">
            <w:pPr>
              <w:pStyle w:val="tablebody2"/>
              <w:spacing w:after="0" w:line="240" w:lineRule="auto"/>
              <w:jc w:val="center"/>
            </w:pPr>
            <w:r>
              <w:t>1621</w:t>
            </w:r>
          </w:p>
        </w:tc>
        <w:tc>
          <w:tcPr>
            <w:tcW w:w="534" w:type="pct"/>
            <w:vAlign w:val="center"/>
          </w:tcPr>
          <w:p w:rsidR="00432EC2" w:rsidRDefault="00432EC2" w:rsidP="00432EC2">
            <w:pPr>
              <w:pStyle w:val="tablebody2"/>
              <w:spacing w:after="0" w:line="240" w:lineRule="auto"/>
              <w:jc w:val="center"/>
            </w:pPr>
            <w:r>
              <w:t>1597</w:t>
            </w:r>
          </w:p>
        </w:tc>
        <w:tc>
          <w:tcPr>
            <w:tcW w:w="532" w:type="pct"/>
            <w:vAlign w:val="center"/>
          </w:tcPr>
          <w:p w:rsidR="00432EC2" w:rsidRDefault="00432EC2" w:rsidP="00432EC2">
            <w:pPr>
              <w:pStyle w:val="tablebody2"/>
              <w:spacing w:after="0" w:line="240" w:lineRule="auto"/>
              <w:jc w:val="center"/>
            </w:pPr>
            <w:r>
              <w:t>1927</w:t>
            </w:r>
          </w:p>
        </w:tc>
        <w:tc>
          <w:tcPr>
            <w:tcW w:w="457" w:type="pct"/>
            <w:vAlign w:val="center"/>
          </w:tcPr>
          <w:p w:rsidR="00432EC2" w:rsidRDefault="00432EC2" w:rsidP="00432EC2">
            <w:pPr>
              <w:pStyle w:val="tablebody2"/>
              <w:spacing w:after="0" w:line="240" w:lineRule="auto"/>
              <w:jc w:val="center"/>
            </w:pPr>
            <w:r>
              <w:t>2084</w:t>
            </w:r>
          </w:p>
        </w:tc>
        <w:tc>
          <w:tcPr>
            <w:tcW w:w="453" w:type="pct"/>
            <w:vAlign w:val="center"/>
          </w:tcPr>
          <w:p w:rsidR="00432EC2" w:rsidRDefault="00432EC2" w:rsidP="00432EC2">
            <w:pPr>
              <w:pStyle w:val="tablebody2"/>
              <w:spacing w:after="0" w:line="240" w:lineRule="auto"/>
              <w:jc w:val="center"/>
            </w:pPr>
            <w:r>
              <w:t>2072</w:t>
            </w:r>
          </w:p>
        </w:tc>
      </w:tr>
    </w:tbl>
    <w:p w:rsidR="00487D4B" w:rsidRDefault="00432EC2" w:rsidP="00432EC2">
      <w:pPr>
        <w:pStyle w:val="AERbodytext"/>
      </w:pPr>
      <w:r>
        <w:t>Conditions at the time saw demand close to what was forecast while availability was around 1</w:t>
      </w:r>
      <w:r w:rsidR="00487D4B">
        <w:t>6</w:t>
      </w:r>
      <w:r>
        <w:t>0 MW less than forecast four hours ahead.</w:t>
      </w:r>
      <w:r w:rsidR="00487D4B">
        <w:t xml:space="preserve"> </w:t>
      </w:r>
    </w:p>
    <w:p w:rsidR="00432EC2" w:rsidRDefault="00487D4B" w:rsidP="00432EC2">
      <w:pPr>
        <w:pStyle w:val="AERbodytext"/>
        <w:rPr>
          <w:b/>
        </w:rPr>
      </w:pPr>
      <w:r w:rsidRPr="00487D4B">
        <w:t>Demand increased by 2</w:t>
      </w:r>
      <w:r>
        <w:t>09 </w:t>
      </w:r>
      <w:r w:rsidRPr="00487D4B">
        <w:t>MW at 11.35</w:t>
      </w:r>
      <w:r>
        <w:t> pm due to hot water load</w:t>
      </w:r>
      <w:r w:rsidRPr="00487D4B">
        <w:t xml:space="preserve">. With </w:t>
      </w:r>
      <w:r>
        <w:t>all available</w:t>
      </w:r>
      <w:r w:rsidRPr="00487D4B">
        <w:t xml:space="preserve"> generation either fully dispatched</w:t>
      </w:r>
      <w:r w:rsidR="000D1AFA">
        <w:t>,</w:t>
      </w:r>
      <w:r w:rsidRPr="00487D4B">
        <w:t xml:space="preserve"> </w:t>
      </w:r>
      <w:r>
        <w:t xml:space="preserve">ramp rate limited and </w:t>
      </w:r>
      <w:r w:rsidR="000D1AFA">
        <w:t xml:space="preserve">with </w:t>
      </w:r>
      <w:r>
        <w:t>wind generation at around 130 </w:t>
      </w:r>
      <w:r w:rsidR="000D1AFA">
        <w:t>MW the MurrayLink interconnector exceeded its limits to meet local demand. This resulted in</w:t>
      </w:r>
      <w:r w:rsidRPr="00487D4B">
        <w:t xml:space="preserve"> the dispatch price increas</w:t>
      </w:r>
      <w:r w:rsidR="000D1AFA">
        <w:t>ing</w:t>
      </w:r>
      <w:r w:rsidRPr="00487D4B">
        <w:t xml:space="preserve"> from $1</w:t>
      </w:r>
      <w:r>
        <w:t>25</w:t>
      </w:r>
      <w:r w:rsidRPr="00487D4B">
        <w:t>/MWh at 11.30</w:t>
      </w:r>
      <w:r>
        <w:t> p</w:t>
      </w:r>
      <w:r w:rsidRPr="00487D4B">
        <w:t xml:space="preserve">m to </w:t>
      </w:r>
      <w:r>
        <w:t>the price cap</w:t>
      </w:r>
      <w:r w:rsidRPr="00487D4B">
        <w:t xml:space="preserve"> at 11.35</w:t>
      </w:r>
      <w:r>
        <w:t> p</w:t>
      </w:r>
      <w:r w:rsidRPr="00487D4B">
        <w:t>m.</w:t>
      </w:r>
    </w:p>
    <w:p w:rsidR="00432EC2" w:rsidRDefault="00432EC2" w:rsidP="00432EC2">
      <w:pPr>
        <w:pStyle w:val="Heading2"/>
        <w:rPr>
          <w:rFonts w:eastAsia="Times New Roman"/>
          <w:b w:val="0"/>
          <w:bCs w:val="0"/>
          <w:lang w:eastAsia="en-AU"/>
        </w:rPr>
      </w:pPr>
      <w:r>
        <w:rPr>
          <w:rFonts w:eastAsia="Times New Roman"/>
          <w:b w:val="0"/>
          <w:bCs w:val="0"/>
          <w:lang w:eastAsia="en-AU"/>
        </w:rPr>
        <w:t>Tasmania</w:t>
      </w:r>
    </w:p>
    <w:p w:rsidR="00432EC2" w:rsidRPr="00432EC2" w:rsidRDefault="00432EC2" w:rsidP="00432EC2">
      <w:pPr>
        <w:pStyle w:val="AERbodytext"/>
      </w:pPr>
      <w:r w:rsidRPr="00432EC2">
        <w:t>There was one occasion where the spot price in Tasmania was greater than three times the Tasmania weekly average price of $115/MWh and above $250/MWh.</w:t>
      </w:r>
    </w:p>
    <w:p w:rsidR="00432EC2" w:rsidRPr="00487D4B" w:rsidRDefault="00432EC2" w:rsidP="00432EC2">
      <w:pPr>
        <w:pStyle w:val="Heading3"/>
        <w:rPr>
          <w:rFonts w:eastAsia="Times New Roman"/>
          <w:sz w:val="22"/>
        </w:rPr>
      </w:pPr>
      <w:r w:rsidRPr="00487D4B">
        <w:rPr>
          <w:rFonts w:eastAsia="Times New Roman" w:cs="Arial"/>
          <w:color w:val="auto"/>
          <w:sz w:val="22"/>
          <w:lang w:eastAsia="en-AU"/>
        </w:rPr>
        <w:t>Tuesday, 16 May</w:t>
      </w:r>
    </w:p>
    <w:p w:rsidR="00432EC2" w:rsidRPr="001C5A97" w:rsidRDefault="00432EC2" w:rsidP="00432EC2">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D9655A">
        <w:rPr>
          <w:rFonts w:asciiTheme="minorHAnsi" w:hAnsiTheme="minorHAnsi" w:cstheme="minorHAnsi"/>
          <w:noProof/>
        </w:rPr>
        <w:t>4</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432EC2" w:rsidRPr="0073319F" w:rsidTr="00AC567A">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432EC2" w:rsidRPr="007D74C6" w:rsidRDefault="00432EC2" w:rsidP="00AC567A">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432EC2" w:rsidRPr="007D74C6" w:rsidRDefault="00432EC2" w:rsidP="00AC567A">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432EC2" w:rsidRPr="007D74C6" w:rsidRDefault="00432EC2" w:rsidP="00AC567A">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432EC2" w:rsidRPr="007D74C6" w:rsidRDefault="00432EC2" w:rsidP="00AC567A">
            <w:pPr>
              <w:pStyle w:val="TableHeading"/>
              <w:jc w:val="center"/>
              <w:rPr>
                <w:rFonts w:cs="Arial"/>
                <w:b w:val="0"/>
                <w:sz w:val="20"/>
                <w:szCs w:val="20"/>
              </w:rPr>
            </w:pPr>
            <w:r w:rsidRPr="007D74C6">
              <w:rPr>
                <w:rFonts w:cs="Arial"/>
                <w:b w:val="0"/>
                <w:sz w:val="20"/>
                <w:szCs w:val="20"/>
              </w:rPr>
              <w:t>Availability (MW)</w:t>
            </w:r>
          </w:p>
        </w:tc>
      </w:tr>
      <w:tr w:rsidR="00432EC2" w:rsidRPr="0073319F" w:rsidTr="00AC567A">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432EC2" w:rsidRPr="007D74C6" w:rsidRDefault="00432EC2" w:rsidP="00AC567A">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432EC2" w:rsidRPr="007D74C6" w:rsidRDefault="00432EC2" w:rsidP="00AC567A">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432EC2" w:rsidRPr="007D74C6" w:rsidRDefault="00432EC2" w:rsidP="00AC567A">
            <w:pPr>
              <w:pStyle w:val="tableheadingline2"/>
              <w:rPr>
                <w:rFonts w:cs="Arial"/>
                <w:sz w:val="20"/>
                <w:szCs w:val="20"/>
              </w:rPr>
            </w:pPr>
            <w:r w:rsidRPr="007D74C6">
              <w:rPr>
                <w:rFonts w:cs="Arial"/>
                <w:sz w:val="20"/>
                <w:szCs w:val="20"/>
              </w:rPr>
              <w:t xml:space="preserve">4 </w:t>
            </w:r>
            <w:proofErr w:type="spellStart"/>
            <w:r w:rsidRPr="007D74C6">
              <w:rPr>
                <w:rFonts w:cs="Arial"/>
                <w:sz w:val="20"/>
                <w:szCs w:val="20"/>
              </w:rPr>
              <w:t>hr</w:t>
            </w:r>
            <w:proofErr w:type="spellEnd"/>
            <w:r w:rsidRPr="007D74C6">
              <w:rPr>
                <w:rFonts w:cs="Arial"/>
                <w:sz w:val="20"/>
                <w:szCs w:val="20"/>
              </w:rPr>
              <w:t xml:space="preserve"> forecast</w:t>
            </w:r>
          </w:p>
        </w:tc>
        <w:tc>
          <w:tcPr>
            <w:tcW w:w="533" w:type="pct"/>
            <w:tcMar>
              <w:left w:w="57" w:type="dxa"/>
              <w:right w:w="57" w:type="dxa"/>
            </w:tcMar>
            <w:hideMark/>
          </w:tcPr>
          <w:p w:rsidR="00432EC2" w:rsidRPr="007D74C6" w:rsidRDefault="00432EC2" w:rsidP="00AC567A">
            <w:pPr>
              <w:pStyle w:val="tableheadingline2"/>
              <w:rPr>
                <w:rFonts w:cs="Arial"/>
                <w:sz w:val="20"/>
                <w:szCs w:val="20"/>
              </w:rPr>
            </w:pPr>
            <w:r w:rsidRPr="007D74C6">
              <w:rPr>
                <w:rFonts w:cs="Arial"/>
                <w:sz w:val="20"/>
                <w:szCs w:val="20"/>
              </w:rPr>
              <w:t xml:space="preserve">12 </w:t>
            </w:r>
            <w:proofErr w:type="spellStart"/>
            <w:r w:rsidRPr="007D74C6">
              <w:rPr>
                <w:rFonts w:cs="Arial"/>
                <w:sz w:val="20"/>
                <w:szCs w:val="20"/>
              </w:rPr>
              <w:t>hr</w:t>
            </w:r>
            <w:proofErr w:type="spellEnd"/>
            <w:r w:rsidRPr="007D74C6">
              <w:rPr>
                <w:rFonts w:cs="Arial"/>
                <w:sz w:val="20"/>
                <w:szCs w:val="20"/>
              </w:rPr>
              <w:t xml:space="preserve"> forecast</w:t>
            </w:r>
          </w:p>
        </w:tc>
        <w:tc>
          <w:tcPr>
            <w:tcW w:w="455" w:type="pct"/>
            <w:tcMar>
              <w:left w:w="57" w:type="dxa"/>
              <w:right w:w="57" w:type="dxa"/>
            </w:tcMar>
            <w:hideMark/>
          </w:tcPr>
          <w:p w:rsidR="00432EC2" w:rsidRPr="007D74C6" w:rsidRDefault="00432EC2" w:rsidP="00AC567A">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432EC2" w:rsidRPr="007D74C6" w:rsidRDefault="00432EC2" w:rsidP="00AC567A">
            <w:pPr>
              <w:pStyle w:val="tableheadingline2"/>
              <w:rPr>
                <w:rFonts w:cs="Arial"/>
                <w:sz w:val="20"/>
                <w:szCs w:val="20"/>
              </w:rPr>
            </w:pPr>
            <w:r w:rsidRPr="007D74C6">
              <w:rPr>
                <w:rFonts w:cs="Arial"/>
                <w:sz w:val="20"/>
                <w:szCs w:val="20"/>
              </w:rPr>
              <w:t xml:space="preserve">4 </w:t>
            </w:r>
            <w:proofErr w:type="spellStart"/>
            <w:r w:rsidRPr="007D74C6">
              <w:rPr>
                <w:rFonts w:cs="Arial"/>
                <w:sz w:val="20"/>
                <w:szCs w:val="20"/>
              </w:rPr>
              <w:t>hr</w:t>
            </w:r>
            <w:proofErr w:type="spellEnd"/>
            <w:r w:rsidRPr="007D74C6">
              <w:rPr>
                <w:rFonts w:cs="Arial"/>
                <w:sz w:val="20"/>
                <w:szCs w:val="20"/>
              </w:rPr>
              <w:t xml:space="preserve"> forecast</w:t>
            </w:r>
          </w:p>
        </w:tc>
        <w:tc>
          <w:tcPr>
            <w:tcW w:w="534" w:type="pct"/>
            <w:tcMar>
              <w:left w:w="57" w:type="dxa"/>
              <w:right w:w="57" w:type="dxa"/>
            </w:tcMar>
            <w:hideMark/>
          </w:tcPr>
          <w:p w:rsidR="00432EC2" w:rsidRPr="007D74C6" w:rsidRDefault="00432EC2" w:rsidP="00AC567A">
            <w:pPr>
              <w:pStyle w:val="tableheadingline2"/>
              <w:rPr>
                <w:rFonts w:cs="Arial"/>
                <w:sz w:val="20"/>
                <w:szCs w:val="20"/>
              </w:rPr>
            </w:pPr>
            <w:r w:rsidRPr="007D74C6">
              <w:rPr>
                <w:rFonts w:cs="Arial"/>
                <w:sz w:val="20"/>
                <w:szCs w:val="20"/>
              </w:rPr>
              <w:t xml:space="preserve">12 </w:t>
            </w:r>
            <w:proofErr w:type="spellStart"/>
            <w:r w:rsidRPr="007D74C6">
              <w:rPr>
                <w:rFonts w:cs="Arial"/>
                <w:sz w:val="20"/>
                <w:szCs w:val="20"/>
              </w:rPr>
              <w:t>hr</w:t>
            </w:r>
            <w:proofErr w:type="spellEnd"/>
            <w:r w:rsidRPr="007D74C6">
              <w:rPr>
                <w:rFonts w:cs="Arial"/>
                <w:sz w:val="20"/>
                <w:szCs w:val="20"/>
              </w:rPr>
              <w:t xml:space="preserve"> forecast</w:t>
            </w:r>
          </w:p>
        </w:tc>
        <w:tc>
          <w:tcPr>
            <w:tcW w:w="532" w:type="pct"/>
            <w:tcMar>
              <w:left w:w="57" w:type="dxa"/>
              <w:right w:w="57" w:type="dxa"/>
            </w:tcMar>
            <w:hideMark/>
          </w:tcPr>
          <w:p w:rsidR="00432EC2" w:rsidRPr="007D74C6" w:rsidRDefault="00432EC2" w:rsidP="00AC567A">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432EC2" w:rsidRPr="007D74C6" w:rsidRDefault="00432EC2" w:rsidP="00AC567A">
            <w:pPr>
              <w:pStyle w:val="tableheadingline2"/>
              <w:rPr>
                <w:rFonts w:cs="Arial"/>
                <w:sz w:val="20"/>
                <w:szCs w:val="20"/>
              </w:rPr>
            </w:pPr>
            <w:r w:rsidRPr="007D74C6">
              <w:rPr>
                <w:rFonts w:cs="Arial"/>
                <w:sz w:val="20"/>
                <w:szCs w:val="20"/>
              </w:rPr>
              <w:t xml:space="preserve">4 </w:t>
            </w:r>
            <w:proofErr w:type="spellStart"/>
            <w:r w:rsidRPr="007D74C6">
              <w:rPr>
                <w:rFonts w:cs="Arial"/>
                <w:sz w:val="20"/>
                <w:szCs w:val="20"/>
              </w:rPr>
              <w:t>hr</w:t>
            </w:r>
            <w:proofErr w:type="spellEnd"/>
            <w:r w:rsidRPr="007D74C6">
              <w:rPr>
                <w:rFonts w:cs="Arial"/>
                <w:sz w:val="20"/>
                <w:szCs w:val="20"/>
              </w:rPr>
              <w:t xml:space="preserve"> forecast</w:t>
            </w:r>
          </w:p>
        </w:tc>
        <w:tc>
          <w:tcPr>
            <w:tcW w:w="453" w:type="pct"/>
            <w:tcMar>
              <w:left w:w="57" w:type="dxa"/>
              <w:right w:w="57" w:type="dxa"/>
            </w:tcMar>
            <w:hideMark/>
          </w:tcPr>
          <w:p w:rsidR="00432EC2" w:rsidRPr="007D74C6" w:rsidRDefault="00432EC2" w:rsidP="00AC567A">
            <w:pPr>
              <w:pStyle w:val="tableheadingline2"/>
              <w:rPr>
                <w:rFonts w:cs="Arial"/>
                <w:sz w:val="20"/>
                <w:szCs w:val="20"/>
              </w:rPr>
            </w:pPr>
            <w:r w:rsidRPr="007D74C6">
              <w:rPr>
                <w:rFonts w:cs="Arial"/>
                <w:sz w:val="20"/>
                <w:szCs w:val="20"/>
              </w:rPr>
              <w:t xml:space="preserve">12 </w:t>
            </w:r>
            <w:proofErr w:type="spellStart"/>
            <w:r w:rsidRPr="007D74C6">
              <w:rPr>
                <w:rFonts w:cs="Arial"/>
                <w:sz w:val="20"/>
                <w:szCs w:val="20"/>
              </w:rPr>
              <w:t>hr</w:t>
            </w:r>
            <w:proofErr w:type="spellEnd"/>
            <w:r w:rsidRPr="007D74C6">
              <w:rPr>
                <w:rFonts w:cs="Arial"/>
                <w:sz w:val="20"/>
                <w:szCs w:val="20"/>
              </w:rPr>
              <w:t xml:space="preserve"> forecast</w:t>
            </w:r>
          </w:p>
        </w:tc>
      </w:tr>
      <w:tr w:rsidR="00432EC2" w:rsidRPr="0073319F" w:rsidTr="00AC567A">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432EC2" w:rsidRDefault="00432EC2" w:rsidP="00432EC2">
            <w:pPr>
              <w:pStyle w:val="tablebody2"/>
              <w:spacing w:after="0" w:line="240" w:lineRule="auto"/>
              <w:jc w:val="center"/>
            </w:pPr>
            <w:r w:rsidRPr="00432EC2">
              <w:t xml:space="preserve">1 </w:t>
            </w:r>
            <w:r>
              <w:t>am</w:t>
            </w:r>
          </w:p>
        </w:tc>
        <w:tc>
          <w:tcPr>
            <w:tcW w:w="516" w:type="pct"/>
            <w:vAlign w:val="center"/>
          </w:tcPr>
          <w:p w:rsidR="00432EC2" w:rsidRDefault="00432EC2" w:rsidP="00432EC2">
            <w:pPr>
              <w:pStyle w:val="tablebody2"/>
              <w:spacing w:after="0" w:line="240" w:lineRule="auto"/>
              <w:jc w:val="center"/>
            </w:pPr>
            <w:r w:rsidRPr="00432EC2">
              <w:t>2108.62</w:t>
            </w:r>
          </w:p>
        </w:tc>
        <w:tc>
          <w:tcPr>
            <w:tcW w:w="533" w:type="pct"/>
            <w:vAlign w:val="center"/>
          </w:tcPr>
          <w:p w:rsidR="00432EC2" w:rsidRDefault="00432EC2" w:rsidP="00432EC2">
            <w:pPr>
              <w:pStyle w:val="tablebody2"/>
              <w:spacing w:after="0" w:line="240" w:lineRule="auto"/>
              <w:jc w:val="center"/>
            </w:pPr>
            <w:r w:rsidRPr="00432EC2">
              <w:t>116.40</w:t>
            </w:r>
          </w:p>
        </w:tc>
        <w:tc>
          <w:tcPr>
            <w:tcW w:w="533" w:type="pct"/>
            <w:vAlign w:val="center"/>
          </w:tcPr>
          <w:p w:rsidR="00432EC2" w:rsidRDefault="00432EC2" w:rsidP="00432EC2">
            <w:pPr>
              <w:pStyle w:val="tablebody2"/>
              <w:spacing w:after="0" w:line="240" w:lineRule="auto"/>
              <w:jc w:val="center"/>
            </w:pPr>
            <w:r w:rsidRPr="00432EC2">
              <w:t>111.85</w:t>
            </w:r>
          </w:p>
        </w:tc>
        <w:tc>
          <w:tcPr>
            <w:tcW w:w="455" w:type="pct"/>
            <w:vAlign w:val="center"/>
          </w:tcPr>
          <w:p w:rsidR="00432EC2" w:rsidRDefault="00432EC2" w:rsidP="00432EC2">
            <w:pPr>
              <w:pStyle w:val="tablebody2"/>
              <w:spacing w:after="0" w:line="240" w:lineRule="auto"/>
              <w:jc w:val="center"/>
            </w:pPr>
            <w:r w:rsidRPr="00432EC2">
              <w:t>1022</w:t>
            </w:r>
          </w:p>
        </w:tc>
        <w:tc>
          <w:tcPr>
            <w:tcW w:w="456" w:type="pct"/>
            <w:vAlign w:val="center"/>
          </w:tcPr>
          <w:p w:rsidR="00432EC2" w:rsidRDefault="00432EC2" w:rsidP="00432EC2">
            <w:pPr>
              <w:pStyle w:val="tablebody2"/>
              <w:spacing w:after="0" w:line="240" w:lineRule="auto"/>
              <w:jc w:val="center"/>
            </w:pPr>
            <w:r w:rsidRPr="00432EC2">
              <w:t>1051</w:t>
            </w:r>
          </w:p>
        </w:tc>
        <w:tc>
          <w:tcPr>
            <w:tcW w:w="534" w:type="pct"/>
            <w:vAlign w:val="center"/>
          </w:tcPr>
          <w:p w:rsidR="00432EC2" w:rsidRDefault="00432EC2" w:rsidP="00432EC2">
            <w:pPr>
              <w:pStyle w:val="tablebody2"/>
              <w:spacing w:after="0" w:line="240" w:lineRule="auto"/>
              <w:jc w:val="center"/>
            </w:pPr>
            <w:r w:rsidRPr="00432EC2">
              <w:t>1065</w:t>
            </w:r>
          </w:p>
        </w:tc>
        <w:tc>
          <w:tcPr>
            <w:tcW w:w="532" w:type="pct"/>
            <w:vAlign w:val="center"/>
          </w:tcPr>
          <w:p w:rsidR="00432EC2" w:rsidRDefault="00432EC2" w:rsidP="00432EC2">
            <w:pPr>
              <w:pStyle w:val="tablebody2"/>
              <w:spacing w:after="0" w:line="240" w:lineRule="auto"/>
              <w:jc w:val="center"/>
            </w:pPr>
            <w:r w:rsidRPr="00432EC2">
              <w:t>2350</w:t>
            </w:r>
          </w:p>
        </w:tc>
        <w:tc>
          <w:tcPr>
            <w:tcW w:w="457" w:type="pct"/>
            <w:vAlign w:val="center"/>
          </w:tcPr>
          <w:p w:rsidR="00432EC2" w:rsidRDefault="00432EC2" w:rsidP="00432EC2">
            <w:pPr>
              <w:pStyle w:val="tablebody2"/>
              <w:spacing w:after="0" w:line="240" w:lineRule="auto"/>
              <w:jc w:val="center"/>
            </w:pPr>
            <w:r w:rsidRPr="00432EC2">
              <w:t>2351</w:t>
            </w:r>
          </w:p>
        </w:tc>
        <w:tc>
          <w:tcPr>
            <w:tcW w:w="453" w:type="pct"/>
            <w:vAlign w:val="center"/>
          </w:tcPr>
          <w:p w:rsidR="00432EC2" w:rsidRDefault="00432EC2" w:rsidP="00432EC2">
            <w:pPr>
              <w:pStyle w:val="tablebody2"/>
              <w:spacing w:after="0" w:line="240" w:lineRule="auto"/>
              <w:jc w:val="center"/>
            </w:pPr>
            <w:r w:rsidRPr="00432EC2">
              <w:t>2340</w:t>
            </w:r>
          </w:p>
        </w:tc>
      </w:tr>
    </w:tbl>
    <w:p w:rsidR="00432EC2" w:rsidRDefault="00432EC2" w:rsidP="00EB561F">
      <w:pPr>
        <w:jc w:val="both"/>
      </w:pPr>
      <w:r>
        <w:t xml:space="preserve">Conditions at the time saw demand </w:t>
      </w:r>
      <w:r w:rsidR="00A4116B">
        <w:t xml:space="preserve">and available capacity </w:t>
      </w:r>
      <w:r>
        <w:t>close to forecast</w:t>
      </w:r>
      <w:r w:rsidR="00A4116B">
        <w:t>.</w:t>
      </w:r>
    </w:p>
    <w:p w:rsidR="00A4116B" w:rsidRPr="00A4116B" w:rsidRDefault="00984480" w:rsidP="00EB561F">
      <w:pPr>
        <w:jc w:val="both"/>
      </w:pPr>
      <w:r>
        <w:t>At 12.19</w:t>
      </w:r>
      <w:r w:rsidR="00A4116B">
        <w:t> am, effective from 12.35 am, Hydro Tasmania rebid 971 MW of capacity across its portfolio in Tasmania from prices below $350/MWh to above $12 100/MWh. The reason given was “</w:t>
      </w:r>
      <w:r w:rsidR="00A4116B" w:rsidRPr="00A4116B">
        <w:t xml:space="preserve">0018A </w:t>
      </w:r>
      <w:proofErr w:type="spellStart"/>
      <w:r w:rsidR="00A4116B" w:rsidRPr="00A4116B">
        <w:t>unforecast</w:t>
      </w:r>
      <w:proofErr w:type="spellEnd"/>
      <w:r w:rsidR="00A4116B" w:rsidRPr="00A4116B">
        <w:t xml:space="preserve"> energy/</w:t>
      </w:r>
      <w:proofErr w:type="spellStart"/>
      <w:r w:rsidR="00A4116B" w:rsidRPr="00A4116B">
        <w:t>fcas</w:t>
      </w:r>
      <w:proofErr w:type="spellEnd"/>
      <w:r w:rsidR="00A4116B" w:rsidRPr="00A4116B">
        <w:t xml:space="preserve"> </w:t>
      </w:r>
      <w:proofErr w:type="spellStart"/>
      <w:r w:rsidR="00A4116B" w:rsidRPr="00A4116B">
        <w:t>cooptimisation</w:t>
      </w:r>
      <w:proofErr w:type="spellEnd"/>
      <w:r w:rsidR="00A4116B" w:rsidRPr="00A4116B">
        <w:t xml:space="preserve"> occurring in P5: </w:t>
      </w:r>
      <w:proofErr w:type="spellStart"/>
      <w:proofErr w:type="gramStart"/>
      <w:r w:rsidR="00A4116B" w:rsidRPr="00A4116B">
        <w:t>Tas</w:t>
      </w:r>
      <w:proofErr w:type="spellEnd"/>
      <w:proofErr w:type="gramEnd"/>
      <w:r w:rsidR="00A4116B" w:rsidRPr="00A4116B">
        <w:t xml:space="preserve"> </w:t>
      </w:r>
      <w:r w:rsidR="00A4116B">
        <w:t xml:space="preserve">energy </w:t>
      </w:r>
      <w:proofErr w:type="spellStart"/>
      <w:r w:rsidR="00A4116B">
        <w:t>vs</w:t>
      </w:r>
      <w:proofErr w:type="spellEnd"/>
      <w:r w:rsidR="00A4116B">
        <w:t xml:space="preserve"> mainland </w:t>
      </w:r>
      <w:proofErr w:type="spellStart"/>
      <w:r w:rsidR="00A4116B">
        <w:t>L</w:t>
      </w:r>
      <w:r w:rsidR="00A4116B" w:rsidRPr="00A4116B">
        <w:t>reg</w:t>
      </w:r>
      <w:proofErr w:type="spellEnd"/>
      <w:r w:rsidR="00A4116B" w:rsidRPr="00A4116B">
        <w:t>”</w:t>
      </w:r>
      <w:r w:rsidR="00A4116B">
        <w:t>. As a result the dispatch price increased from $127/MWh at 12.30 am to $12 114/MWh at 12.35 </w:t>
      </w:r>
      <w:proofErr w:type="gramStart"/>
      <w:r w:rsidR="00A4116B">
        <w:t>am</w:t>
      </w:r>
      <w:proofErr w:type="gramEnd"/>
      <w:r w:rsidR="00A4116B">
        <w:t>.</w:t>
      </w:r>
      <w:r w:rsidR="002E01BF">
        <w:t xml:space="preserve"> At 12.29 am, effective 12.40 am, Hydro Tasmania reversed the earlier rebid and the dispatch price fell to previous levels.</w:t>
      </w:r>
    </w:p>
    <w:bookmarkEnd w:id="0"/>
    <w:bookmarkEnd w:id="1"/>
    <w:bookmarkEnd w:id="2"/>
    <w:bookmarkEnd w:id="3"/>
    <w:bookmarkEnd w:id="4"/>
    <w:bookmarkEnd w:id="5"/>
    <w:p w:rsidR="00275002" w:rsidRDefault="00275002" w:rsidP="002E01BF">
      <w:pPr>
        <w:pStyle w:val="Heading2"/>
        <w:spacing w:after="120"/>
      </w:pPr>
      <w:r w:rsidRPr="00686EDE">
        <w:t>Financial markets</w:t>
      </w:r>
    </w:p>
    <w:p w:rsidR="0029162D" w:rsidRDefault="00275002" w:rsidP="002E01BF">
      <w:pPr>
        <w:autoSpaceDE w:val="0"/>
        <w:autoSpaceDN w:val="0"/>
        <w:spacing w:before="0" w:after="120"/>
        <w:rPr>
          <w:rFonts w:ascii="Calibri" w:hAnsi="Calibri"/>
          <w:lang w:eastAsia="en-AU"/>
        </w:rPr>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D9655A">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r w:rsidR="0029162D">
        <w:t xml:space="preserve">The high volumes </w:t>
      </w:r>
      <w:r w:rsidR="00943F76">
        <w:t>for Q3 2017 to Q2 2018</w:t>
      </w:r>
      <w:r w:rsidR="0029162D">
        <w:t xml:space="preserve"> were a result of the conversion of 2017/18 financial year base load options to base future contracts.</w:t>
      </w:r>
      <w:r w:rsidR="0029162D">
        <w:rPr>
          <w:lang w:eastAsia="en-AU"/>
        </w:rPr>
        <w:t xml:space="preserve"> </w:t>
      </w:r>
    </w:p>
    <w:p w:rsidR="00D73D17" w:rsidRDefault="00275002" w:rsidP="00783D4E">
      <w:pPr>
        <w:pStyle w:val="Caption"/>
        <w:spacing w:before="0" w:line="240" w:lineRule="auto"/>
      </w:pPr>
      <w:bookmarkStart w:id="21" w:name="_Ref410386540"/>
      <w:r>
        <w:lastRenderedPageBreak/>
        <w:t xml:space="preserve">Figure </w:t>
      </w:r>
      <w:r w:rsidR="00D9655A">
        <w:fldChar w:fldCharType="begin"/>
      </w:r>
      <w:r w:rsidR="00D9655A">
        <w:instrText xml:space="preserve"> SEQ Figure \* ARABIC </w:instrText>
      </w:r>
      <w:r w:rsidR="00D9655A">
        <w:fldChar w:fldCharType="separate"/>
      </w:r>
      <w:r w:rsidR="00D9655A">
        <w:rPr>
          <w:noProof/>
        </w:rPr>
        <w:t>9</w:t>
      </w:r>
      <w:r w:rsidR="00D9655A">
        <w:rPr>
          <w:noProof/>
        </w:rPr>
        <w:fldChar w:fldCharType="end"/>
      </w:r>
      <w:bookmarkEnd w:id="21"/>
      <w:r w:rsidR="002515C3">
        <w:t>:</w:t>
      </w:r>
      <w:r>
        <w:t xml:space="preserve"> </w:t>
      </w:r>
      <w:r w:rsidRPr="007A6ACB">
        <w:t>Quarterly base future prices Q</w:t>
      </w:r>
      <w:r w:rsidR="005402ED">
        <w:t>2</w:t>
      </w:r>
      <w:r w:rsidR="00C4712A">
        <w:t xml:space="preserve"> 201</w:t>
      </w:r>
      <w:r w:rsidR="00345595">
        <w:t>7</w:t>
      </w:r>
      <w:r w:rsidRPr="007A6ACB">
        <w:t xml:space="preserve"> – Q</w:t>
      </w:r>
      <w:r w:rsidR="005402ED">
        <w:t>1</w:t>
      </w:r>
      <w:r w:rsidR="0069547C">
        <w:t xml:space="preserve"> 202</w:t>
      </w:r>
      <w:r w:rsidR="005402ED">
        <w:t>1</w:t>
      </w:r>
      <w:r w:rsidR="003A585C" w:rsidRPr="003A585C">
        <w:rPr>
          <w:b w:val="0"/>
          <w:bCs w:val="0"/>
        </w:rPr>
        <w:t xml:space="preserve"> </w:t>
      </w:r>
    </w:p>
    <w:p w:rsidR="00CA0ECB" w:rsidRPr="00037EB9" w:rsidRDefault="006D4889" w:rsidP="00783D4E">
      <w:pPr>
        <w:spacing w:before="0" w:after="120" w:line="240" w:lineRule="auto"/>
        <w:rPr>
          <w:sz w:val="16"/>
          <w:szCs w:val="16"/>
        </w:rPr>
      </w:pPr>
      <w:r w:rsidRPr="006D4889">
        <w:rPr>
          <w:noProof/>
          <w:lang w:eastAsia="en-AU"/>
        </w:rPr>
        <w:drawing>
          <wp:inline distT="0" distB="0" distL="0" distR="0" wp14:anchorId="546EF62F" wp14:editId="3FE745C3">
            <wp:extent cx="5731510" cy="2880937"/>
            <wp:effectExtent l="0" t="0" r="2540" b="0"/>
            <wp:docPr id="12" name="Picture 12"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0937"/>
                    </a:xfrm>
                    <a:prstGeom prst="rect">
                      <a:avLst/>
                    </a:prstGeom>
                    <a:noFill/>
                    <a:ln>
                      <a:noFill/>
                    </a:ln>
                  </pic:spPr>
                </pic:pic>
              </a:graphicData>
            </a:graphic>
          </wp:inline>
        </w:drawing>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0" w:history="1">
        <w:r w:rsidR="00275002"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D9655A" w:rsidRPr="00491631">
        <w:t xml:space="preserve">Figure </w:t>
      </w:r>
      <w:r w:rsidR="00D9655A">
        <w:rPr>
          <w:noProof/>
        </w:rPr>
        <w:t>10</w:t>
      </w:r>
      <w:r w:rsidRPr="000048ED">
        <w:fldChar w:fldCharType="end"/>
      </w:r>
      <w:r w:rsidRPr="000048ED">
        <w:t xml:space="preserve"> shows h</w:t>
      </w:r>
      <w:r w:rsidR="004E567F" w:rsidRPr="000048ED">
        <w:t>ow the price for each regional q</w:t>
      </w:r>
      <w:r w:rsidRPr="000048ED">
        <w:t>uarter 1 201</w:t>
      </w:r>
      <w:r w:rsidR="00C764D8">
        <w:t>8</w:t>
      </w:r>
      <w:r w:rsidRPr="000048ED">
        <w:t xml:space="preserve"> base contract has changed over the last 10 weeks (as well as the total number of trades each week). The closing quarter 1 201</w:t>
      </w:r>
      <w:r w:rsidR="00C764D8">
        <w:t>6</w:t>
      </w:r>
      <w:r w:rsidRPr="000048ED">
        <w:t xml:space="preserve"> and quarter 1 201</w:t>
      </w:r>
      <w:r w:rsidR="00C764D8">
        <w:t>7</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p>
    <w:p w:rsidR="00275002" w:rsidRDefault="00275002" w:rsidP="00783D4E">
      <w:pPr>
        <w:pStyle w:val="Caption"/>
        <w:spacing w:before="0" w:line="240" w:lineRule="auto"/>
      </w:pPr>
      <w:bookmarkStart w:id="22" w:name="_Ref410380382"/>
      <w:r w:rsidRPr="00491631">
        <w:t xml:space="preserve">Figure </w:t>
      </w:r>
      <w:r w:rsidR="00D9655A">
        <w:fldChar w:fldCharType="begin"/>
      </w:r>
      <w:r w:rsidR="00D9655A">
        <w:instrText xml:space="preserve"> SEQ Figure \* ARABIC </w:instrText>
      </w:r>
      <w:r w:rsidR="00D9655A">
        <w:fldChar w:fldCharType="separate"/>
      </w:r>
      <w:r w:rsidR="00D9655A">
        <w:rPr>
          <w:noProof/>
        </w:rPr>
        <w:t>10</w:t>
      </w:r>
      <w:r w:rsidR="00D9655A">
        <w:rPr>
          <w:noProof/>
        </w:rPr>
        <w:fldChar w:fldCharType="end"/>
      </w:r>
      <w:bookmarkEnd w:id="22"/>
      <w:r w:rsidR="002515C3" w:rsidRPr="00491631">
        <w:t>:</w:t>
      </w:r>
      <w:r w:rsidRPr="00491631">
        <w:t xml:space="preserve"> Price of Q1 201</w:t>
      </w:r>
      <w:r w:rsidR="005402ED">
        <w:t>8</w:t>
      </w:r>
      <w:r w:rsidRPr="00491631">
        <w:t xml:space="preserve"> base contracts over the past 10 weeks (and the past 2 years)</w:t>
      </w:r>
    </w:p>
    <w:p w:rsidR="007C26D6" w:rsidRDefault="0029162D" w:rsidP="00C466B4">
      <w:pPr>
        <w:pStyle w:val="Source"/>
        <w:spacing w:before="0" w:after="120" w:line="240" w:lineRule="auto"/>
        <w:jc w:val="both"/>
      </w:pPr>
      <w:r w:rsidRPr="0029162D">
        <w:rPr>
          <w:noProof/>
          <w:lang w:eastAsia="en-AU"/>
        </w:rPr>
        <w:drawing>
          <wp:inline distT="0" distB="0" distL="0" distR="0" wp14:anchorId="3924C890" wp14:editId="532F0E6F">
            <wp:extent cx="5731510" cy="2896515"/>
            <wp:effectExtent l="0" t="0" r="2540" b="0"/>
            <wp:docPr id="13" name="Picture 13" descr="Figure 10 shows how the price for each regional Quarter 1 2018 base contract has changed over the last 10 weeks (as well as the total number of trades each week). The closing quarter 1 2016 and quarter 1 2017 prices are also shown. The AER notes that data for South Australia is less reliable due to very low numbers of tra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96515"/>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t>Prices of other financial products (including longer-term price trends) are available in the</w:t>
      </w:r>
      <w:r w:rsidRPr="000048ED">
        <w:t xml:space="preserve"> </w:t>
      </w:r>
      <w:hyperlink r:id="rId23" w:history="1">
        <w:r w:rsidR="0037513A">
          <w:rPr>
            <w:rStyle w:val="Hyperlink"/>
          </w:rPr>
          <w:t>Industry Statistics</w:t>
        </w:r>
      </w:hyperlink>
      <w:r w:rsidR="0037513A">
        <w:t xml:space="preserve"> s</w:t>
      </w:r>
      <w:r w:rsidRPr="000048ED">
        <w:t>ection of our website.</w:t>
      </w:r>
    </w:p>
    <w:p w:rsidR="004D4A76" w:rsidRPr="000048ED" w:rsidRDefault="008C094A" w:rsidP="00AF7C0E">
      <w:pPr>
        <w:pStyle w:val="AERbodytext"/>
      </w:pPr>
      <w:r w:rsidRPr="000048ED">
        <w:fldChar w:fldCharType="begin"/>
      </w:r>
      <w:r w:rsidRPr="000048ED">
        <w:instrText xml:space="preserve"> REF _Ref428276233 \h </w:instrText>
      </w:r>
      <w:r w:rsidR="00AF7C0E" w:rsidRPr="000048ED">
        <w:instrText xml:space="preserve"> \* MERGEFORMAT </w:instrText>
      </w:r>
      <w:r w:rsidRPr="000048ED">
        <w:fldChar w:fldCharType="separate"/>
      </w:r>
      <w:r w:rsidR="00D9655A">
        <w:t xml:space="preserve">Figure </w:t>
      </w:r>
      <w:r w:rsidR="00D9655A">
        <w:rPr>
          <w:noProof/>
        </w:rPr>
        <w:t>11</w:t>
      </w:r>
      <w:r w:rsidRPr="000048ED">
        <w:fldChar w:fldCharType="end"/>
      </w:r>
      <w:r w:rsidRPr="000048ED">
        <w:t xml:space="preserve"> </w:t>
      </w:r>
      <w:r w:rsidR="00275002" w:rsidRPr="000048ED">
        <w:t>shows h</w:t>
      </w:r>
      <w:r w:rsidR="005402ED">
        <w:t>ow the price for each regional q</w:t>
      </w:r>
      <w:r w:rsidR="00275002" w:rsidRPr="000048ED">
        <w:t>uarter 1 201</w:t>
      </w:r>
      <w:r w:rsidR="00C764D8">
        <w:t>8</w:t>
      </w:r>
      <w:r w:rsidR="00275002" w:rsidRPr="000048ED">
        <w:t xml:space="preserve"> cap contract has changed over the last 10 weeks (as well as the total number of trades each week). The closing quarter 1 201</w:t>
      </w:r>
      <w:r w:rsidR="00C764D8">
        <w:t>6</w:t>
      </w:r>
      <w:r w:rsidR="00275002" w:rsidRPr="000048ED">
        <w:t xml:space="preserve"> and quarter 1 201</w:t>
      </w:r>
      <w:r w:rsidR="00C764D8">
        <w:t>7</w:t>
      </w:r>
      <w:r w:rsidR="00275002" w:rsidRPr="000048ED">
        <w:t xml:space="preserve"> prices are also shown. </w:t>
      </w:r>
    </w:p>
    <w:p w:rsidR="00275002" w:rsidRDefault="00275002" w:rsidP="002B720D">
      <w:pPr>
        <w:pStyle w:val="Caption"/>
      </w:pPr>
      <w:bookmarkStart w:id="23" w:name="_Ref428276233"/>
      <w:bookmarkStart w:id="24" w:name="_Ref410744936"/>
      <w:r>
        <w:lastRenderedPageBreak/>
        <w:t xml:space="preserve">Figure </w:t>
      </w:r>
      <w:r w:rsidR="00D9655A">
        <w:fldChar w:fldCharType="begin"/>
      </w:r>
      <w:r w:rsidR="00D9655A">
        <w:instrText xml:space="preserve"> SEQ Figure \* ARABIC </w:instrText>
      </w:r>
      <w:r w:rsidR="00D9655A">
        <w:fldChar w:fldCharType="separate"/>
      </w:r>
      <w:r w:rsidR="00D9655A">
        <w:rPr>
          <w:noProof/>
        </w:rPr>
        <w:t>11</w:t>
      </w:r>
      <w:r w:rsidR="00D9655A">
        <w:rPr>
          <w:noProof/>
        </w:rPr>
        <w:fldChar w:fldCharType="end"/>
      </w:r>
      <w:bookmarkEnd w:id="23"/>
      <w:r w:rsidR="002515C3">
        <w:t>:</w:t>
      </w:r>
      <w:r w:rsidRPr="0074419D">
        <w:t xml:space="preserve"> Price of Q1 201</w:t>
      </w:r>
      <w:r w:rsidR="005402ED">
        <w:t>8</w:t>
      </w:r>
      <w:r w:rsidRPr="0074419D">
        <w:t xml:space="preserve"> cap contracts over the past 10 weeks (and the past 2 years)</w:t>
      </w:r>
      <w:bookmarkEnd w:id="24"/>
    </w:p>
    <w:p w:rsidR="008E0420" w:rsidRPr="008E0420" w:rsidRDefault="00D75157" w:rsidP="008E0420">
      <w:r w:rsidRPr="00D75157">
        <w:rPr>
          <w:noProof/>
          <w:lang w:eastAsia="en-AU"/>
        </w:rPr>
        <w:drawing>
          <wp:inline distT="0" distB="0" distL="0" distR="0" wp14:anchorId="0B86B992" wp14:editId="4A89D9EC">
            <wp:extent cx="5731510" cy="2869421"/>
            <wp:effectExtent l="0" t="0" r="2540" b="7620"/>
            <wp:docPr id="15" name="Picture 15" descr="Figure 11 shows how the price for each regional Quarter 1 2018 cap contract has changed over the last 10 weeks (as well as the total number of trades each week). The closing quarter 1 2016 and quarter 1 2017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69421"/>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5"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EB561F">
        <w:t>May</w:t>
      </w:r>
      <w:r w:rsidR="00854750">
        <w:t xml:space="preserve"> </w:t>
      </w:r>
      <w:r w:rsidR="00C4712A" w:rsidRPr="00D92E07">
        <w:t>201</w:t>
      </w:r>
      <w:r w:rsidR="00685A1B">
        <w:t>7</w:t>
      </w:r>
    </w:p>
    <w:sectPr w:rsidR="00275002" w:rsidRPr="009F2CAC" w:rsidSect="00562EF1">
      <w:footerReference w:type="even" r:id="rId26"/>
      <w:footerReference w:type="default" r:id="rId27"/>
      <w:footerReference w:type="first" r:id="rId28"/>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1B" w:rsidRDefault="000F021B" w:rsidP="004B4412">
      <w:pPr>
        <w:spacing w:before="0"/>
      </w:pPr>
      <w:r>
        <w:separator/>
      </w:r>
    </w:p>
  </w:endnote>
  <w:endnote w:type="continuationSeparator" w:id="0">
    <w:p w:rsidR="000F021B" w:rsidRDefault="000F021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1A9E" w:rsidRDefault="000F021B"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F021B" w:rsidRDefault="000F021B"/>
  <w:p w:rsidR="000F021B" w:rsidRDefault="000F02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4D89" w:rsidRDefault="000F021B"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D9655A">
      <w:rPr>
        <w:rFonts w:cs="Arial"/>
        <w:i/>
        <w:noProof/>
      </w:rPr>
      <w:t>8</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4D89" w:rsidRDefault="000F021B"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D9655A">
      <w:rPr>
        <w:rFonts w:cs="Arial"/>
        <w:i/>
        <w:noProof/>
      </w:rPr>
      <w:t>1</w:t>
    </w:r>
    <w:r w:rsidRPr="001F1B78">
      <w:rPr>
        <w:rFonts w:cs="Arial"/>
        <w:i/>
        <w:noProof/>
      </w:rPr>
      <w:fldChar w:fldCharType="end"/>
    </w:r>
    <w:r w:rsidRPr="00F52F00">
      <w:rPr>
        <w:rFonts w:cs="Arial"/>
        <w:i/>
      </w:rPr>
      <w:tab/>
      <w:t>AER reference</w:t>
    </w:r>
    <w:r w:rsidRPr="0000255F">
      <w:rPr>
        <w:rFonts w:cs="Arial"/>
        <w:i/>
      </w:rPr>
      <w:t xml:space="preserve">: 39220 – </w:t>
    </w:r>
    <w:r w:rsidR="00C764D8" w:rsidRPr="00C764D8">
      <w:rPr>
        <w:rFonts w:cs="Arial"/>
        <w:i/>
        <w:szCs w:val="18"/>
      </w:rPr>
      <w:t>D17/</w:t>
    </w:r>
    <w:r w:rsidR="000D1AFA">
      <w:rPr>
        <w:rFonts w:cs="Arial"/>
        <w:i/>
        <w:szCs w:val="18"/>
      </w:rPr>
      <w:t>68432</w:t>
    </w:r>
  </w:p>
  <w:p w:rsidR="000F021B" w:rsidRDefault="000F02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1B" w:rsidRDefault="000F021B" w:rsidP="004B4412">
      <w:pPr>
        <w:spacing w:before="0"/>
      </w:pPr>
      <w:r>
        <w:separator/>
      </w:r>
    </w:p>
  </w:footnote>
  <w:footnote w:type="continuationSeparator" w:id="0">
    <w:p w:rsidR="000F021B" w:rsidRDefault="000F021B"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478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Desktop\Uploads\Uploaded weeklies\Electricity report 14 - 20 May 2017.docx"/>
  </w:docVars>
  <w:rsids>
    <w:rsidRoot w:val="00275002"/>
    <w:rsid w:val="00000817"/>
    <w:rsid w:val="00000BFE"/>
    <w:rsid w:val="00000CC3"/>
    <w:rsid w:val="00001D6D"/>
    <w:rsid w:val="0000255F"/>
    <w:rsid w:val="00003169"/>
    <w:rsid w:val="00003C92"/>
    <w:rsid w:val="000048ED"/>
    <w:rsid w:val="00005D12"/>
    <w:rsid w:val="0000728F"/>
    <w:rsid w:val="00007624"/>
    <w:rsid w:val="000128E1"/>
    <w:rsid w:val="00014045"/>
    <w:rsid w:val="0001415C"/>
    <w:rsid w:val="000147C1"/>
    <w:rsid w:val="00014D5F"/>
    <w:rsid w:val="000176A2"/>
    <w:rsid w:val="00017DD0"/>
    <w:rsid w:val="00020D21"/>
    <w:rsid w:val="00021202"/>
    <w:rsid w:val="0002123D"/>
    <w:rsid w:val="000221F0"/>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22CC"/>
    <w:rsid w:val="00043FA7"/>
    <w:rsid w:val="000442BA"/>
    <w:rsid w:val="00044D80"/>
    <w:rsid w:val="000452BA"/>
    <w:rsid w:val="00045F0A"/>
    <w:rsid w:val="000461E2"/>
    <w:rsid w:val="0005123C"/>
    <w:rsid w:val="00051880"/>
    <w:rsid w:val="000528FD"/>
    <w:rsid w:val="0005459A"/>
    <w:rsid w:val="00056949"/>
    <w:rsid w:val="000576CD"/>
    <w:rsid w:val="00057973"/>
    <w:rsid w:val="00057EFD"/>
    <w:rsid w:val="00061ABD"/>
    <w:rsid w:val="00061CE2"/>
    <w:rsid w:val="00061E3B"/>
    <w:rsid w:val="00063247"/>
    <w:rsid w:val="00063473"/>
    <w:rsid w:val="00065C6F"/>
    <w:rsid w:val="00066157"/>
    <w:rsid w:val="000661AF"/>
    <w:rsid w:val="00070F9F"/>
    <w:rsid w:val="0007137B"/>
    <w:rsid w:val="000738F4"/>
    <w:rsid w:val="00074A4E"/>
    <w:rsid w:val="000758D3"/>
    <w:rsid w:val="00075D7D"/>
    <w:rsid w:val="000766E2"/>
    <w:rsid w:val="00077616"/>
    <w:rsid w:val="00077819"/>
    <w:rsid w:val="000814F1"/>
    <w:rsid w:val="000822B6"/>
    <w:rsid w:val="00084061"/>
    <w:rsid w:val="00085663"/>
    <w:rsid w:val="00085EBF"/>
    <w:rsid w:val="00086B36"/>
    <w:rsid w:val="00086CF3"/>
    <w:rsid w:val="00087C4A"/>
    <w:rsid w:val="00087CDC"/>
    <w:rsid w:val="00090704"/>
    <w:rsid w:val="00091FB4"/>
    <w:rsid w:val="00092DE3"/>
    <w:rsid w:val="000938D7"/>
    <w:rsid w:val="000938FB"/>
    <w:rsid w:val="0009511C"/>
    <w:rsid w:val="0009584C"/>
    <w:rsid w:val="000961FA"/>
    <w:rsid w:val="00096387"/>
    <w:rsid w:val="0009653D"/>
    <w:rsid w:val="00097A25"/>
    <w:rsid w:val="000A1A74"/>
    <w:rsid w:val="000A241B"/>
    <w:rsid w:val="000A24AA"/>
    <w:rsid w:val="000A29ED"/>
    <w:rsid w:val="000A4529"/>
    <w:rsid w:val="000A62D6"/>
    <w:rsid w:val="000A6F14"/>
    <w:rsid w:val="000B0311"/>
    <w:rsid w:val="000B1726"/>
    <w:rsid w:val="000B3004"/>
    <w:rsid w:val="000B34F5"/>
    <w:rsid w:val="000B364C"/>
    <w:rsid w:val="000B3C8A"/>
    <w:rsid w:val="000B56E8"/>
    <w:rsid w:val="000B589F"/>
    <w:rsid w:val="000B7257"/>
    <w:rsid w:val="000C0472"/>
    <w:rsid w:val="000C1B93"/>
    <w:rsid w:val="000C1FA4"/>
    <w:rsid w:val="000C2A63"/>
    <w:rsid w:val="000C2C53"/>
    <w:rsid w:val="000C6144"/>
    <w:rsid w:val="000D05BD"/>
    <w:rsid w:val="000D0A74"/>
    <w:rsid w:val="000D122C"/>
    <w:rsid w:val="000D19B5"/>
    <w:rsid w:val="000D1AFA"/>
    <w:rsid w:val="000D1F96"/>
    <w:rsid w:val="000D20BA"/>
    <w:rsid w:val="000D355E"/>
    <w:rsid w:val="000D3C77"/>
    <w:rsid w:val="000D4350"/>
    <w:rsid w:val="000D4A98"/>
    <w:rsid w:val="000D5ADE"/>
    <w:rsid w:val="000D68C5"/>
    <w:rsid w:val="000E00DE"/>
    <w:rsid w:val="000E0120"/>
    <w:rsid w:val="000E1819"/>
    <w:rsid w:val="000E1A1B"/>
    <w:rsid w:val="000E2330"/>
    <w:rsid w:val="000E26B0"/>
    <w:rsid w:val="000E2946"/>
    <w:rsid w:val="000E3D55"/>
    <w:rsid w:val="000E4537"/>
    <w:rsid w:val="000E4F81"/>
    <w:rsid w:val="000E54D6"/>
    <w:rsid w:val="000E55C7"/>
    <w:rsid w:val="000E5B3C"/>
    <w:rsid w:val="000E5B55"/>
    <w:rsid w:val="000E6C72"/>
    <w:rsid w:val="000E7180"/>
    <w:rsid w:val="000E726E"/>
    <w:rsid w:val="000E77BB"/>
    <w:rsid w:val="000E7E24"/>
    <w:rsid w:val="000F021B"/>
    <w:rsid w:val="000F189E"/>
    <w:rsid w:val="000F1956"/>
    <w:rsid w:val="000F1D61"/>
    <w:rsid w:val="000F5487"/>
    <w:rsid w:val="000F56F6"/>
    <w:rsid w:val="000F5855"/>
    <w:rsid w:val="000F6FA7"/>
    <w:rsid w:val="000F77D6"/>
    <w:rsid w:val="000F7EE1"/>
    <w:rsid w:val="00100142"/>
    <w:rsid w:val="00100B12"/>
    <w:rsid w:val="00102B48"/>
    <w:rsid w:val="00102B64"/>
    <w:rsid w:val="00104F73"/>
    <w:rsid w:val="00105281"/>
    <w:rsid w:val="00105AF3"/>
    <w:rsid w:val="00105D4E"/>
    <w:rsid w:val="0010740E"/>
    <w:rsid w:val="00107F6C"/>
    <w:rsid w:val="0011019A"/>
    <w:rsid w:val="001107FF"/>
    <w:rsid w:val="00112136"/>
    <w:rsid w:val="001121C2"/>
    <w:rsid w:val="00112CDC"/>
    <w:rsid w:val="00113430"/>
    <w:rsid w:val="00113AE0"/>
    <w:rsid w:val="001140FE"/>
    <w:rsid w:val="00114352"/>
    <w:rsid w:val="001158FE"/>
    <w:rsid w:val="00115994"/>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BD7"/>
    <w:rsid w:val="00136716"/>
    <w:rsid w:val="00136A08"/>
    <w:rsid w:val="001373F1"/>
    <w:rsid w:val="00140164"/>
    <w:rsid w:val="00140DE4"/>
    <w:rsid w:val="001435CC"/>
    <w:rsid w:val="00143645"/>
    <w:rsid w:val="001436F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16D"/>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56AF"/>
    <w:rsid w:val="001761FF"/>
    <w:rsid w:val="00176AEF"/>
    <w:rsid w:val="00176E41"/>
    <w:rsid w:val="001778E3"/>
    <w:rsid w:val="00180157"/>
    <w:rsid w:val="00180E51"/>
    <w:rsid w:val="00181C46"/>
    <w:rsid w:val="001832C7"/>
    <w:rsid w:val="001841A0"/>
    <w:rsid w:val="00185510"/>
    <w:rsid w:val="00186831"/>
    <w:rsid w:val="00186F77"/>
    <w:rsid w:val="001901A4"/>
    <w:rsid w:val="00190F24"/>
    <w:rsid w:val="0019177E"/>
    <w:rsid w:val="00191C6F"/>
    <w:rsid w:val="00191DA4"/>
    <w:rsid w:val="00192441"/>
    <w:rsid w:val="001926A4"/>
    <w:rsid w:val="001936FA"/>
    <w:rsid w:val="00193ED7"/>
    <w:rsid w:val="00193FF4"/>
    <w:rsid w:val="001955D5"/>
    <w:rsid w:val="001977CC"/>
    <w:rsid w:val="00197DD5"/>
    <w:rsid w:val="001A1357"/>
    <w:rsid w:val="001A2BC2"/>
    <w:rsid w:val="001A2BC9"/>
    <w:rsid w:val="001A2C0A"/>
    <w:rsid w:val="001A3AEC"/>
    <w:rsid w:val="001A3CDA"/>
    <w:rsid w:val="001A4FE0"/>
    <w:rsid w:val="001A5B9F"/>
    <w:rsid w:val="001A6790"/>
    <w:rsid w:val="001A7212"/>
    <w:rsid w:val="001A73EF"/>
    <w:rsid w:val="001A79BC"/>
    <w:rsid w:val="001B0C3B"/>
    <w:rsid w:val="001B2363"/>
    <w:rsid w:val="001B2A9F"/>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C75E1"/>
    <w:rsid w:val="001D055E"/>
    <w:rsid w:val="001D0C65"/>
    <w:rsid w:val="001D0CE3"/>
    <w:rsid w:val="001D1597"/>
    <w:rsid w:val="001D3A5B"/>
    <w:rsid w:val="001D5BEB"/>
    <w:rsid w:val="001D5EE6"/>
    <w:rsid w:val="001D60FF"/>
    <w:rsid w:val="001D7698"/>
    <w:rsid w:val="001D7FB7"/>
    <w:rsid w:val="001E01B4"/>
    <w:rsid w:val="001E0C61"/>
    <w:rsid w:val="001E0E82"/>
    <w:rsid w:val="001E14C2"/>
    <w:rsid w:val="001E2F01"/>
    <w:rsid w:val="001E4665"/>
    <w:rsid w:val="001E48B3"/>
    <w:rsid w:val="001E5AEE"/>
    <w:rsid w:val="001E5D20"/>
    <w:rsid w:val="001E6485"/>
    <w:rsid w:val="001E6A7E"/>
    <w:rsid w:val="001E6FDD"/>
    <w:rsid w:val="001F03EF"/>
    <w:rsid w:val="001F0EC9"/>
    <w:rsid w:val="001F0FD0"/>
    <w:rsid w:val="001F1548"/>
    <w:rsid w:val="001F1B78"/>
    <w:rsid w:val="001F22EE"/>
    <w:rsid w:val="001F2577"/>
    <w:rsid w:val="001F2D73"/>
    <w:rsid w:val="001F3530"/>
    <w:rsid w:val="001F4726"/>
    <w:rsid w:val="001F492E"/>
    <w:rsid w:val="001F6DA3"/>
    <w:rsid w:val="001F7575"/>
    <w:rsid w:val="002003AE"/>
    <w:rsid w:val="00200A30"/>
    <w:rsid w:val="00201136"/>
    <w:rsid w:val="0020132A"/>
    <w:rsid w:val="00201A4B"/>
    <w:rsid w:val="00201C06"/>
    <w:rsid w:val="00203300"/>
    <w:rsid w:val="0020376D"/>
    <w:rsid w:val="00204302"/>
    <w:rsid w:val="0020489F"/>
    <w:rsid w:val="002050F5"/>
    <w:rsid w:val="002062A9"/>
    <w:rsid w:val="002065C6"/>
    <w:rsid w:val="002069B7"/>
    <w:rsid w:val="002072A2"/>
    <w:rsid w:val="00207A24"/>
    <w:rsid w:val="00207D5B"/>
    <w:rsid w:val="0021027A"/>
    <w:rsid w:val="0021147E"/>
    <w:rsid w:val="00212D2F"/>
    <w:rsid w:val="00213CF6"/>
    <w:rsid w:val="00214274"/>
    <w:rsid w:val="0021431B"/>
    <w:rsid w:val="00214FBA"/>
    <w:rsid w:val="00215E19"/>
    <w:rsid w:val="002164FB"/>
    <w:rsid w:val="00216865"/>
    <w:rsid w:val="00216A04"/>
    <w:rsid w:val="00217221"/>
    <w:rsid w:val="00217C29"/>
    <w:rsid w:val="00220C0F"/>
    <w:rsid w:val="002214D9"/>
    <w:rsid w:val="002216F5"/>
    <w:rsid w:val="00222F04"/>
    <w:rsid w:val="00223FEA"/>
    <w:rsid w:val="002242B5"/>
    <w:rsid w:val="002249AD"/>
    <w:rsid w:val="00224DB9"/>
    <w:rsid w:val="00224EE7"/>
    <w:rsid w:val="00227098"/>
    <w:rsid w:val="002276F0"/>
    <w:rsid w:val="00227C97"/>
    <w:rsid w:val="002308F6"/>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639D"/>
    <w:rsid w:val="00247473"/>
    <w:rsid w:val="002474AD"/>
    <w:rsid w:val="00247E84"/>
    <w:rsid w:val="00250859"/>
    <w:rsid w:val="002515C3"/>
    <w:rsid w:val="002516A1"/>
    <w:rsid w:val="00251745"/>
    <w:rsid w:val="00251C37"/>
    <w:rsid w:val="00251D74"/>
    <w:rsid w:val="00253004"/>
    <w:rsid w:val="00253160"/>
    <w:rsid w:val="00253F55"/>
    <w:rsid w:val="00256B11"/>
    <w:rsid w:val="00257A7B"/>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EA"/>
    <w:rsid w:val="00276A9F"/>
    <w:rsid w:val="00277ADB"/>
    <w:rsid w:val="002817AB"/>
    <w:rsid w:val="0028185A"/>
    <w:rsid w:val="002828A0"/>
    <w:rsid w:val="00283BF8"/>
    <w:rsid w:val="0028440E"/>
    <w:rsid w:val="0028521F"/>
    <w:rsid w:val="00285B8A"/>
    <w:rsid w:val="00286874"/>
    <w:rsid w:val="00286D68"/>
    <w:rsid w:val="00286F80"/>
    <w:rsid w:val="00290C73"/>
    <w:rsid w:val="0029162D"/>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71E"/>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0908"/>
    <w:rsid w:val="002D1734"/>
    <w:rsid w:val="002D37FB"/>
    <w:rsid w:val="002D484E"/>
    <w:rsid w:val="002D4A1F"/>
    <w:rsid w:val="002D4C26"/>
    <w:rsid w:val="002D5A5A"/>
    <w:rsid w:val="002D6AB4"/>
    <w:rsid w:val="002E01BF"/>
    <w:rsid w:val="002E1255"/>
    <w:rsid w:val="002E29A0"/>
    <w:rsid w:val="002E3D1D"/>
    <w:rsid w:val="002E504E"/>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7986"/>
    <w:rsid w:val="002F79C6"/>
    <w:rsid w:val="002F7B3F"/>
    <w:rsid w:val="00300C0B"/>
    <w:rsid w:val="00301ADD"/>
    <w:rsid w:val="00302D83"/>
    <w:rsid w:val="00303F1A"/>
    <w:rsid w:val="0030495F"/>
    <w:rsid w:val="00305696"/>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B4"/>
    <w:rsid w:val="00324889"/>
    <w:rsid w:val="003271B5"/>
    <w:rsid w:val="003274A9"/>
    <w:rsid w:val="0032770E"/>
    <w:rsid w:val="00331264"/>
    <w:rsid w:val="00331DDB"/>
    <w:rsid w:val="003324EF"/>
    <w:rsid w:val="00332F5D"/>
    <w:rsid w:val="00333F4A"/>
    <w:rsid w:val="00334C8D"/>
    <w:rsid w:val="00335ED6"/>
    <w:rsid w:val="00336D50"/>
    <w:rsid w:val="003375A4"/>
    <w:rsid w:val="00337A77"/>
    <w:rsid w:val="003401B9"/>
    <w:rsid w:val="00340B23"/>
    <w:rsid w:val="00341169"/>
    <w:rsid w:val="00342870"/>
    <w:rsid w:val="00343BF7"/>
    <w:rsid w:val="003450FE"/>
    <w:rsid w:val="00345595"/>
    <w:rsid w:val="00346F05"/>
    <w:rsid w:val="0035089F"/>
    <w:rsid w:val="00351852"/>
    <w:rsid w:val="003518B3"/>
    <w:rsid w:val="00351FDC"/>
    <w:rsid w:val="00352DA8"/>
    <w:rsid w:val="003535FF"/>
    <w:rsid w:val="00354887"/>
    <w:rsid w:val="00354A9E"/>
    <w:rsid w:val="00354B6E"/>
    <w:rsid w:val="0035522A"/>
    <w:rsid w:val="003552A6"/>
    <w:rsid w:val="00355CDD"/>
    <w:rsid w:val="00355D1A"/>
    <w:rsid w:val="00355D2F"/>
    <w:rsid w:val="00356706"/>
    <w:rsid w:val="00356E72"/>
    <w:rsid w:val="003574A1"/>
    <w:rsid w:val="003605DF"/>
    <w:rsid w:val="00361D84"/>
    <w:rsid w:val="003624C2"/>
    <w:rsid w:val="00362ABA"/>
    <w:rsid w:val="003642AD"/>
    <w:rsid w:val="00364EF1"/>
    <w:rsid w:val="00366515"/>
    <w:rsid w:val="00366713"/>
    <w:rsid w:val="00366842"/>
    <w:rsid w:val="00367142"/>
    <w:rsid w:val="003715C8"/>
    <w:rsid w:val="00371F3A"/>
    <w:rsid w:val="003749F7"/>
    <w:rsid w:val="0037513A"/>
    <w:rsid w:val="0037578A"/>
    <w:rsid w:val="00375E24"/>
    <w:rsid w:val="00376373"/>
    <w:rsid w:val="003769E2"/>
    <w:rsid w:val="00377133"/>
    <w:rsid w:val="00380696"/>
    <w:rsid w:val="003816D4"/>
    <w:rsid w:val="00383C6B"/>
    <w:rsid w:val="003846F1"/>
    <w:rsid w:val="00384A55"/>
    <w:rsid w:val="00384B54"/>
    <w:rsid w:val="00385C6F"/>
    <w:rsid w:val="003869AF"/>
    <w:rsid w:val="00386C86"/>
    <w:rsid w:val="003874F8"/>
    <w:rsid w:val="00387CDE"/>
    <w:rsid w:val="003904D2"/>
    <w:rsid w:val="00394B85"/>
    <w:rsid w:val="003953A0"/>
    <w:rsid w:val="00395B4C"/>
    <w:rsid w:val="00397EB2"/>
    <w:rsid w:val="00397FF5"/>
    <w:rsid w:val="003A0810"/>
    <w:rsid w:val="003A0A64"/>
    <w:rsid w:val="003A0CB8"/>
    <w:rsid w:val="003A1E66"/>
    <w:rsid w:val="003A1F17"/>
    <w:rsid w:val="003A39D5"/>
    <w:rsid w:val="003A3E2D"/>
    <w:rsid w:val="003A4136"/>
    <w:rsid w:val="003A41E0"/>
    <w:rsid w:val="003A431D"/>
    <w:rsid w:val="003A4B6B"/>
    <w:rsid w:val="003A4D05"/>
    <w:rsid w:val="003A53D5"/>
    <w:rsid w:val="003A585C"/>
    <w:rsid w:val="003A5E58"/>
    <w:rsid w:val="003A76D9"/>
    <w:rsid w:val="003A7DC0"/>
    <w:rsid w:val="003B069D"/>
    <w:rsid w:val="003B0D56"/>
    <w:rsid w:val="003B1A79"/>
    <w:rsid w:val="003B282E"/>
    <w:rsid w:val="003B40ED"/>
    <w:rsid w:val="003B4804"/>
    <w:rsid w:val="003B4D9B"/>
    <w:rsid w:val="003B5231"/>
    <w:rsid w:val="003B5D14"/>
    <w:rsid w:val="003B6F90"/>
    <w:rsid w:val="003B7D5E"/>
    <w:rsid w:val="003B7D71"/>
    <w:rsid w:val="003C0710"/>
    <w:rsid w:val="003C16AA"/>
    <w:rsid w:val="003C23CA"/>
    <w:rsid w:val="003C24A9"/>
    <w:rsid w:val="003C2A86"/>
    <w:rsid w:val="003C2B22"/>
    <w:rsid w:val="003C2BC1"/>
    <w:rsid w:val="003C30E5"/>
    <w:rsid w:val="003C3C98"/>
    <w:rsid w:val="003C3D77"/>
    <w:rsid w:val="003C4327"/>
    <w:rsid w:val="003C62E9"/>
    <w:rsid w:val="003C6315"/>
    <w:rsid w:val="003C6BA6"/>
    <w:rsid w:val="003C7164"/>
    <w:rsid w:val="003C7EFA"/>
    <w:rsid w:val="003D1C42"/>
    <w:rsid w:val="003D4F14"/>
    <w:rsid w:val="003D5258"/>
    <w:rsid w:val="003D62D9"/>
    <w:rsid w:val="003E1341"/>
    <w:rsid w:val="003E19A2"/>
    <w:rsid w:val="003E309F"/>
    <w:rsid w:val="003E37BE"/>
    <w:rsid w:val="003E3C33"/>
    <w:rsid w:val="003E4747"/>
    <w:rsid w:val="003E47DC"/>
    <w:rsid w:val="003E521D"/>
    <w:rsid w:val="003E74FF"/>
    <w:rsid w:val="003E78A9"/>
    <w:rsid w:val="003F004E"/>
    <w:rsid w:val="003F0289"/>
    <w:rsid w:val="003F02D8"/>
    <w:rsid w:val="003F1226"/>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B42"/>
    <w:rsid w:val="0040684C"/>
    <w:rsid w:val="004069C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2A51"/>
    <w:rsid w:val="00432B5B"/>
    <w:rsid w:val="00432EC2"/>
    <w:rsid w:val="00433242"/>
    <w:rsid w:val="00436B54"/>
    <w:rsid w:val="00436F28"/>
    <w:rsid w:val="00436F76"/>
    <w:rsid w:val="00440D85"/>
    <w:rsid w:val="004410F1"/>
    <w:rsid w:val="0044110C"/>
    <w:rsid w:val="00441A99"/>
    <w:rsid w:val="00442767"/>
    <w:rsid w:val="00444A48"/>
    <w:rsid w:val="00445806"/>
    <w:rsid w:val="0044748A"/>
    <w:rsid w:val="0045051E"/>
    <w:rsid w:val="00450611"/>
    <w:rsid w:val="004507A1"/>
    <w:rsid w:val="0045129B"/>
    <w:rsid w:val="004518EA"/>
    <w:rsid w:val="00451DE7"/>
    <w:rsid w:val="00451DFF"/>
    <w:rsid w:val="00453327"/>
    <w:rsid w:val="00453A41"/>
    <w:rsid w:val="00456C20"/>
    <w:rsid w:val="00462718"/>
    <w:rsid w:val="00462CFF"/>
    <w:rsid w:val="00463932"/>
    <w:rsid w:val="00465210"/>
    <w:rsid w:val="00465A75"/>
    <w:rsid w:val="0046790A"/>
    <w:rsid w:val="0047014C"/>
    <w:rsid w:val="00470AF4"/>
    <w:rsid w:val="00470EE9"/>
    <w:rsid w:val="0047130B"/>
    <w:rsid w:val="00471992"/>
    <w:rsid w:val="00471E68"/>
    <w:rsid w:val="0047237E"/>
    <w:rsid w:val="0047251B"/>
    <w:rsid w:val="00473433"/>
    <w:rsid w:val="0047346C"/>
    <w:rsid w:val="004740D3"/>
    <w:rsid w:val="00474513"/>
    <w:rsid w:val="00474FEC"/>
    <w:rsid w:val="00477821"/>
    <w:rsid w:val="0048018F"/>
    <w:rsid w:val="00480B4B"/>
    <w:rsid w:val="00480DA9"/>
    <w:rsid w:val="004819B1"/>
    <w:rsid w:val="00481CE9"/>
    <w:rsid w:val="004831F8"/>
    <w:rsid w:val="004835FB"/>
    <w:rsid w:val="00484D9C"/>
    <w:rsid w:val="00485752"/>
    <w:rsid w:val="00485DC4"/>
    <w:rsid w:val="0048690A"/>
    <w:rsid w:val="00487C10"/>
    <w:rsid w:val="00487D4B"/>
    <w:rsid w:val="00491631"/>
    <w:rsid w:val="004923CD"/>
    <w:rsid w:val="00492875"/>
    <w:rsid w:val="00492A06"/>
    <w:rsid w:val="0049337E"/>
    <w:rsid w:val="00493B02"/>
    <w:rsid w:val="00494036"/>
    <w:rsid w:val="004944FF"/>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372"/>
    <w:rsid w:val="004B4412"/>
    <w:rsid w:val="004B5B3F"/>
    <w:rsid w:val="004C28B2"/>
    <w:rsid w:val="004C348C"/>
    <w:rsid w:val="004C37D1"/>
    <w:rsid w:val="004C4E90"/>
    <w:rsid w:val="004C63B9"/>
    <w:rsid w:val="004C6486"/>
    <w:rsid w:val="004C6C5B"/>
    <w:rsid w:val="004C7D3A"/>
    <w:rsid w:val="004D1774"/>
    <w:rsid w:val="004D1D1A"/>
    <w:rsid w:val="004D2A5B"/>
    <w:rsid w:val="004D4A76"/>
    <w:rsid w:val="004D5447"/>
    <w:rsid w:val="004D55BA"/>
    <w:rsid w:val="004D69E2"/>
    <w:rsid w:val="004E0F0F"/>
    <w:rsid w:val="004E11F9"/>
    <w:rsid w:val="004E1B1C"/>
    <w:rsid w:val="004E1E95"/>
    <w:rsid w:val="004E34E7"/>
    <w:rsid w:val="004E38D9"/>
    <w:rsid w:val="004E390F"/>
    <w:rsid w:val="004E4142"/>
    <w:rsid w:val="004E567F"/>
    <w:rsid w:val="004E6AFC"/>
    <w:rsid w:val="004E70CA"/>
    <w:rsid w:val="004E755C"/>
    <w:rsid w:val="004E7D10"/>
    <w:rsid w:val="004F171D"/>
    <w:rsid w:val="004F18F3"/>
    <w:rsid w:val="004F1A96"/>
    <w:rsid w:val="004F1F01"/>
    <w:rsid w:val="004F506A"/>
    <w:rsid w:val="004F5381"/>
    <w:rsid w:val="004F5C73"/>
    <w:rsid w:val="004F6625"/>
    <w:rsid w:val="004F6D0A"/>
    <w:rsid w:val="004F6ED0"/>
    <w:rsid w:val="00501B85"/>
    <w:rsid w:val="0050244E"/>
    <w:rsid w:val="00502843"/>
    <w:rsid w:val="00502D42"/>
    <w:rsid w:val="00502F3B"/>
    <w:rsid w:val="005033F6"/>
    <w:rsid w:val="0050349E"/>
    <w:rsid w:val="005047F1"/>
    <w:rsid w:val="005055EA"/>
    <w:rsid w:val="00505616"/>
    <w:rsid w:val="00505B5E"/>
    <w:rsid w:val="00510A43"/>
    <w:rsid w:val="00510F5E"/>
    <w:rsid w:val="0051195C"/>
    <w:rsid w:val="00513F48"/>
    <w:rsid w:val="00513F7F"/>
    <w:rsid w:val="005160C3"/>
    <w:rsid w:val="005177C0"/>
    <w:rsid w:val="005178E8"/>
    <w:rsid w:val="00522199"/>
    <w:rsid w:val="00522360"/>
    <w:rsid w:val="00522486"/>
    <w:rsid w:val="00522668"/>
    <w:rsid w:val="00522F1C"/>
    <w:rsid w:val="00523AD2"/>
    <w:rsid w:val="00524513"/>
    <w:rsid w:val="00525B46"/>
    <w:rsid w:val="00527551"/>
    <w:rsid w:val="005279B6"/>
    <w:rsid w:val="00530128"/>
    <w:rsid w:val="00530657"/>
    <w:rsid w:val="005323B2"/>
    <w:rsid w:val="00532467"/>
    <w:rsid w:val="00532744"/>
    <w:rsid w:val="00533C15"/>
    <w:rsid w:val="0053491C"/>
    <w:rsid w:val="005358F4"/>
    <w:rsid w:val="0053611E"/>
    <w:rsid w:val="00536609"/>
    <w:rsid w:val="005402ED"/>
    <w:rsid w:val="0054102B"/>
    <w:rsid w:val="0054173F"/>
    <w:rsid w:val="00541B82"/>
    <w:rsid w:val="0054254C"/>
    <w:rsid w:val="0054313C"/>
    <w:rsid w:val="00543544"/>
    <w:rsid w:val="00543945"/>
    <w:rsid w:val="00543BEC"/>
    <w:rsid w:val="00543CC7"/>
    <w:rsid w:val="00544C6F"/>
    <w:rsid w:val="00545077"/>
    <w:rsid w:val="005475AD"/>
    <w:rsid w:val="005479BB"/>
    <w:rsid w:val="00547DC4"/>
    <w:rsid w:val="005502E7"/>
    <w:rsid w:val="00551739"/>
    <w:rsid w:val="00552108"/>
    <w:rsid w:val="0055298D"/>
    <w:rsid w:val="00552DA2"/>
    <w:rsid w:val="0055398B"/>
    <w:rsid w:val="00554171"/>
    <w:rsid w:val="00554D95"/>
    <w:rsid w:val="0055544F"/>
    <w:rsid w:val="00555667"/>
    <w:rsid w:val="005556B9"/>
    <w:rsid w:val="00556553"/>
    <w:rsid w:val="00556B64"/>
    <w:rsid w:val="005575B9"/>
    <w:rsid w:val="00560CE5"/>
    <w:rsid w:val="00561A9D"/>
    <w:rsid w:val="00562103"/>
    <w:rsid w:val="0056218D"/>
    <w:rsid w:val="00562CEE"/>
    <w:rsid w:val="00562EF1"/>
    <w:rsid w:val="005639E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153"/>
    <w:rsid w:val="0058645E"/>
    <w:rsid w:val="0059050D"/>
    <w:rsid w:val="0059150B"/>
    <w:rsid w:val="005932AC"/>
    <w:rsid w:val="00593DCD"/>
    <w:rsid w:val="005943E8"/>
    <w:rsid w:val="005950AB"/>
    <w:rsid w:val="0059539A"/>
    <w:rsid w:val="00595613"/>
    <w:rsid w:val="00595ED0"/>
    <w:rsid w:val="00596275"/>
    <w:rsid w:val="005A1287"/>
    <w:rsid w:val="005A1339"/>
    <w:rsid w:val="005A20AB"/>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4063"/>
    <w:rsid w:val="005B4810"/>
    <w:rsid w:val="005B4C28"/>
    <w:rsid w:val="005B4C44"/>
    <w:rsid w:val="005B559B"/>
    <w:rsid w:val="005B5900"/>
    <w:rsid w:val="005B62AF"/>
    <w:rsid w:val="005B6994"/>
    <w:rsid w:val="005B6FC9"/>
    <w:rsid w:val="005B7852"/>
    <w:rsid w:val="005B7F8F"/>
    <w:rsid w:val="005C08DE"/>
    <w:rsid w:val="005C0D2F"/>
    <w:rsid w:val="005C26CC"/>
    <w:rsid w:val="005C33B2"/>
    <w:rsid w:val="005C3411"/>
    <w:rsid w:val="005C3D54"/>
    <w:rsid w:val="005C3DEC"/>
    <w:rsid w:val="005C4E3D"/>
    <w:rsid w:val="005C4F80"/>
    <w:rsid w:val="005C5287"/>
    <w:rsid w:val="005C53C0"/>
    <w:rsid w:val="005C546A"/>
    <w:rsid w:val="005C553B"/>
    <w:rsid w:val="005C592F"/>
    <w:rsid w:val="005C5D2E"/>
    <w:rsid w:val="005C5E72"/>
    <w:rsid w:val="005C6C60"/>
    <w:rsid w:val="005D0D61"/>
    <w:rsid w:val="005D0F07"/>
    <w:rsid w:val="005D24A9"/>
    <w:rsid w:val="005D2FBD"/>
    <w:rsid w:val="005D385A"/>
    <w:rsid w:val="005D416B"/>
    <w:rsid w:val="005D4D5F"/>
    <w:rsid w:val="005D5ECD"/>
    <w:rsid w:val="005D69AF"/>
    <w:rsid w:val="005D6B80"/>
    <w:rsid w:val="005E0B7E"/>
    <w:rsid w:val="005E2086"/>
    <w:rsid w:val="005E343A"/>
    <w:rsid w:val="005E4EB1"/>
    <w:rsid w:val="005E50A1"/>
    <w:rsid w:val="005E6DAF"/>
    <w:rsid w:val="005E6FFA"/>
    <w:rsid w:val="005E7718"/>
    <w:rsid w:val="005F0661"/>
    <w:rsid w:val="005F0A25"/>
    <w:rsid w:val="005F0CD5"/>
    <w:rsid w:val="005F37A9"/>
    <w:rsid w:val="005F4B8B"/>
    <w:rsid w:val="005F55BC"/>
    <w:rsid w:val="005F59D5"/>
    <w:rsid w:val="005F69C4"/>
    <w:rsid w:val="005F6ADE"/>
    <w:rsid w:val="005F702C"/>
    <w:rsid w:val="005F7247"/>
    <w:rsid w:val="005F73DF"/>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3F5"/>
    <w:rsid w:val="006168FD"/>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2D6D"/>
    <w:rsid w:val="00634D01"/>
    <w:rsid w:val="006350BD"/>
    <w:rsid w:val="0063567F"/>
    <w:rsid w:val="0063580F"/>
    <w:rsid w:val="00636506"/>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5FE2"/>
    <w:rsid w:val="00666226"/>
    <w:rsid w:val="0067092D"/>
    <w:rsid w:val="0067180B"/>
    <w:rsid w:val="00673D15"/>
    <w:rsid w:val="006741D4"/>
    <w:rsid w:val="00675C7F"/>
    <w:rsid w:val="00675E21"/>
    <w:rsid w:val="00676197"/>
    <w:rsid w:val="00676392"/>
    <w:rsid w:val="00676679"/>
    <w:rsid w:val="00677233"/>
    <w:rsid w:val="0067745C"/>
    <w:rsid w:val="006777D7"/>
    <w:rsid w:val="00681479"/>
    <w:rsid w:val="0068251F"/>
    <w:rsid w:val="00682A0D"/>
    <w:rsid w:val="006834AD"/>
    <w:rsid w:val="006836D7"/>
    <w:rsid w:val="00684647"/>
    <w:rsid w:val="00684E01"/>
    <w:rsid w:val="00685A1B"/>
    <w:rsid w:val="006861F0"/>
    <w:rsid w:val="00686411"/>
    <w:rsid w:val="00686EDE"/>
    <w:rsid w:val="00687AA8"/>
    <w:rsid w:val="00690F0B"/>
    <w:rsid w:val="00691995"/>
    <w:rsid w:val="00694FD6"/>
    <w:rsid w:val="0069547C"/>
    <w:rsid w:val="006956EC"/>
    <w:rsid w:val="00696FCB"/>
    <w:rsid w:val="006A0411"/>
    <w:rsid w:val="006A20CE"/>
    <w:rsid w:val="006A21CD"/>
    <w:rsid w:val="006A35B0"/>
    <w:rsid w:val="006A5730"/>
    <w:rsid w:val="006A6258"/>
    <w:rsid w:val="006A698D"/>
    <w:rsid w:val="006A6EDD"/>
    <w:rsid w:val="006A7C64"/>
    <w:rsid w:val="006B0C7B"/>
    <w:rsid w:val="006B3202"/>
    <w:rsid w:val="006B3293"/>
    <w:rsid w:val="006B32F3"/>
    <w:rsid w:val="006B4CF9"/>
    <w:rsid w:val="006B6CC3"/>
    <w:rsid w:val="006B77F5"/>
    <w:rsid w:val="006B7AC8"/>
    <w:rsid w:val="006C170B"/>
    <w:rsid w:val="006C1813"/>
    <w:rsid w:val="006C196C"/>
    <w:rsid w:val="006C1E8B"/>
    <w:rsid w:val="006C1F0C"/>
    <w:rsid w:val="006C2373"/>
    <w:rsid w:val="006C318F"/>
    <w:rsid w:val="006C3620"/>
    <w:rsid w:val="006C3CFD"/>
    <w:rsid w:val="006C41C4"/>
    <w:rsid w:val="006C447D"/>
    <w:rsid w:val="006C451E"/>
    <w:rsid w:val="006C4534"/>
    <w:rsid w:val="006C5B09"/>
    <w:rsid w:val="006C62B7"/>
    <w:rsid w:val="006D0C1E"/>
    <w:rsid w:val="006D1A40"/>
    <w:rsid w:val="006D1D94"/>
    <w:rsid w:val="006D3561"/>
    <w:rsid w:val="006D38CE"/>
    <w:rsid w:val="006D40F1"/>
    <w:rsid w:val="006D44B4"/>
    <w:rsid w:val="006D4889"/>
    <w:rsid w:val="006D550F"/>
    <w:rsid w:val="006D5B9F"/>
    <w:rsid w:val="006D6001"/>
    <w:rsid w:val="006D6AE2"/>
    <w:rsid w:val="006D6B47"/>
    <w:rsid w:val="006D6F03"/>
    <w:rsid w:val="006D6F7E"/>
    <w:rsid w:val="006D7923"/>
    <w:rsid w:val="006D7BAE"/>
    <w:rsid w:val="006E1E7D"/>
    <w:rsid w:val="006E218F"/>
    <w:rsid w:val="006E244A"/>
    <w:rsid w:val="006E32D1"/>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66A3"/>
    <w:rsid w:val="006F6C2D"/>
    <w:rsid w:val="00700DAB"/>
    <w:rsid w:val="00701CAB"/>
    <w:rsid w:val="0070237D"/>
    <w:rsid w:val="007030FA"/>
    <w:rsid w:val="007037F6"/>
    <w:rsid w:val="00703838"/>
    <w:rsid w:val="007044F1"/>
    <w:rsid w:val="00704518"/>
    <w:rsid w:val="00704CA4"/>
    <w:rsid w:val="00707011"/>
    <w:rsid w:val="00707242"/>
    <w:rsid w:val="00707563"/>
    <w:rsid w:val="0071151C"/>
    <w:rsid w:val="00711BF6"/>
    <w:rsid w:val="00712D03"/>
    <w:rsid w:val="007152FC"/>
    <w:rsid w:val="00716355"/>
    <w:rsid w:val="007163BA"/>
    <w:rsid w:val="0071735A"/>
    <w:rsid w:val="007200F4"/>
    <w:rsid w:val="00720480"/>
    <w:rsid w:val="0072073C"/>
    <w:rsid w:val="00720AB2"/>
    <w:rsid w:val="00720EF8"/>
    <w:rsid w:val="0072348C"/>
    <w:rsid w:val="007241D7"/>
    <w:rsid w:val="00724792"/>
    <w:rsid w:val="007247EC"/>
    <w:rsid w:val="00724827"/>
    <w:rsid w:val="00724A37"/>
    <w:rsid w:val="00724BF3"/>
    <w:rsid w:val="007250B0"/>
    <w:rsid w:val="00727B92"/>
    <w:rsid w:val="00727D4D"/>
    <w:rsid w:val="007303C3"/>
    <w:rsid w:val="00730446"/>
    <w:rsid w:val="007317CE"/>
    <w:rsid w:val="00731F13"/>
    <w:rsid w:val="0073214E"/>
    <w:rsid w:val="00732CE1"/>
    <w:rsid w:val="00732D22"/>
    <w:rsid w:val="0073319F"/>
    <w:rsid w:val="0073449E"/>
    <w:rsid w:val="0073561F"/>
    <w:rsid w:val="007356A7"/>
    <w:rsid w:val="00736204"/>
    <w:rsid w:val="00737494"/>
    <w:rsid w:val="00740C81"/>
    <w:rsid w:val="00741247"/>
    <w:rsid w:val="00741D03"/>
    <w:rsid w:val="007426D5"/>
    <w:rsid w:val="00743223"/>
    <w:rsid w:val="00746063"/>
    <w:rsid w:val="007466DE"/>
    <w:rsid w:val="00746E01"/>
    <w:rsid w:val="007478A2"/>
    <w:rsid w:val="00747D2F"/>
    <w:rsid w:val="0075017A"/>
    <w:rsid w:val="00751821"/>
    <w:rsid w:val="00752507"/>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740"/>
    <w:rsid w:val="0077064E"/>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6FE5"/>
    <w:rsid w:val="00791588"/>
    <w:rsid w:val="0079277A"/>
    <w:rsid w:val="0079310A"/>
    <w:rsid w:val="00795786"/>
    <w:rsid w:val="007959E7"/>
    <w:rsid w:val="00795D39"/>
    <w:rsid w:val="00795F9B"/>
    <w:rsid w:val="0079631B"/>
    <w:rsid w:val="00796C78"/>
    <w:rsid w:val="00796D6A"/>
    <w:rsid w:val="007A0FFE"/>
    <w:rsid w:val="007A1135"/>
    <w:rsid w:val="007A1345"/>
    <w:rsid w:val="007A1428"/>
    <w:rsid w:val="007A1AB0"/>
    <w:rsid w:val="007A32BB"/>
    <w:rsid w:val="007A33E8"/>
    <w:rsid w:val="007A3A5D"/>
    <w:rsid w:val="007A6572"/>
    <w:rsid w:val="007A6656"/>
    <w:rsid w:val="007A7264"/>
    <w:rsid w:val="007B1732"/>
    <w:rsid w:val="007B2C72"/>
    <w:rsid w:val="007B2E2E"/>
    <w:rsid w:val="007B3F68"/>
    <w:rsid w:val="007B497F"/>
    <w:rsid w:val="007B53D4"/>
    <w:rsid w:val="007B57F8"/>
    <w:rsid w:val="007B5B65"/>
    <w:rsid w:val="007B742A"/>
    <w:rsid w:val="007B78AB"/>
    <w:rsid w:val="007C0679"/>
    <w:rsid w:val="007C09C7"/>
    <w:rsid w:val="007C1C53"/>
    <w:rsid w:val="007C26D6"/>
    <w:rsid w:val="007C2CC0"/>
    <w:rsid w:val="007C2EE8"/>
    <w:rsid w:val="007C4168"/>
    <w:rsid w:val="007C62FE"/>
    <w:rsid w:val="007C6FE2"/>
    <w:rsid w:val="007C7930"/>
    <w:rsid w:val="007D00F6"/>
    <w:rsid w:val="007D1133"/>
    <w:rsid w:val="007D1258"/>
    <w:rsid w:val="007D2028"/>
    <w:rsid w:val="007D47B2"/>
    <w:rsid w:val="007D53A8"/>
    <w:rsid w:val="007D569E"/>
    <w:rsid w:val="007D6FC9"/>
    <w:rsid w:val="007D74C6"/>
    <w:rsid w:val="007D7AEB"/>
    <w:rsid w:val="007E1516"/>
    <w:rsid w:val="007E4904"/>
    <w:rsid w:val="007E4CB5"/>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6288"/>
    <w:rsid w:val="00806336"/>
    <w:rsid w:val="00806BC1"/>
    <w:rsid w:val="00806C88"/>
    <w:rsid w:val="00807112"/>
    <w:rsid w:val="00807A5C"/>
    <w:rsid w:val="0081034E"/>
    <w:rsid w:val="0081253D"/>
    <w:rsid w:val="00812E7B"/>
    <w:rsid w:val="0081351D"/>
    <w:rsid w:val="00813CE4"/>
    <w:rsid w:val="0081592A"/>
    <w:rsid w:val="008238B2"/>
    <w:rsid w:val="008238E3"/>
    <w:rsid w:val="008245E2"/>
    <w:rsid w:val="008257CA"/>
    <w:rsid w:val="00827EC2"/>
    <w:rsid w:val="008301E7"/>
    <w:rsid w:val="00831483"/>
    <w:rsid w:val="0083313E"/>
    <w:rsid w:val="008344B4"/>
    <w:rsid w:val="008344F6"/>
    <w:rsid w:val="0083510F"/>
    <w:rsid w:val="008366CD"/>
    <w:rsid w:val="00836890"/>
    <w:rsid w:val="00837B03"/>
    <w:rsid w:val="00837C0C"/>
    <w:rsid w:val="00840C6C"/>
    <w:rsid w:val="00840D87"/>
    <w:rsid w:val="00840FCC"/>
    <w:rsid w:val="00843C59"/>
    <w:rsid w:val="008445D3"/>
    <w:rsid w:val="00845396"/>
    <w:rsid w:val="00847DEC"/>
    <w:rsid w:val="00847ED9"/>
    <w:rsid w:val="00850AAD"/>
    <w:rsid w:val="00850C5A"/>
    <w:rsid w:val="00851209"/>
    <w:rsid w:val="0085188E"/>
    <w:rsid w:val="00851B46"/>
    <w:rsid w:val="00852B3D"/>
    <w:rsid w:val="00854750"/>
    <w:rsid w:val="008556A5"/>
    <w:rsid w:val="00855D1C"/>
    <w:rsid w:val="00856965"/>
    <w:rsid w:val="00857917"/>
    <w:rsid w:val="0086123D"/>
    <w:rsid w:val="00861AED"/>
    <w:rsid w:val="00862283"/>
    <w:rsid w:val="00862467"/>
    <w:rsid w:val="00864A9F"/>
    <w:rsid w:val="00865749"/>
    <w:rsid w:val="00867506"/>
    <w:rsid w:val="008707C1"/>
    <w:rsid w:val="00870903"/>
    <w:rsid w:val="00871F42"/>
    <w:rsid w:val="0087280A"/>
    <w:rsid w:val="00872BFB"/>
    <w:rsid w:val="0087308C"/>
    <w:rsid w:val="00873B1F"/>
    <w:rsid w:val="0087479D"/>
    <w:rsid w:val="0087510B"/>
    <w:rsid w:val="00882E1D"/>
    <w:rsid w:val="00882F67"/>
    <w:rsid w:val="008837AC"/>
    <w:rsid w:val="00883B12"/>
    <w:rsid w:val="00883FB8"/>
    <w:rsid w:val="00884D30"/>
    <w:rsid w:val="0088604D"/>
    <w:rsid w:val="008861A4"/>
    <w:rsid w:val="00886662"/>
    <w:rsid w:val="00886BAB"/>
    <w:rsid w:val="00886CEC"/>
    <w:rsid w:val="00886FA8"/>
    <w:rsid w:val="00887EBF"/>
    <w:rsid w:val="008906A9"/>
    <w:rsid w:val="008909FD"/>
    <w:rsid w:val="00890E9F"/>
    <w:rsid w:val="008934F4"/>
    <w:rsid w:val="00895878"/>
    <w:rsid w:val="00895AC9"/>
    <w:rsid w:val="00896C79"/>
    <w:rsid w:val="008A0E23"/>
    <w:rsid w:val="008A147B"/>
    <w:rsid w:val="008A1F2D"/>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914"/>
    <w:rsid w:val="008B7F4B"/>
    <w:rsid w:val="008C094A"/>
    <w:rsid w:val="008C1D7C"/>
    <w:rsid w:val="008C1FE0"/>
    <w:rsid w:val="008C4E0D"/>
    <w:rsid w:val="008C50F7"/>
    <w:rsid w:val="008C50FB"/>
    <w:rsid w:val="008C5486"/>
    <w:rsid w:val="008C5DF2"/>
    <w:rsid w:val="008C6384"/>
    <w:rsid w:val="008C6B16"/>
    <w:rsid w:val="008D1F30"/>
    <w:rsid w:val="008D21CB"/>
    <w:rsid w:val="008D2CEE"/>
    <w:rsid w:val="008D3129"/>
    <w:rsid w:val="008D4136"/>
    <w:rsid w:val="008D44EC"/>
    <w:rsid w:val="008D4820"/>
    <w:rsid w:val="008D4C7D"/>
    <w:rsid w:val="008D4E23"/>
    <w:rsid w:val="008D5018"/>
    <w:rsid w:val="008D668B"/>
    <w:rsid w:val="008D6AC3"/>
    <w:rsid w:val="008E0420"/>
    <w:rsid w:val="008E1B1B"/>
    <w:rsid w:val="008E1E8E"/>
    <w:rsid w:val="008E2316"/>
    <w:rsid w:val="008E23D1"/>
    <w:rsid w:val="008E2C54"/>
    <w:rsid w:val="008E3AAC"/>
    <w:rsid w:val="008E46F9"/>
    <w:rsid w:val="008E535A"/>
    <w:rsid w:val="008E6CAE"/>
    <w:rsid w:val="008E7031"/>
    <w:rsid w:val="008F05DF"/>
    <w:rsid w:val="008F101A"/>
    <w:rsid w:val="008F14C9"/>
    <w:rsid w:val="008F2DE1"/>
    <w:rsid w:val="008F2F48"/>
    <w:rsid w:val="008F4AD5"/>
    <w:rsid w:val="008F4C72"/>
    <w:rsid w:val="008F4DFD"/>
    <w:rsid w:val="008F525E"/>
    <w:rsid w:val="008F68BD"/>
    <w:rsid w:val="008F6E27"/>
    <w:rsid w:val="008F6FC7"/>
    <w:rsid w:val="008F71C7"/>
    <w:rsid w:val="008F7622"/>
    <w:rsid w:val="008F7954"/>
    <w:rsid w:val="009004F5"/>
    <w:rsid w:val="00900941"/>
    <w:rsid w:val="0090239D"/>
    <w:rsid w:val="00902445"/>
    <w:rsid w:val="009026B4"/>
    <w:rsid w:val="009039C7"/>
    <w:rsid w:val="00903A78"/>
    <w:rsid w:val="00903CF6"/>
    <w:rsid w:val="009057E0"/>
    <w:rsid w:val="009064FC"/>
    <w:rsid w:val="00910156"/>
    <w:rsid w:val="0091130F"/>
    <w:rsid w:val="009115F5"/>
    <w:rsid w:val="009128D6"/>
    <w:rsid w:val="00913C7D"/>
    <w:rsid w:val="00914975"/>
    <w:rsid w:val="00914A87"/>
    <w:rsid w:val="00915BFF"/>
    <w:rsid w:val="0091710E"/>
    <w:rsid w:val="00921066"/>
    <w:rsid w:val="009214E6"/>
    <w:rsid w:val="00921957"/>
    <w:rsid w:val="00922000"/>
    <w:rsid w:val="00922ACF"/>
    <w:rsid w:val="009233EE"/>
    <w:rsid w:val="00923B37"/>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150C"/>
    <w:rsid w:val="00941934"/>
    <w:rsid w:val="00941B66"/>
    <w:rsid w:val="00941C1B"/>
    <w:rsid w:val="00942863"/>
    <w:rsid w:val="00943F76"/>
    <w:rsid w:val="00944863"/>
    <w:rsid w:val="009456B7"/>
    <w:rsid w:val="009456DC"/>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D7F"/>
    <w:rsid w:val="009661DE"/>
    <w:rsid w:val="009709BF"/>
    <w:rsid w:val="00970E5E"/>
    <w:rsid w:val="009716B6"/>
    <w:rsid w:val="009721AF"/>
    <w:rsid w:val="00972A40"/>
    <w:rsid w:val="00974CDB"/>
    <w:rsid w:val="00974F59"/>
    <w:rsid w:val="009754A8"/>
    <w:rsid w:val="00975606"/>
    <w:rsid w:val="0097586B"/>
    <w:rsid w:val="009777E3"/>
    <w:rsid w:val="00981578"/>
    <w:rsid w:val="00981E7F"/>
    <w:rsid w:val="00982FEB"/>
    <w:rsid w:val="009837D1"/>
    <w:rsid w:val="00983EEC"/>
    <w:rsid w:val="00984480"/>
    <w:rsid w:val="00984BDD"/>
    <w:rsid w:val="00985513"/>
    <w:rsid w:val="009856B7"/>
    <w:rsid w:val="00985A66"/>
    <w:rsid w:val="0098646A"/>
    <w:rsid w:val="00986EE3"/>
    <w:rsid w:val="0098773D"/>
    <w:rsid w:val="00990793"/>
    <w:rsid w:val="009907BC"/>
    <w:rsid w:val="00991732"/>
    <w:rsid w:val="009920D2"/>
    <w:rsid w:val="009928BC"/>
    <w:rsid w:val="009937B4"/>
    <w:rsid w:val="0099572C"/>
    <w:rsid w:val="00996498"/>
    <w:rsid w:val="009A02C6"/>
    <w:rsid w:val="009A090B"/>
    <w:rsid w:val="009A0A73"/>
    <w:rsid w:val="009A0EDF"/>
    <w:rsid w:val="009A14D0"/>
    <w:rsid w:val="009A19DB"/>
    <w:rsid w:val="009A2F14"/>
    <w:rsid w:val="009A3D22"/>
    <w:rsid w:val="009A4283"/>
    <w:rsid w:val="009A4B08"/>
    <w:rsid w:val="009A4F40"/>
    <w:rsid w:val="009A574C"/>
    <w:rsid w:val="009A6D69"/>
    <w:rsid w:val="009A73DF"/>
    <w:rsid w:val="009A7F75"/>
    <w:rsid w:val="009B0884"/>
    <w:rsid w:val="009B1174"/>
    <w:rsid w:val="009B21F2"/>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1D03"/>
    <w:rsid w:val="009F1E42"/>
    <w:rsid w:val="009F2CAC"/>
    <w:rsid w:val="009F4306"/>
    <w:rsid w:val="009F4806"/>
    <w:rsid w:val="009F4940"/>
    <w:rsid w:val="009F5217"/>
    <w:rsid w:val="00A03874"/>
    <w:rsid w:val="00A041F4"/>
    <w:rsid w:val="00A04451"/>
    <w:rsid w:val="00A04F9F"/>
    <w:rsid w:val="00A05245"/>
    <w:rsid w:val="00A057D1"/>
    <w:rsid w:val="00A05BED"/>
    <w:rsid w:val="00A06AD1"/>
    <w:rsid w:val="00A11053"/>
    <w:rsid w:val="00A11E6C"/>
    <w:rsid w:val="00A1210E"/>
    <w:rsid w:val="00A14EE1"/>
    <w:rsid w:val="00A159BF"/>
    <w:rsid w:val="00A15E40"/>
    <w:rsid w:val="00A16DAF"/>
    <w:rsid w:val="00A16F26"/>
    <w:rsid w:val="00A178E7"/>
    <w:rsid w:val="00A20EEB"/>
    <w:rsid w:val="00A21F54"/>
    <w:rsid w:val="00A2302C"/>
    <w:rsid w:val="00A24D45"/>
    <w:rsid w:val="00A25353"/>
    <w:rsid w:val="00A2563F"/>
    <w:rsid w:val="00A26739"/>
    <w:rsid w:val="00A26C2F"/>
    <w:rsid w:val="00A30B76"/>
    <w:rsid w:val="00A31252"/>
    <w:rsid w:val="00A3219D"/>
    <w:rsid w:val="00A35169"/>
    <w:rsid w:val="00A3632A"/>
    <w:rsid w:val="00A37512"/>
    <w:rsid w:val="00A37951"/>
    <w:rsid w:val="00A407AF"/>
    <w:rsid w:val="00A4116B"/>
    <w:rsid w:val="00A41375"/>
    <w:rsid w:val="00A42006"/>
    <w:rsid w:val="00A432BC"/>
    <w:rsid w:val="00A433FB"/>
    <w:rsid w:val="00A441EA"/>
    <w:rsid w:val="00A4478A"/>
    <w:rsid w:val="00A44852"/>
    <w:rsid w:val="00A45EAC"/>
    <w:rsid w:val="00A463EF"/>
    <w:rsid w:val="00A46923"/>
    <w:rsid w:val="00A47A03"/>
    <w:rsid w:val="00A505D4"/>
    <w:rsid w:val="00A51808"/>
    <w:rsid w:val="00A52A18"/>
    <w:rsid w:val="00A53308"/>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22BF"/>
    <w:rsid w:val="00A7334D"/>
    <w:rsid w:val="00A73AEF"/>
    <w:rsid w:val="00A74C11"/>
    <w:rsid w:val="00A75AAA"/>
    <w:rsid w:val="00A75BBE"/>
    <w:rsid w:val="00A77B76"/>
    <w:rsid w:val="00A80CD4"/>
    <w:rsid w:val="00A81710"/>
    <w:rsid w:val="00A81EF8"/>
    <w:rsid w:val="00A8219E"/>
    <w:rsid w:val="00A84107"/>
    <w:rsid w:val="00A84E2D"/>
    <w:rsid w:val="00A84F46"/>
    <w:rsid w:val="00A85B18"/>
    <w:rsid w:val="00A85C03"/>
    <w:rsid w:val="00A85DE3"/>
    <w:rsid w:val="00A86840"/>
    <w:rsid w:val="00A871F4"/>
    <w:rsid w:val="00A87F90"/>
    <w:rsid w:val="00A912B1"/>
    <w:rsid w:val="00A91A4B"/>
    <w:rsid w:val="00A923DD"/>
    <w:rsid w:val="00A93139"/>
    <w:rsid w:val="00A9369D"/>
    <w:rsid w:val="00A9370B"/>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6767"/>
    <w:rsid w:val="00AA73F0"/>
    <w:rsid w:val="00AB0A2E"/>
    <w:rsid w:val="00AB1500"/>
    <w:rsid w:val="00AB1CC2"/>
    <w:rsid w:val="00AB29A5"/>
    <w:rsid w:val="00AB2E4E"/>
    <w:rsid w:val="00AB482F"/>
    <w:rsid w:val="00AB6478"/>
    <w:rsid w:val="00AB6927"/>
    <w:rsid w:val="00AB6AF1"/>
    <w:rsid w:val="00AC02C6"/>
    <w:rsid w:val="00AC0FE9"/>
    <w:rsid w:val="00AC1058"/>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592F"/>
    <w:rsid w:val="00AD6D98"/>
    <w:rsid w:val="00AD76AE"/>
    <w:rsid w:val="00AD76FB"/>
    <w:rsid w:val="00AE0399"/>
    <w:rsid w:val="00AE18EA"/>
    <w:rsid w:val="00AE1BF1"/>
    <w:rsid w:val="00AE20B1"/>
    <w:rsid w:val="00AE2792"/>
    <w:rsid w:val="00AE2DEF"/>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6353"/>
    <w:rsid w:val="00B065C9"/>
    <w:rsid w:val="00B06B05"/>
    <w:rsid w:val="00B07545"/>
    <w:rsid w:val="00B0779B"/>
    <w:rsid w:val="00B109DD"/>
    <w:rsid w:val="00B11C09"/>
    <w:rsid w:val="00B1285B"/>
    <w:rsid w:val="00B13048"/>
    <w:rsid w:val="00B135AC"/>
    <w:rsid w:val="00B14716"/>
    <w:rsid w:val="00B14AE3"/>
    <w:rsid w:val="00B14CE4"/>
    <w:rsid w:val="00B150CA"/>
    <w:rsid w:val="00B162BD"/>
    <w:rsid w:val="00B162FA"/>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6716"/>
    <w:rsid w:val="00B3773B"/>
    <w:rsid w:val="00B4128D"/>
    <w:rsid w:val="00B41686"/>
    <w:rsid w:val="00B44E99"/>
    <w:rsid w:val="00B45262"/>
    <w:rsid w:val="00B453AB"/>
    <w:rsid w:val="00B45484"/>
    <w:rsid w:val="00B474EE"/>
    <w:rsid w:val="00B5013C"/>
    <w:rsid w:val="00B52EC8"/>
    <w:rsid w:val="00B55C24"/>
    <w:rsid w:val="00B55CCC"/>
    <w:rsid w:val="00B56CF6"/>
    <w:rsid w:val="00B56E03"/>
    <w:rsid w:val="00B6278D"/>
    <w:rsid w:val="00B62BB5"/>
    <w:rsid w:val="00B63E2C"/>
    <w:rsid w:val="00B64C5A"/>
    <w:rsid w:val="00B64DF7"/>
    <w:rsid w:val="00B652AF"/>
    <w:rsid w:val="00B65ABB"/>
    <w:rsid w:val="00B65CAC"/>
    <w:rsid w:val="00B66E74"/>
    <w:rsid w:val="00B673A4"/>
    <w:rsid w:val="00B678FE"/>
    <w:rsid w:val="00B67E25"/>
    <w:rsid w:val="00B700CA"/>
    <w:rsid w:val="00B70A7F"/>
    <w:rsid w:val="00B70B77"/>
    <w:rsid w:val="00B70CA5"/>
    <w:rsid w:val="00B7397E"/>
    <w:rsid w:val="00B73C3A"/>
    <w:rsid w:val="00B752C5"/>
    <w:rsid w:val="00B8080B"/>
    <w:rsid w:val="00B81D00"/>
    <w:rsid w:val="00B8265C"/>
    <w:rsid w:val="00B82845"/>
    <w:rsid w:val="00B85D8A"/>
    <w:rsid w:val="00B87C39"/>
    <w:rsid w:val="00B87DD6"/>
    <w:rsid w:val="00B904FF"/>
    <w:rsid w:val="00B910E8"/>
    <w:rsid w:val="00B913F3"/>
    <w:rsid w:val="00B91BE8"/>
    <w:rsid w:val="00B92CD5"/>
    <w:rsid w:val="00B94260"/>
    <w:rsid w:val="00B956D7"/>
    <w:rsid w:val="00B95B0D"/>
    <w:rsid w:val="00BA1F27"/>
    <w:rsid w:val="00BA2E61"/>
    <w:rsid w:val="00BA390A"/>
    <w:rsid w:val="00BA3992"/>
    <w:rsid w:val="00BA4665"/>
    <w:rsid w:val="00BA50DC"/>
    <w:rsid w:val="00BA5D97"/>
    <w:rsid w:val="00BA621C"/>
    <w:rsid w:val="00BA7F07"/>
    <w:rsid w:val="00BB127C"/>
    <w:rsid w:val="00BB20BA"/>
    <w:rsid w:val="00BB20C6"/>
    <w:rsid w:val="00BB2FB2"/>
    <w:rsid w:val="00BB3304"/>
    <w:rsid w:val="00BB4732"/>
    <w:rsid w:val="00BB51C2"/>
    <w:rsid w:val="00BB5E51"/>
    <w:rsid w:val="00BB62BA"/>
    <w:rsid w:val="00BB6815"/>
    <w:rsid w:val="00BB7780"/>
    <w:rsid w:val="00BB7D8C"/>
    <w:rsid w:val="00BC03BC"/>
    <w:rsid w:val="00BC1B6B"/>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AD7"/>
    <w:rsid w:val="00BD1BCA"/>
    <w:rsid w:val="00BD2067"/>
    <w:rsid w:val="00BD26AE"/>
    <w:rsid w:val="00BD26EE"/>
    <w:rsid w:val="00BD3446"/>
    <w:rsid w:val="00BD412C"/>
    <w:rsid w:val="00BD41BB"/>
    <w:rsid w:val="00BD4E33"/>
    <w:rsid w:val="00BD501B"/>
    <w:rsid w:val="00BD5467"/>
    <w:rsid w:val="00BD6CD4"/>
    <w:rsid w:val="00BD7176"/>
    <w:rsid w:val="00BD71BD"/>
    <w:rsid w:val="00BE1725"/>
    <w:rsid w:val="00BE1BC3"/>
    <w:rsid w:val="00BE1F1B"/>
    <w:rsid w:val="00BE2075"/>
    <w:rsid w:val="00BE2F8A"/>
    <w:rsid w:val="00BE377D"/>
    <w:rsid w:val="00BE3F55"/>
    <w:rsid w:val="00BE47B5"/>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C004FD"/>
    <w:rsid w:val="00C008E0"/>
    <w:rsid w:val="00C008FE"/>
    <w:rsid w:val="00C01510"/>
    <w:rsid w:val="00C01734"/>
    <w:rsid w:val="00C01C8E"/>
    <w:rsid w:val="00C024A5"/>
    <w:rsid w:val="00C030BB"/>
    <w:rsid w:val="00C03C71"/>
    <w:rsid w:val="00C04914"/>
    <w:rsid w:val="00C05C48"/>
    <w:rsid w:val="00C064A7"/>
    <w:rsid w:val="00C075A3"/>
    <w:rsid w:val="00C07A89"/>
    <w:rsid w:val="00C101F2"/>
    <w:rsid w:val="00C102E6"/>
    <w:rsid w:val="00C11AE0"/>
    <w:rsid w:val="00C11EEC"/>
    <w:rsid w:val="00C11F62"/>
    <w:rsid w:val="00C12A83"/>
    <w:rsid w:val="00C13962"/>
    <w:rsid w:val="00C14E32"/>
    <w:rsid w:val="00C154C0"/>
    <w:rsid w:val="00C155B0"/>
    <w:rsid w:val="00C15712"/>
    <w:rsid w:val="00C15B31"/>
    <w:rsid w:val="00C15CB2"/>
    <w:rsid w:val="00C15DA4"/>
    <w:rsid w:val="00C16B2C"/>
    <w:rsid w:val="00C17151"/>
    <w:rsid w:val="00C1786D"/>
    <w:rsid w:val="00C17CB8"/>
    <w:rsid w:val="00C17F0D"/>
    <w:rsid w:val="00C17FC7"/>
    <w:rsid w:val="00C21CBD"/>
    <w:rsid w:val="00C22CEE"/>
    <w:rsid w:val="00C238EB"/>
    <w:rsid w:val="00C24398"/>
    <w:rsid w:val="00C248B1"/>
    <w:rsid w:val="00C24CDC"/>
    <w:rsid w:val="00C25235"/>
    <w:rsid w:val="00C25A9A"/>
    <w:rsid w:val="00C26CA2"/>
    <w:rsid w:val="00C273A6"/>
    <w:rsid w:val="00C30BBE"/>
    <w:rsid w:val="00C33370"/>
    <w:rsid w:val="00C3355D"/>
    <w:rsid w:val="00C33EE6"/>
    <w:rsid w:val="00C34065"/>
    <w:rsid w:val="00C345D6"/>
    <w:rsid w:val="00C35876"/>
    <w:rsid w:val="00C35BA6"/>
    <w:rsid w:val="00C361EB"/>
    <w:rsid w:val="00C40781"/>
    <w:rsid w:val="00C41237"/>
    <w:rsid w:val="00C41A29"/>
    <w:rsid w:val="00C420D7"/>
    <w:rsid w:val="00C420EB"/>
    <w:rsid w:val="00C424B7"/>
    <w:rsid w:val="00C43065"/>
    <w:rsid w:val="00C43C4F"/>
    <w:rsid w:val="00C452B9"/>
    <w:rsid w:val="00C45A39"/>
    <w:rsid w:val="00C466B4"/>
    <w:rsid w:val="00C46AB5"/>
    <w:rsid w:val="00C46C8C"/>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63D3"/>
    <w:rsid w:val="00C672E0"/>
    <w:rsid w:val="00C673E0"/>
    <w:rsid w:val="00C67D8C"/>
    <w:rsid w:val="00C70205"/>
    <w:rsid w:val="00C7295C"/>
    <w:rsid w:val="00C729B4"/>
    <w:rsid w:val="00C72B95"/>
    <w:rsid w:val="00C73A47"/>
    <w:rsid w:val="00C73C83"/>
    <w:rsid w:val="00C7472B"/>
    <w:rsid w:val="00C74A11"/>
    <w:rsid w:val="00C764D8"/>
    <w:rsid w:val="00C80612"/>
    <w:rsid w:val="00C81324"/>
    <w:rsid w:val="00C81890"/>
    <w:rsid w:val="00C81A67"/>
    <w:rsid w:val="00C81FC6"/>
    <w:rsid w:val="00C845E0"/>
    <w:rsid w:val="00C8473D"/>
    <w:rsid w:val="00C85FF1"/>
    <w:rsid w:val="00C86679"/>
    <w:rsid w:val="00C86919"/>
    <w:rsid w:val="00C872DB"/>
    <w:rsid w:val="00C87867"/>
    <w:rsid w:val="00C90F56"/>
    <w:rsid w:val="00C91830"/>
    <w:rsid w:val="00C933A4"/>
    <w:rsid w:val="00C94277"/>
    <w:rsid w:val="00C944D6"/>
    <w:rsid w:val="00C9478B"/>
    <w:rsid w:val="00C94A8E"/>
    <w:rsid w:val="00C950AF"/>
    <w:rsid w:val="00C9660A"/>
    <w:rsid w:val="00C96A92"/>
    <w:rsid w:val="00CA04F2"/>
    <w:rsid w:val="00CA0B2E"/>
    <w:rsid w:val="00CA0ECB"/>
    <w:rsid w:val="00CA4EE0"/>
    <w:rsid w:val="00CA51FE"/>
    <w:rsid w:val="00CA6643"/>
    <w:rsid w:val="00CA771A"/>
    <w:rsid w:val="00CA792B"/>
    <w:rsid w:val="00CA7D3F"/>
    <w:rsid w:val="00CB0FA5"/>
    <w:rsid w:val="00CB34AC"/>
    <w:rsid w:val="00CB45EC"/>
    <w:rsid w:val="00CB64AF"/>
    <w:rsid w:val="00CB666B"/>
    <w:rsid w:val="00CB695E"/>
    <w:rsid w:val="00CB698F"/>
    <w:rsid w:val="00CC1AC0"/>
    <w:rsid w:val="00CC1D64"/>
    <w:rsid w:val="00CC2C03"/>
    <w:rsid w:val="00CC2CA1"/>
    <w:rsid w:val="00CC3B19"/>
    <w:rsid w:val="00CC4F2E"/>
    <w:rsid w:val="00CC6516"/>
    <w:rsid w:val="00CC656F"/>
    <w:rsid w:val="00CC6738"/>
    <w:rsid w:val="00CC67C8"/>
    <w:rsid w:val="00CD2754"/>
    <w:rsid w:val="00CD331F"/>
    <w:rsid w:val="00CD40AD"/>
    <w:rsid w:val="00CD4C0E"/>
    <w:rsid w:val="00CD4E7F"/>
    <w:rsid w:val="00CD5338"/>
    <w:rsid w:val="00CD7145"/>
    <w:rsid w:val="00CE0074"/>
    <w:rsid w:val="00CE0A5F"/>
    <w:rsid w:val="00CE0D52"/>
    <w:rsid w:val="00CE15A5"/>
    <w:rsid w:val="00CE1831"/>
    <w:rsid w:val="00CE1B68"/>
    <w:rsid w:val="00CE2DD3"/>
    <w:rsid w:val="00CE4B01"/>
    <w:rsid w:val="00CE4BD5"/>
    <w:rsid w:val="00CE6345"/>
    <w:rsid w:val="00CE661E"/>
    <w:rsid w:val="00CE6F6D"/>
    <w:rsid w:val="00CF0744"/>
    <w:rsid w:val="00CF0B65"/>
    <w:rsid w:val="00CF0E01"/>
    <w:rsid w:val="00CF0E07"/>
    <w:rsid w:val="00CF36F5"/>
    <w:rsid w:val="00CF455C"/>
    <w:rsid w:val="00CF4D2E"/>
    <w:rsid w:val="00CF5382"/>
    <w:rsid w:val="00CF5C08"/>
    <w:rsid w:val="00CF62CA"/>
    <w:rsid w:val="00CF6F3C"/>
    <w:rsid w:val="00CF7D47"/>
    <w:rsid w:val="00D01CF0"/>
    <w:rsid w:val="00D02D1D"/>
    <w:rsid w:val="00D0442A"/>
    <w:rsid w:val="00D05840"/>
    <w:rsid w:val="00D05B72"/>
    <w:rsid w:val="00D07128"/>
    <w:rsid w:val="00D10120"/>
    <w:rsid w:val="00D10E76"/>
    <w:rsid w:val="00D11721"/>
    <w:rsid w:val="00D11BA4"/>
    <w:rsid w:val="00D11CB3"/>
    <w:rsid w:val="00D11EC6"/>
    <w:rsid w:val="00D14518"/>
    <w:rsid w:val="00D1516F"/>
    <w:rsid w:val="00D1614C"/>
    <w:rsid w:val="00D16710"/>
    <w:rsid w:val="00D16F5E"/>
    <w:rsid w:val="00D1773B"/>
    <w:rsid w:val="00D2067B"/>
    <w:rsid w:val="00D20A9A"/>
    <w:rsid w:val="00D22BD4"/>
    <w:rsid w:val="00D22E23"/>
    <w:rsid w:val="00D2306D"/>
    <w:rsid w:val="00D250AC"/>
    <w:rsid w:val="00D270E1"/>
    <w:rsid w:val="00D30505"/>
    <w:rsid w:val="00D323D0"/>
    <w:rsid w:val="00D32767"/>
    <w:rsid w:val="00D33489"/>
    <w:rsid w:val="00D33F61"/>
    <w:rsid w:val="00D34ED2"/>
    <w:rsid w:val="00D372FA"/>
    <w:rsid w:val="00D40B44"/>
    <w:rsid w:val="00D41077"/>
    <w:rsid w:val="00D41446"/>
    <w:rsid w:val="00D41EB0"/>
    <w:rsid w:val="00D42ECE"/>
    <w:rsid w:val="00D43232"/>
    <w:rsid w:val="00D43663"/>
    <w:rsid w:val="00D43C03"/>
    <w:rsid w:val="00D44037"/>
    <w:rsid w:val="00D445F1"/>
    <w:rsid w:val="00D4594F"/>
    <w:rsid w:val="00D4681D"/>
    <w:rsid w:val="00D46841"/>
    <w:rsid w:val="00D50A32"/>
    <w:rsid w:val="00D50C81"/>
    <w:rsid w:val="00D510A2"/>
    <w:rsid w:val="00D5111E"/>
    <w:rsid w:val="00D5124C"/>
    <w:rsid w:val="00D53342"/>
    <w:rsid w:val="00D53F55"/>
    <w:rsid w:val="00D57D7E"/>
    <w:rsid w:val="00D60387"/>
    <w:rsid w:val="00D60694"/>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3E2"/>
    <w:rsid w:val="00D74971"/>
    <w:rsid w:val="00D75157"/>
    <w:rsid w:val="00D7672A"/>
    <w:rsid w:val="00D76DC7"/>
    <w:rsid w:val="00D77C40"/>
    <w:rsid w:val="00D80893"/>
    <w:rsid w:val="00D81B2D"/>
    <w:rsid w:val="00D839A7"/>
    <w:rsid w:val="00D83BFF"/>
    <w:rsid w:val="00D83DD9"/>
    <w:rsid w:val="00D84797"/>
    <w:rsid w:val="00D84E13"/>
    <w:rsid w:val="00D855CD"/>
    <w:rsid w:val="00D866AE"/>
    <w:rsid w:val="00D86899"/>
    <w:rsid w:val="00D87097"/>
    <w:rsid w:val="00D87C8A"/>
    <w:rsid w:val="00D92A31"/>
    <w:rsid w:val="00D92CF1"/>
    <w:rsid w:val="00D92D38"/>
    <w:rsid w:val="00D92E07"/>
    <w:rsid w:val="00D936B6"/>
    <w:rsid w:val="00D94B8F"/>
    <w:rsid w:val="00D950F5"/>
    <w:rsid w:val="00D95177"/>
    <w:rsid w:val="00D9655A"/>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94"/>
    <w:rsid w:val="00DB7AB9"/>
    <w:rsid w:val="00DB7B59"/>
    <w:rsid w:val="00DB7FD1"/>
    <w:rsid w:val="00DC153A"/>
    <w:rsid w:val="00DC22E3"/>
    <w:rsid w:val="00DC24BF"/>
    <w:rsid w:val="00DC2907"/>
    <w:rsid w:val="00DC2F0D"/>
    <w:rsid w:val="00DC395C"/>
    <w:rsid w:val="00DC5E54"/>
    <w:rsid w:val="00DC693A"/>
    <w:rsid w:val="00DC759C"/>
    <w:rsid w:val="00DC7781"/>
    <w:rsid w:val="00DC7981"/>
    <w:rsid w:val="00DC7B5A"/>
    <w:rsid w:val="00DD0903"/>
    <w:rsid w:val="00DD1073"/>
    <w:rsid w:val="00DD15C2"/>
    <w:rsid w:val="00DD27EA"/>
    <w:rsid w:val="00DD30F3"/>
    <w:rsid w:val="00DD33DE"/>
    <w:rsid w:val="00DD502F"/>
    <w:rsid w:val="00DD79F4"/>
    <w:rsid w:val="00DE27A1"/>
    <w:rsid w:val="00DE3708"/>
    <w:rsid w:val="00DE45B5"/>
    <w:rsid w:val="00DE4CDA"/>
    <w:rsid w:val="00DE4EFA"/>
    <w:rsid w:val="00DE5104"/>
    <w:rsid w:val="00DE5520"/>
    <w:rsid w:val="00DE5AB1"/>
    <w:rsid w:val="00DE6006"/>
    <w:rsid w:val="00DE6AA6"/>
    <w:rsid w:val="00DE7345"/>
    <w:rsid w:val="00DE771A"/>
    <w:rsid w:val="00DE7C20"/>
    <w:rsid w:val="00DF02A4"/>
    <w:rsid w:val="00DF0714"/>
    <w:rsid w:val="00DF13A6"/>
    <w:rsid w:val="00DF1B8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499"/>
    <w:rsid w:val="00E26E62"/>
    <w:rsid w:val="00E274E8"/>
    <w:rsid w:val="00E275E5"/>
    <w:rsid w:val="00E276DD"/>
    <w:rsid w:val="00E3050B"/>
    <w:rsid w:val="00E31DF2"/>
    <w:rsid w:val="00E32774"/>
    <w:rsid w:val="00E3279F"/>
    <w:rsid w:val="00E32A8C"/>
    <w:rsid w:val="00E32FBA"/>
    <w:rsid w:val="00E331E1"/>
    <w:rsid w:val="00E333EF"/>
    <w:rsid w:val="00E334A4"/>
    <w:rsid w:val="00E351F9"/>
    <w:rsid w:val="00E357B5"/>
    <w:rsid w:val="00E35AE8"/>
    <w:rsid w:val="00E3678B"/>
    <w:rsid w:val="00E3724C"/>
    <w:rsid w:val="00E37F0B"/>
    <w:rsid w:val="00E40426"/>
    <w:rsid w:val="00E40B9C"/>
    <w:rsid w:val="00E40F94"/>
    <w:rsid w:val="00E410DB"/>
    <w:rsid w:val="00E42342"/>
    <w:rsid w:val="00E426B5"/>
    <w:rsid w:val="00E42976"/>
    <w:rsid w:val="00E42DF3"/>
    <w:rsid w:val="00E43848"/>
    <w:rsid w:val="00E438D4"/>
    <w:rsid w:val="00E43BBA"/>
    <w:rsid w:val="00E4482C"/>
    <w:rsid w:val="00E4680F"/>
    <w:rsid w:val="00E46D48"/>
    <w:rsid w:val="00E47EAD"/>
    <w:rsid w:val="00E5181B"/>
    <w:rsid w:val="00E52107"/>
    <w:rsid w:val="00E523FC"/>
    <w:rsid w:val="00E52925"/>
    <w:rsid w:val="00E52A27"/>
    <w:rsid w:val="00E54461"/>
    <w:rsid w:val="00E55C3C"/>
    <w:rsid w:val="00E56018"/>
    <w:rsid w:val="00E56597"/>
    <w:rsid w:val="00E6018A"/>
    <w:rsid w:val="00E605DA"/>
    <w:rsid w:val="00E60806"/>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90A23"/>
    <w:rsid w:val="00E91678"/>
    <w:rsid w:val="00E91BED"/>
    <w:rsid w:val="00E926FC"/>
    <w:rsid w:val="00E936DB"/>
    <w:rsid w:val="00E94F7F"/>
    <w:rsid w:val="00E95B1E"/>
    <w:rsid w:val="00E95CA7"/>
    <w:rsid w:val="00E96EFF"/>
    <w:rsid w:val="00E973CA"/>
    <w:rsid w:val="00EA1DEE"/>
    <w:rsid w:val="00EA28D3"/>
    <w:rsid w:val="00EA3D42"/>
    <w:rsid w:val="00EA4DD9"/>
    <w:rsid w:val="00EA52E7"/>
    <w:rsid w:val="00EA5C41"/>
    <w:rsid w:val="00EA688F"/>
    <w:rsid w:val="00EA6B1B"/>
    <w:rsid w:val="00EB049F"/>
    <w:rsid w:val="00EB100D"/>
    <w:rsid w:val="00EB3444"/>
    <w:rsid w:val="00EB456D"/>
    <w:rsid w:val="00EB540F"/>
    <w:rsid w:val="00EB561F"/>
    <w:rsid w:val="00EB7D7F"/>
    <w:rsid w:val="00EC05BF"/>
    <w:rsid w:val="00EC0D58"/>
    <w:rsid w:val="00EC10A1"/>
    <w:rsid w:val="00EC24B0"/>
    <w:rsid w:val="00EC2617"/>
    <w:rsid w:val="00EC2A3B"/>
    <w:rsid w:val="00EC317E"/>
    <w:rsid w:val="00EC4173"/>
    <w:rsid w:val="00EC67D4"/>
    <w:rsid w:val="00EC6B64"/>
    <w:rsid w:val="00EC7EB1"/>
    <w:rsid w:val="00ED399F"/>
    <w:rsid w:val="00ED3C5B"/>
    <w:rsid w:val="00ED49DC"/>
    <w:rsid w:val="00ED4A25"/>
    <w:rsid w:val="00ED5137"/>
    <w:rsid w:val="00ED5530"/>
    <w:rsid w:val="00ED61CA"/>
    <w:rsid w:val="00ED6B46"/>
    <w:rsid w:val="00ED6E24"/>
    <w:rsid w:val="00EE164B"/>
    <w:rsid w:val="00EE28F3"/>
    <w:rsid w:val="00EE2FDB"/>
    <w:rsid w:val="00EE347F"/>
    <w:rsid w:val="00EE42C2"/>
    <w:rsid w:val="00EE46CE"/>
    <w:rsid w:val="00EE4D16"/>
    <w:rsid w:val="00EE575A"/>
    <w:rsid w:val="00EE6B29"/>
    <w:rsid w:val="00EF013A"/>
    <w:rsid w:val="00EF0E42"/>
    <w:rsid w:val="00EF0FE6"/>
    <w:rsid w:val="00EF1961"/>
    <w:rsid w:val="00EF27CE"/>
    <w:rsid w:val="00EF3FB8"/>
    <w:rsid w:val="00EF48B8"/>
    <w:rsid w:val="00EF5110"/>
    <w:rsid w:val="00EF62CA"/>
    <w:rsid w:val="00EF69CB"/>
    <w:rsid w:val="00F00587"/>
    <w:rsid w:val="00F019C5"/>
    <w:rsid w:val="00F02D9B"/>
    <w:rsid w:val="00F031FE"/>
    <w:rsid w:val="00F048BB"/>
    <w:rsid w:val="00F054C2"/>
    <w:rsid w:val="00F055AC"/>
    <w:rsid w:val="00F05EAD"/>
    <w:rsid w:val="00F060C8"/>
    <w:rsid w:val="00F06B5B"/>
    <w:rsid w:val="00F072C7"/>
    <w:rsid w:val="00F10CDA"/>
    <w:rsid w:val="00F113FD"/>
    <w:rsid w:val="00F13B99"/>
    <w:rsid w:val="00F13EAA"/>
    <w:rsid w:val="00F1535C"/>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2DB4"/>
    <w:rsid w:val="00F437AF"/>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5786A"/>
    <w:rsid w:val="00F6043C"/>
    <w:rsid w:val="00F60561"/>
    <w:rsid w:val="00F60B34"/>
    <w:rsid w:val="00F61055"/>
    <w:rsid w:val="00F61AA8"/>
    <w:rsid w:val="00F61EEA"/>
    <w:rsid w:val="00F63B85"/>
    <w:rsid w:val="00F648C4"/>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40C"/>
    <w:rsid w:val="00F766B3"/>
    <w:rsid w:val="00F77B90"/>
    <w:rsid w:val="00F77D49"/>
    <w:rsid w:val="00F8021A"/>
    <w:rsid w:val="00F805F3"/>
    <w:rsid w:val="00F80AA2"/>
    <w:rsid w:val="00F81DFF"/>
    <w:rsid w:val="00F835F8"/>
    <w:rsid w:val="00F83FAD"/>
    <w:rsid w:val="00F86173"/>
    <w:rsid w:val="00F87EBA"/>
    <w:rsid w:val="00F90705"/>
    <w:rsid w:val="00F908CD"/>
    <w:rsid w:val="00F90A80"/>
    <w:rsid w:val="00F91F06"/>
    <w:rsid w:val="00F92C0A"/>
    <w:rsid w:val="00F93027"/>
    <w:rsid w:val="00F946BA"/>
    <w:rsid w:val="00F94788"/>
    <w:rsid w:val="00F952A0"/>
    <w:rsid w:val="00F965FC"/>
    <w:rsid w:val="00F974F6"/>
    <w:rsid w:val="00F9786B"/>
    <w:rsid w:val="00FA25D4"/>
    <w:rsid w:val="00FA279B"/>
    <w:rsid w:val="00FA3252"/>
    <w:rsid w:val="00FA3830"/>
    <w:rsid w:val="00FA3C7F"/>
    <w:rsid w:val="00FA7736"/>
    <w:rsid w:val="00FA77AD"/>
    <w:rsid w:val="00FA7920"/>
    <w:rsid w:val="00FB153F"/>
    <w:rsid w:val="00FB1B1D"/>
    <w:rsid w:val="00FB21EF"/>
    <w:rsid w:val="00FB265D"/>
    <w:rsid w:val="00FB2C76"/>
    <w:rsid w:val="00FB4068"/>
    <w:rsid w:val="00FB411D"/>
    <w:rsid w:val="00FB41E6"/>
    <w:rsid w:val="00FB45CF"/>
    <w:rsid w:val="00FB6B24"/>
    <w:rsid w:val="00FB6C59"/>
    <w:rsid w:val="00FB70F2"/>
    <w:rsid w:val="00FB74E2"/>
    <w:rsid w:val="00FC0060"/>
    <w:rsid w:val="00FC04BE"/>
    <w:rsid w:val="00FC08DA"/>
    <w:rsid w:val="00FC0910"/>
    <w:rsid w:val="00FC0DB9"/>
    <w:rsid w:val="00FC2CBB"/>
    <w:rsid w:val="00FC447B"/>
    <w:rsid w:val="00FC46EF"/>
    <w:rsid w:val="00FC4CF7"/>
    <w:rsid w:val="00FC52AC"/>
    <w:rsid w:val="00FC54E6"/>
    <w:rsid w:val="00FC5EB3"/>
    <w:rsid w:val="00FC5FE0"/>
    <w:rsid w:val="00FC626F"/>
    <w:rsid w:val="00FC656F"/>
    <w:rsid w:val="00FC6C78"/>
    <w:rsid w:val="00FC7B0B"/>
    <w:rsid w:val="00FD0763"/>
    <w:rsid w:val="00FD090C"/>
    <w:rsid w:val="00FD166D"/>
    <w:rsid w:val="00FD206E"/>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18F6"/>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8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Ind w:w="0" w:type="dxa"/>
      <w:tblCellMar>
        <w:top w:w="0" w:type="dxa"/>
        <w:left w:w="108" w:type="dxa"/>
        <w:bottom w:w="0" w:type="dxa"/>
        <w:right w:w="108" w:type="dxa"/>
      </w:tblCellMa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Ind w:w="0" w:type="dxa"/>
      <w:tblCellMar>
        <w:top w:w="0" w:type="dxa"/>
        <w:left w:w="108" w:type="dxa"/>
        <w:bottom w:w="0" w:type="dxa"/>
        <w:right w:w="108" w:type="dxa"/>
      </w:tblCellMa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49059096">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9F11F751</Template>
  <TotalTime>0</TotalTime>
  <Pages>9</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2017-05-30T01:35:00Z</dcterms:created>
  <dcterms:modified xsi:type="dcterms:W3CDTF">2017-05-30T01:35:00Z</dcterms:modified>
</cp:coreProperties>
</file>