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4AA3CA11" wp14:editId="088BD356">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AE2792" w:rsidP="002A4EF8">
      <w:pPr>
        <w:rPr>
          <w:b/>
          <w:sz w:val="36"/>
          <w:szCs w:val="36"/>
        </w:rPr>
      </w:pPr>
      <w:r>
        <w:rPr>
          <w:b/>
          <w:sz w:val="36"/>
          <w:szCs w:val="36"/>
        </w:rPr>
        <w:t>1</w:t>
      </w:r>
      <w:r w:rsidR="00FC7B0B">
        <w:rPr>
          <w:b/>
          <w:sz w:val="36"/>
          <w:szCs w:val="36"/>
        </w:rPr>
        <w:t>3</w:t>
      </w:r>
      <w:r w:rsidR="002438D9">
        <w:rPr>
          <w:b/>
          <w:sz w:val="36"/>
          <w:szCs w:val="36"/>
        </w:rPr>
        <w:t xml:space="preserve"> – </w:t>
      </w:r>
      <w:r w:rsidR="00FC7B0B">
        <w:rPr>
          <w:b/>
          <w:sz w:val="36"/>
          <w:szCs w:val="36"/>
        </w:rPr>
        <w:t>19</w:t>
      </w:r>
      <w:r w:rsidR="00356E72">
        <w:rPr>
          <w:b/>
          <w:sz w:val="36"/>
          <w:szCs w:val="36"/>
        </w:rPr>
        <w:t xml:space="preserve"> </w:t>
      </w:r>
      <w:r w:rsidR="00FC7B0B">
        <w:rPr>
          <w:b/>
          <w:sz w:val="36"/>
          <w:szCs w:val="36"/>
        </w:rPr>
        <w:t>Dec</w:t>
      </w:r>
      <w:r w:rsidR="00505B5E">
        <w:rPr>
          <w:b/>
          <w:sz w:val="36"/>
          <w:szCs w:val="36"/>
        </w:rPr>
        <w:t>ember</w:t>
      </w:r>
      <w:r w:rsidR="002A4EF8" w:rsidRPr="002A4EF8">
        <w:rPr>
          <w:b/>
          <w:sz w:val="36"/>
          <w:szCs w:val="36"/>
        </w:rPr>
        <w:t xml:space="preserve"> 2015</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w:t>
      </w:r>
      <w:bookmarkStart w:id="6" w:name="_GoBack"/>
      <w:bookmarkEnd w:id="6"/>
      <w:r w:rsidRPr="00215E19">
        <w:rPr>
          <w:bCs/>
          <w:lang w:eastAsia="en-AU"/>
        </w:rPr>
        <w:t xml:space="preserve">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470DFF" w:rsidRPr="00470DFF">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A15E40">
        <w:rPr>
          <w:bCs/>
          <w:lang w:eastAsia="en-AU"/>
        </w:rPr>
        <w:t>1</w:t>
      </w:r>
      <w:r w:rsidR="00FC7B0B">
        <w:rPr>
          <w:bCs/>
          <w:lang w:eastAsia="en-AU"/>
        </w:rPr>
        <w:t>3</w:t>
      </w:r>
      <w:r w:rsidR="000E55C7">
        <w:rPr>
          <w:bCs/>
          <w:lang w:eastAsia="en-AU"/>
        </w:rPr>
        <w:t xml:space="preserve"> to </w:t>
      </w:r>
      <w:r w:rsidR="00FC7B0B">
        <w:rPr>
          <w:bCs/>
          <w:lang w:eastAsia="en-AU"/>
        </w:rPr>
        <w:t>19</w:t>
      </w:r>
      <w:r w:rsidR="00356E72">
        <w:rPr>
          <w:bCs/>
          <w:lang w:eastAsia="en-AU"/>
        </w:rPr>
        <w:t xml:space="preserve"> </w:t>
      </w:r>
      <w:r w:rsidR="00FC7B0B">
        <w:rPr>
          <w:bCs/>
          <w:lang w:eastAsia="en-AU"/>
        </w:rPr>
        <w:t>Dec</w:t>
      </w:r>
      <w:r w:rsidR="00505B5E">
        <w:rPr>
          <w:bCs/>
          <w:lang w:eastAsia="en-AU"/>
        </w:rPr>
        <w:t>ember</w:t>
      </w:r>
      <w:r w:rsidR="00760FD8" w:rsidRPr="00215E19">
        <w:rPr>
          <w:bCs/>
          <w:lang w:eastAsia="en-AU"/>
        </w:rPr>
        <w:t xml:space="preserve"> </w:t>
      </w:r>
      <w:r w:rsidR="00AF7058" w:rsidRPr="00215E19">
        <w:rPr>
          <w:bCs/>
          <w:lang w:eastAsia="en-AU"/>
        </w:rPr>
        <w:t xml:space="preserve">2015. </w:t>
      </w:r>
      <w:r w:rsidR="00E95CA7" w:rsidRPr="00E95CA7">
        <w:rPr>
          <w:bCs/>
          <w:lang w:eastAsia="en-AU"/>
        </w:rPr>
        <w:t xml:space="preserve">There were </w:t>
      </w:r>
      <w:r w:rsidR="009C77CC">
        <w:rPr>
          <w:bCs/>
          <w:lang w:eastAsia="en-AU"/>
        </w:rPr>
        <w:t>nine</w:t>
      </w:r>
      <w:r w:rsidR="00E95CA7" w:rsidRPr="00E95CA7">
        <w:rPr>
          <w:bCs/>
          <w:lang w:eastAsia="en-AU"/>
        </w:rPr>
        <w:t xml:space="preserve"> occasions where the spot price in </w:t>
      </w:r>
      <w:r w:rsidR="009C77CC">
        <w:rPr>
          <w:bCs/>
          <w:lang w:eastAsia="en-AU"/>
        </w:rPr>
        <w:t>Victoria</w:t>
      </w:r>
      <w:r w:rsidR="00E95CA7" w:rsidRPr="00E95CA7">
        <w:rPr>
          <w:bCs/>
          <w:lang w:eastAsia="en-AU"/>
        </w:rPr>
        <w:t xml:space="preserve"> was greater than three times the </w:t>
      </w:r>
      <w:r w:rsidR="009C77CC">
        <w:rPr>
          <w:bCs/>
          <w:lang w:eastAsia="en-AU"/>
        </w:rPr>
        <w:t>Victoria weekly average price of $83</w:t>
      </w:r>
      <w:r w:rsidR="00E95CA7" w:rsidRPr="00E95CA7">
        <w:rPr>
          <w:bCs/>
          <w:lang w:eastAsia="en-AU"/>
        </w:rPr>
        <w:t>/MWh and above $250/MWh</w:t>
      </w:r>
      <w:r w:rsidR="009C77CC">
        <w:rPr>
          <w:bCs/>
          <w:lang w:eastAsia="en-AU"/>
        </w:rPr>
        <w:t>.</w:t>
      </w:r>
      <w:r w:rsidR="00355D2F">
        <w:rPr>
          <w:bCs/>
          <w:lang w:eastAsia="en-AU"/>
        </w:rPr>
        <w:t xml:space="preserve"> </w:t>
      </w:r>
      <w:r w:rsidR="009C77CC" w:rsidRPr="00E95CA7">
        <w:rPr>
          <w:bCs/>
          <w:lang w:eastAsia="en-AU"/>
        </w:rPr>
        <w:t xml:space="preserve">There were </w:t>
      </w:r>
      <w:r w:rsidR="009C77CC">
        <w:rPr>
          <w:bCs/>
          <w:lang w:eastAsia="en-AU"/>
        </w:rPr>
        <w:t>five</w:t>
      </w:r>
      <w:r w:rsidR="009C77CC" w:rsidRPr="00E95CA7">
        <w:rPr>
          <w:bCs/>
          <w:lang w:eastAsia="en-AU"/>
        </w:rPr>
        <w:t xml:space="preserve"> occasions where the spot price in </w:t>
      </w:r>
      <w:r w:rsidR="009C77CC">
        <w:rPr>
          <w:bCs/>
          <w:lang w:eastAsia="en-AU"/>
        </w:rPr>
        <w:t>South Australia</w:t>
      </w:r>
      <w:r w:rsidR="009C77CC" w:rsidRPr="00E95CA7">
        <w:rPr>
          <w:bCs/>
          <w:lang w:eastAsia="en-AU"/>
        </w:rPr>
        <w:t xml:space="preserve"> was greater than three times the </w:t>
      </w:r>
      <w:r w:rsidR="009C77CC">
        <w:rPr>
          <w:bCs/>
          <w:lang w:eastAsia="en-AU"/>
        </w:rPr>
        <w:t>South Australia weekly average price of $125</w:t>
      </w:r>
      <w:r w:rsidR="009C77CC" w:rsidRPr="00E95CA7">
        <w:rPr>
          <w:bCs/>
          <w:lang w:eastAsia="en-AU"/>
        </w:rPr>
        <w:t>/MWh and above $250/MWh</w:t>
      </w:r>
      <w:r w:rsidR="009C77CC">
        <w:rPr>
          <w:bCs/>
          <w:lang w:eastAsia="en-AU"/>
        </w:rPr>
        <w:t>. There</w:t>
      </w:r>
      <w:r w:rsidR="00355D2F">
        <w:rPr>
          <w:bCs/>
          <w:lang w:eastAsia="en-AU"/>
        </w:rPr>
        <w:t xml:space="preserve"> were </w:t>
      </w:r>
      <w:r w:rsidR="009C77CC">
        <w:rPr>
          <w:bCs/>
          <w:lang w:eastAsia="en-AU"/>
        </w:rPr>
        <w:t xml:space="preserve">two </w:t>
      </w:r>
      <w:r w:rsidR="00A15E40">
        <w:rPr>
          <w:bCs/>
          <w:lang w:eastAsia="en-AU"/>
        </w:rPr>
        <w:t>occa</w:t>
      </w:r>
      <w:r w:rsidR="009C77CC">
        <w:rPr>
          <w:bCs/>
          <w:lang w:eastAsia="en-AU"/>
        </w:rPr>
        <w:t xml:space="preserve">sions where the spot price in Tasmania </w:t>
      </w:r>
      <w:r w:rsidR="00A15E40">
        <w:rPr>
          <w:bCs/>
          <w:lang w:eastAsia="en-AU"/>
        </w:rPr>
        <w:t xml:space="preserve">was greater than three times the </w:t>
      </w:r>
      <w:r w:rsidR="009C77CC">
        <w:rPr>
          <w:bCs/>
          <w:lang w:eastAsia="en-AU"/>
        </w:rPr>
        <w:t>Tasmania weekly average price of $91/MWh and above $250/MWh and one occasion where the spot price was below $</w:t>
      </w:r>
      <w:r w:rsidR="004C28B2">
        <w:rPr>
          <w:bCs/>
          <w:lang w:eastAsia="en-AU"/>
        </w:rPr>
        <w:t>-</w:t>
      </w:r>
      <w:r w:rsidR="009C77CC">
        <w:rPr>
          <w:bCs/>
          <w:lang w:eastAsia="en-AU"/>
        </w:rPr>
        <w:t>100/MWh.</w:t>
      </w:r>
    </w:p>
    <w:p w:rsidR="00BF4639" w:rsidRDefault="00275002" w:rsidP="00405B42">
      <w:pPr>
        <w:pStyle w:val="Caption"/>
      </w:pPr>
      <w:bookmarkStart w:id="7" w:name="_Ref410382491"/>
      <w:bookmarkStart w:id="8" w:name="OLE_LINK28"/>
      <w:bookmarkStart w:id="9" w:name="OLE_LINK29"/>
      <w:r w:rsidRPr="000E2946">
        <w:t xml:space="preserve">Figure </w:t>
      </w:r>
      <w:fldSimple w:instr=" SEQ Figure \* ARABIC ">
        <w:r w:rsidR="00470DFF">
          <w:rPr>
            <w:noProof/>
          </w:rPr>
          <w:t>1</w:t>
        </w:r>
      </w:fldSimple>
      <w:bookmarkEnd w:id="7"/>
      <w:r w:rsidRPr="000E2946">
        <w:t>: Spot price by region ($/MWh)</w:t>
      </w:r>
    </w:p>
    <w:p w:rsidR="00275002" w:rsidRPr="00215E19" w:rsidRDefault="00FC7B0B" w:rsidP="00215E19">
      <w:pPr>
        <w:pStyle w:val="Caption"/>
        <w:rPr>
          <w:bCs w:val="0"/>
          <w:lang w:eastAsia="en-AU"/>
        </w:rPr>
      </w:pPr>
      <w:r w:rsidRPr="00FC7B0B">
        <w:rPr>
          <w:noProof/>
          <w:lang w:eastAsia="en-AU"/>
        </w:rPr>
        <w:drawing>
          <wp:inline distT="0" distB="0" distL="0" distR="0" wp14:anchorId="77372DFB" wp14:editId="1AEBE8AD">
            <wp:extent cx="5731510" cy="3353016"/>
            <wp:effectExtent l="0" t="0" r="2540" b="0"/>
            <wp:docPr id="9" name="Picture 9"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353016"/>
                    </a:xfrm>
                    <a:prstGeom prst="rect">
                      <a:avLst/>
                    </a:prstGeom>
                    <a:noFill/>
                    <a:ln>
                      <a:noFill/>
                    </a:ln>
                  </pic:spPr>
                </pic:pic>
              </a:graphicData>
            </a:graphic>
          </wp:inline>
        </w:drawing>
      </w:r>
    </w:p>
    <w:p w:rsidR="00215E19" w:rsidRDefault="00215E19">
      <w:pPr>
        <w:spacing w:line="240" w:lineRule="auto"/>
      </w:pPr>
      <w:r>
        <w:br w:type="page"/>
      </w:r>
    </w:p>
    <w:p w:rsidR="00275002" w:rsidRPr="00F167CF" w:rsidRDefault="00275002" w:rsidP="00F167CF">
      <w:pPr>
        <w:pStyle w:val="AERbodytext"/>
        <w:spacing w:after="120"/>
      </w:pPr>
      <w:r w:rsidRPr="00F167CF">
        <w:lastRenderedPageBreak/>
        <w:fldChar w:fldCharType="begin"/>
      </w:r>
      <w:r w:rsidRPr="00F167CF">
        <w:instrText xml:space="preserve"> REF _Ref410382517 \h </w:instrText>
      </w:r>
      <w:r w:rsidR="009A3D22" w:rsidRPr="00F167CF">
        <w:instrText xml:space="preserve"> \* MERGEFORMAT </w:instrText>
      </w:r>
      <w:r w:rsidRPr="00F167CF">
        <w:fldChar w:fldCharType="separate"/>
      </w:r>
      <w:r w:rsidR="00470DFF">
        <w:t>Figure 2</w:t>
      </w:r>
      <w:r w:rsidRPr="00F167CF">
        <w:fldChar w:fldCharType="end"/>
      </w:r>
      <w:r w:rsidRPr="00F167CF">
        <w:t xml:space="preserve"> shows the volume weighted average (VWA) prices for the current week (with prices shown in </w:t>
      </w:r>
      <w:r w:rsidRPr="00F167CF">
        <w:fldChar w:fldCharType="begin"/>
      </w:r>
      <w:r w:rsidRPr="00F167CF">
        <w:instrText xml:space="preserve"> REF _Ref410382587 \h </w:instrText>
      </w:r>
      <w:r w:rsidR="009A3D22" w:rsidRPr="00F167CF">
        <w:instrText xml:space="preserve"> \* MERGEFORMAT </w:instrText>
      </w:r>
      <w:r w:rsidRPr="00F167CF">
        <w:fldChar w:fldCharType="separate"/>
      </w:r>
      <w:r w:rsidR="00470DFF">
        <w:t>Table 1</w:t>
      </w:r>
      <w:r w:rsidRPr="00F167CF">
        <w:fldChar w:fldCharType="end"/>
      </w:r>
      <w:r w:rsidRPr="00F167CF">
        <w:t>) and the preceding 12 weeks, as well as the VWA price over the previous 3 financial years</w:t>
      </w:r>
      <w:r w:rsidR="00762D41" w:rsidRPr="00F167CF">
        <w:t>.</w:t>
      </w:r>
    </w:p>
    <w:p w:rsidR="00275002" w:rsidRDefault="00275002" w:rsidP="00F167CF">
      <w:pPr>
        <w:pStyle w:val="Caption"/>
        <w:spacing w:before="0" w:line="240" w:lineRule="auto"/>
      </w:pPr>
      <w:bookmarkStart w:id="10" w:name="_Ref410382517"/>
      <w:r>
        <w:t xml:space="preserve">Figure </w:t>
      </w:r>
      <w:fldSimple w:instr=" SEQ Figure \* ARABIC ">
        <w:r w:rsidR="00470DFF">
          <w:rPr>
            <w:noProof/>
          </w:rPr>
          <w:t>2</w:t>
        </w:r>
      </w:fldSimple>
      <w:bookmarkEnd w:id="10"/>
      <w:r>
        <w:t>:</w:t>
      </w:r>
      <w:r w:rsidRPr="00037176">
        <w:t xml:space="preserve"> Volume weighted average spot price by region ($/MWh)</w:t>
      </w:r>
    </w:p>
    <w:p w:rsidR="001F22EE" w:rsidRPr="001F22EE" w:rsidRDefault="00E43848" w:rsidP="00F167CF">
      <w:pPr>
        <w:spacing w:before="0" w:after="120" w:line="240" w:lineRule="auto"/>
      </w:pPr>
      <w:r w:rsidRPr="00E43848">
        <w:rPr>
          <w:noProof/>
          <w:lang w:eastAsia="en-AU"/>
        </w:rPr>
        <w:drawing>
          <wp:inline distT="0" distB="0" distL="0" distR="0" wp14:anchorId="6749FD4D" wp14:editId="1C87659E">
            <wp:extent cx="5731510" cy="2860244"/>
            <wp:effectExtent l="0" t="0" r="2540" b="0"/>
            <wp:docPr id="10" name="Picture 10"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275002" w:rsidRPr="0031019A" w:rsidRDefault="00275002" w:rsidP="00F167CF">
      <w:pPr>
        <w:pStyle w:val="Caption"/>
        <w:spacing w:before="0" w:line="240" w:lineRule="auto"/>
      </w:pPr>
      <w:bookmarkStart w:id="11" w:name="_Ref410382587"/>
      <w:r>
        <w:t xml:space="preserve">Table </w:t>
      </w:r>
      <w:fldSimple w:instr=" SEQ Table \* ARABIC ">
        <w:r w:rsidR="00470DFF">
          <w:rPr>
            <w:noProof/>
          </w:rPr>
          <w:t>1</w:t>
        </w:r>
      </w:fldSimple>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E43848" w:rsidRPr="00E35AE8" w:rsidTr="00B73C3A">
        <w:trPr>
          <w:trHeight w:hRule="exact" w:val="340"/>
        </w:trPr>
        <w:tc>
          <w:tcPr>
            <w:tcW w:w="1357" w:type="pct"/>
            <w:noWrap/>
            <w:vAlign w:val="center"/>
            <w:hideMark/>
          </w:tcPr>
          <w:p w:rsidR="00E43848" w:rsidRPr="009B21F2" w:rsidRDefault="00E43848"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E43848" w:rsidRPr="00E43848" w:rsidRDefault="00E43848" w:rsidP="00B73C3A">
            <w:pPr>
              <w:spacing w:before="0" w:after="0" w:line="240" w:lineRule="auto"/>
              <w:jc w:val="center"/>
              <w:rPr>
                <w:sz w:val="20"/>
                <w:szCs w:val="20"/>
              </w:rPr>
            </w:pPr>
            <w:r w:rsidRPr="00E43848">
              <w:rPr>
                <w:sz w:val="20"/>
                <w:szCs w:val="20"/>
              </w:rPr>
              <w:t>52</w:t>
            </w:r>
          </w:p>
        </w:tc>
        <w:tc>
          <w:tcPr>
            <w:tcW w:w="729" w:type="pct"/>
            <w:noWrap/>
            <w:vAlign w:val="center"/>
          </w:tcPr>
          <w:p w:rsidR="00E43848" w:rsidRPr="00E43848" w:rsidRDefault="00E43848" w:rsidP="00B73C3A">
            <w:pPr>
              <w:spacing w:before="0" w:after="0" w:line="240" w:lineRule="auto"/>
              <w:jc w:val="center"/>
              <w:rPr>
                <w:sz w:val="20"/>
                <w:szCs w:val="20"/>
              </w:rPr>
            </w:pPr>
            <w:r w:rsidRPr="00E43848">
              <w:rPr>
                <w:sz w:val="20"/>
                <w:szCs w:val="20"/>
              </w:rPr>
              <w:t>55</w:t>
            </w:r>
          </w:p>
        </w:tc>
        <w:tc>
          <w:tcPr>
            <w:tcW w:w="728" w:type="pct"/>
            <w:noWrap/>
            <w:vAlign w:val="center"/>
          </w:tcPr>
          <w:p w:rsidR="00E43848" w:rsidRPr="00E43848" w:rsidRDefault="00E43848" w:rsidP="00B73C3A">
            <w:pPr>
              <w:spacing w:before="0" w:after="0" w:line="240" w:lineRule="auto"/>
              <w:jc w:val="center"/>
              <w:rPr>
                <w:sz w:val="20"/>
                <w:szCs w:val="20"/>
              </w:rPr>
            </w:pPr>
            <w:r w:rsidRPr="00E43848">
              <w:rPr>
                <w:sz w:val="20"/>
                <w:szCs w:val="20"/>
              </w:rPr>
              <w:t>83</w:t>
            </w:r>
          </w:p>
        </w:tc>
        <w:tc>
          <w:tcPr>
            <w:tcW w:w="729" w:type="pct"/>
            <w:noWrap/>
            <w:vAlign w:val="center"/>
          </w:tcPr>
          <w:p w:rsidR="00E43848" w:rsidRPr="00E43848" w:rsidRDefault="00E43848" w:rsidP="00B73C3A">
            <w:pPr>
              <w:spacing w:before="0" w:after="0" w:line="240" w:lineRule="auto"/>
              <w:jc w:val="center"/>
              <w:rPr>
                <w:sz w:val="20"/>
                <w:szCs w:val="20"/>
              </w:rPr>
            </w:pPr>
            <w:r w:rsidRPr="00E43848">
              <w:rPr>
                <w:sz w:val="20"/>
                <w:szCs w:val="20"/>
              </w:rPr>
              <w:t>125</w:t>
            </w:r>
          </w:p>
        </w:tc>
        <w:tc>
          <w:tcPr>
            <w:tcW w:w="729" w:type="pct"/>
            <w:noWrap/>
            <w:vAlign w:val="center"/>
          </w:tcPr>
          <w:p w:rsidR="00E43848" w:rsidRPr="00E43848" w:rsidRDefault="00E43848" w:rsidP="00B73C3A">
            <w:pPr>
              <w:spacing w:before="0" w:after="0" w:line="240" w:lineRule="auto"/>
              <w:jc w:val="center"/>
              <w:rPr>
                <w:sz w:val="20"/>
                <w:szCs w:val="20"/>
              </w:rPr>
            </w:pPr>
            <w:r w:rsidRPr="00E43848">
              <w:rPr>
                <w:sz w:val="20"/>
                <w:szCs w:val="20"/>
              </w:rPr>
              <w:t>91</w:t>
            </w:r>
          </w:p>
        </w:tc>
      </w:tr>
      <w:tr w:rsidR="00E43848" w:rsidRPr="00E35AE8" w:rsidTr="00B73C3A">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E43848" w:rsidRPr="00B65CAC" w:rsidRDefault="00E43848"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E43848" w:rsidRPr="00E43848" w:rsidRDefault="00E43848" w:rsidP="00B73C3A">
            <w:pPr>
              <w:spacing w:before="0" w:after="0" w:line="240" w:lineRule="auto"/>
              <w:jc w:val="center"/>
              <w:rPr>
                <w:szCs w:val="20"/>
              </w:rPr>
            </w:pPr>
            <w:r w:rsidRPr="00E43848">
              <w:rPr>
                <w:szCs w:val="20"/>
              </w:rPr>
              <w:t>53</w:t>
            </w:r>
          </w:p>
        </w:tc>
        <w:tc>
          <w:tcPr>
            <w:tcW w:w="729" w:type="pct"/>
            <w:noWrap/>
            <w:vAlign w:val="center"/>
          </w:tcPr>
          <w:p w:rsidR="00E43848" w:rsidRPr="00E43848" w:rsidRDefault="00E43848" w:rsidP="00B73C3A">
            <w:pPr>
              <w:spacing w:before="0" w:after="0" w:line="240" w:lineRule="auto"/>
              <w:jc w:val="center"/>
              <w:rPr>
                <w:szCs w:val="20"/>
              </w:rPr>
            </w:pPr>
            <w:r w:rsidRPr="00E43848">
              <w:rPr>
                <w:szCs w:val="20"/>
              </w:rPr>
              <w:t>37</w:t>
            </w:r>
          </w:p>
        </w:tc>
        <w:tc>
          <w:tcPr>
            <w:tcW w:w="728" w:type="pct"/>
            <w:noWrap/>
            <w:vAlign w:val="center"/>
          </w:tcPr>
          <w:p w:rsidR="00E43848" w:rsidRPr="00E43848" w:rsidRDefault="00E43848" w:rsidP="00B73C3A">
            <w:pPr>
              <w:spacing w:before="0" w:after="0" w:line="240" w:lineRule="auto"/>
              <w:jc w:val="center"/>
              <w:rPr>
                <w:szCs w:val="20"/>
              </w:rPr>
            </w:pPr>
            <w:r w:rsidRPr="00E43848">
              <w:rPr>
                <w:szCs w:val="20"/>
              </w:rPr>
              <w:t>34</w:t>
            </w:r>
          </w:p>
        </w:tc>
        <w:tc>
          <w:tcPr>
            <w:tcW w:w="729" w:type="pct"/>
            <w:noWrap/>
            <w:vAlign w:val="center"/>
          </w:tcPr>
          <w:p w:rsidR="00E43848" w:rsidRPr="00E43848" w:rsidRDefault="00E43848" w:rsidP="00B73C3A">
            <w:pPr>
              <w:spacing w:before="0" w:after="0" w:line="240" w:lineRule="auto"/>
              <w:jc w:val="center"/>
              <w:rPr>
                <w:szCs w:val="20"/>
              </w:rPr>
            </w:pPr>
            <w:r w:rsidRPr="00E43848">
              <w:rPr>
                <w:szCs w:val="20"/>
              </w:rPr>
              <w:t>41</w:t>
            </w:r>
          </w:p>
        </w:tc>
        <w:tc>
          <w:tcPr>
            <w:tcW w:w="729" w:type="pct"/>
            <w:noWrap/>
            <w:vAlign w:val="center"/>
          </w:tcPr>
          <w:p w:rsidR="00E43848" w:rsidRPr="00E43848" w:rsidRDefault="00E43848" w:rsidP="00B73C3A">
            <w:pPr>
              <w:spacing w:before="0" w:after="0" w:line="240" w:lineRule="auto"/>
              <w:jc w:val="center"/>
              <w:rPr>
                <w:szCs w:val="20"/>
              </w:rPr>
            </w:pPr>
            <w:r w:rsidRPr="00E43848">
              <w:rPr>
                <w:szCs w:val="20"/>
              </w:rPr>
              <w:t>38</w:t>
            </w:r>
          </w:p>
        </w:tc>
      </w:tr>
      <w:tr w:rsidR="00E43848" w:rsidRPr="00E35AE8" w:rsidTr="00B73C3A">
        <w:trPr>
          <w:trHeight w:hRule="exact" w:val="340"/>
        </w:trPr>
        <w:tc>
          <w:tcPr>
            <w:tcW w:w="1357" w:type="pct"/>
            <w:noWrap/>
            <w:vAlign w:val="center"/>
            <w:hideMark/>
          </w:tcPr>
          <w:p w:rsidR="00E43848" w:rsidRPr="00B65CAC" w:rsidRDefault="00E43848"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E43848" w:rsidRPr="00E43848" w:rsidRDefault="00E43848" w:rsidP="00B73C3A">
            <w:pPr>
              <w:spacing w:before="0" w:after="0" w:line="240" w:lineRule="auto"/>
              <w:jc w:val="center"/>
              <w:rPr>
                <w:sz w:val="20"/>
                <w:szCs w:val="20"/>
              </w:rPr>
            </w:pPr>
            <w:r w:rsidRPr="00E43848">
              <w:rPr>
                <w:sz w:val="20"/>
                <w:szCs w:val="20"/>
              </w:rPr>
              <w:t>44</w:t>
            </w:r>
          </w:p>
        </w:tc>
        <w:tc>
          <w:tcPr>
            <w:tcW w:w="729" w:type="pct"/>
            <w:noWrap/>
            <w:vAlign w:val="center"/>
          </w:tcPr>
          <w:p w:rsidR="00E43848" w:rsidRPr="00E43848" w:rsidRDefault="00E43848" w:rsidP="00B73C3A">
            <w:pPr>
              <w:spacing w:before="0" w:after="0" w:line="240" w:lineRule="auto"/>
              <w:jc w:val="center"/>
              <w:rPr>
                <w:sz w:val="20"/>
                <w:szCs w:val="20"/>
              </w:rPr>
            </w:pPr>
            <w:r w:rsidRPr="00E43848">
              <w:rPr>
                <w:sz w:val="20"/>
                <w:szCs w:val="20"/>
              </w:rPr>
              <w:t>46</w:t>
            </w:r>
          </w:p>
        </w:tc>
        <w:tc>
          <w:tcPr>
            <w:tcW w:w="728" w:type="pct"/>
            <w:noWrap/>
            <w:vAlign w:val="center"/>
          </w:tcPr>
          <w:p w:rsidR="00E43848" w:rsidRPr="00E43848" w:rsidRDefault="00E43848" w:rsidP="00B73C3A">
            <w:pPr>
              <w:spacing w:before="0" w:after="0" w:line="240" w:lineRule="auto"/>
              <w:jc w:val="center"/>
              <w:rPr>
                <w:sz w:val="20"/>
                <w:szCs w:val="20"/>
              </w:rPr>
            </w:pPr>
            <w:r w:rsidRPr="00E43848">
              <w:rPr>
                <w:sz w:val="20"/>
                <w:szCs w:val="20"/>
              </w:rPr>
              <w:t>41</w:t>
            </w:r>
          </w:p>
        </w:tc>
        <w:tc>
          <w:tcPr>
            <w:tcW w:w="729" w:type="pct"/>
            <w:noWrap/>
            <w:vAlign w:val="center"/>
          </w:tcPr>
          <w:p w:rsidR="00E43848" w:rsidRPr="00E43848" w:rsidRDefault="00E43848" w:rsidP="00B73C3A">
            <w:pPr>
              <w:spacing w:before="0" w:after="0" w:line="240" w:lineRule="auto"/>
              <w:jc w:val="center"/>
              <w:rPr>
                <w:sz w:val="20"/>
                <w:szCs w:val="20"/>
              </w:rPr>
            </w:pPr>
            <w:r w:rsidRPr="00E43848">
              <w:rPr>
                <w:sz w:val="20"/>
                <w:szCs w:val="20"/>
              </w:rPr>
              <w:t>63</w:t>
            </w:r>
          </w:p>
        </w:tc>
        <w:tc>
          <w:tcPr>
            <w:tcW w:w="729" w:type="pct"/>
            <w:noWrap/>
            <w:vAlign w:val="center"/>
          </w:tcPr>
          <w:p w:rsidR="00E43848" w:rsidRPr="00E43848" w:rsidRDefault="00E43848" w:rsidP="00B73C3A">
            <w:pPr>
              <w:spacing w:before="0" w:after="0" w:line="240" w:lineRule="auto"/>
              <w:jc w:val="center"/>
              <w:rPr>
                <w:sz w:val="20"/>
                <w:szCs w:val="20"/>
              </w:rPr>
            </w:pPr>
            <w:r w:rsidRPr="00E43848">
              <w:rPr>
                <w:sz w:val="20"/>
                <w:szCs w:val="20"/>
              </w:rPr>
              <w:t>54</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356E72" w:rsidP="00356E72">
      <w:pPr>
        <w:pStyle w:val="AERbodytext"/>
        <w:spacing w:before="120" w:after="120"/>
        <w:rPr>
          <w:bCs/>
          <w:lang w:eastAsia="en-AU"/>
        </w:rPr>
      </w:pPr>
      <w:r w:rsidRPr="00356E72">
        <w:rPr>
          <w:bCs/>
          <w:lang w:eastAsia="en-AU"/>
        </w:rPr>
        <w:t>There w</w:t>
      </w:r>
      <w:r w:rsidR="00831483">
        <w:rPr>
          <w:bCs/>
          <w:lang w:eastAsia="en-AU"/>
        </w:rPr>
        <w:t xml:space="preserve">ere </w:t>
      </w:r>
      <w:r w:rsidR="00E43848">
        <w:rPr>
          <w:bCs/>
          <w:lang w:eastAsia="en-AU"/>
        </w:rPr>
        <w:t>190</w:t>
      </w:r>
      <w:r w:rsidRPr="00356E72">
        <w:rPr>
          <w:bCs/>
          <w:lang w:eastAsia="en-AU"/>
        </w:rPr>
        <w:t xml:space="preserve"> trading intervals throughout the week where actual prices varied significantly from forecasts. This compares to the weekly average in 2014 of 71 counts and the average in 2013 of 97.</w:t>
      </w:r>
      <w:r>
        <w:rPr>
          <w:bCs/>
          <w:lang w:eastAsia="en-AU"/>
        </w:rPr>
        <w:t xml:space="preserve"> </w:t>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470DFF" w:rsidRPr="00470DFF">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215E19">
        <w:rPr>
          <w:bCs/>
          <w:lang w:eastAsia="en-AU"/>
        </w:rPr>
        <w:t>ahead</w:t>
      </w:r>
      <w:proofErr w:type="gramEnd"/>
      <w:r w:rsidR="00275002" w:rsidRPr="00215E19">
        <w:rPr>
          <w:bCs/>
          <w:lang w:eastAsia="en-AU"/>
        </w:rPr>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lastRenderedPageBreak/>
        <w:t xml:space="preserve">Table </w:t>
      </w:r>
      <w:fldSimple w:instr=" SEQ Table \* ARABIC ">
        <w:r w:rsidR="00470DFF">
          <w:rPr>
            <w:noProof/>
          </w:rPr>
          <w:t>2</w:t>
        </w:r>
      </w:fldSimple>
      <w:bookmarkEnd w:id="12"/>
      <w:r w:rsidRPr="00BC7912">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E43848" w:rsidRPr="00003169" w:rsidTr="00B73C3A">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E43848" w:rsidRPr="00E35AE8" w:rsidRDefault="00E43848" w:rsidP="006C62B7">
            <w:pPr>
              <w:spacing w:after="0" w:line="240" w:lineRule="auto"/>
              <w:rPr>
                <w:sz w:val="20"/>
                <w:szCs w:val="20"/>
              </w:rPr>
            </w:pPr>
            <w:r w:rsidRPr="00E35AE8">
              <w:rPr>
                <w:sz w:val="20"/>
                <w:szCs w:val="20"/>
              </w:rPr>
              <w:t>% of total above forecast</w:t>
            </w:r>
          </w:p>
        </w:tc>
        <w:tc>
          <w:tcPr>
            <w:tcW w:w="1571" w:type="dxa"/>
            <w:noWrap/>
            <w:vAlign w:val="center"/>
          </w:tcPr>
          <w:p w:rsidR="00E43848" w:rsidRPr="00E43848" w:rsidRDefault="00E43848" w:rsidP="00B73C3A">
            <w:pPr>
              <w:spacing w:after="0" w:line="240" w:lineRule="auto"/>
              <w:jc w:val="center"/>
              <w:rPr>
                <w:sz w:val="20"/>
              </w:rPr>
            </w:pPr>
            <w:r w:rsidRPr="00E43848">
              <w:rPr>
                <w:sz w:val="20"/>
              </w:rPr>
              <w:t>5</w:t>
            </w:r>
          </w:p>
        </w:tc>
        <w:tc>
          <w:tcPr>
            <w:tcW w:w="1572" w:type="dxa"/>
            <w:noWrap/>
            <w:vAlign w:val="center"/>
          </w:tcPr>
          <w:p w:rsidR="00E43848" w:rsidRPr="00E43848" w:rsidRDefault="00E43848" w:rsidP="00B73C3A">
            <w:pPr>
              <w:spacing w:after="0" w:line="240" w:lineRule="auto"/>
              <w:jc w:val="center"/>
              <w:rPr>
                <w:sz w:val="20"/>
              </w:rPr>
            </w:pPr>
            <w:r w:rsidRPr="00E43848">
              <w:rPr>
                <w:sz w:val="20"/>
              </w:rPr>
              <w:t>57</w:t>
            </w:r>
          </w:p>
        </w:tc>
        <w:tc>
          <w:tcPr>
            <w:tcW w:w="1572" w:type="dxa"/>
            <w:noWrap/>
            <w:vAlign w:val="center"/>
          </w:tcPr>
          <w:p w:rsidR="00E43848" w:rsidRPr="00E43848" w:rsidRDefault="00E43848" w:rsidP="00B73C3A">
            <w:pPr>
              <w:spacing w:after="0" w:line="240" w:lineRule="auto"/>
              <w:jc w:val="center"/>
              <w:rPr>
                <w:sz w:val="20"/>
              </w:rPr>
            </w:pPr>
            <w:r w:rsidRPr="00E43848">
              <w:rPr>
                <w:sz w:val="20"/>
              </w:rPr>
              <w:t>0</w:t>
            </w:r>
          </w:p>
        </w:tc>
        <w:tc>
          <w:tcPr>
            <w:tcW w:w="1572" w:type="dxa"/>
            <w:vAlign w:val="center"/>
          </w:tcPr>
          <w:p w:rsidR="00E43848" w:rsidRPr="00E43848" w:rsidRDefault="00E43848" w:rsidP="00B73C3A">
            <w:pPr>
              <w:spacing w:after="0" w:line="240" w:lineRule="auto"/>
              <w:jc w:val="center"/>
              <w:rPr>
                <w:sz w:val="20"/>
              </w:rPr>
            </w:pPr>
            <w:r w:rsidRPr="00E43848">
              <w:rPr>
                <w:sz w:val="20"/>
              </w:rPr>
              <w:t>2</w:t>
            </w:r>
          </w:p>
        </w:tc>
      </w:tr>
      <w:tr w:rsidR="00E43848" w:rsidRPr="00003169" w:rsidTr="00B73C3A">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E43848" w:rsidRPr="00E35AE8" w:rsidRDefault="00E43848" w:rsidP="006C62B7">
            <w:pPr>
              <w:spacing w:after="0" w:line="240" w:lineRule="auto"/>
              <w:rPr>
                <w:sz w:val="20"/>
                <w:szCs w:val="20"/>
              </w:rPr>
            </w:pPr>
            <w:r w:rsidRPr="00E35AE8">
              <w:rPr>
                <w:sz w:val="20"/>
                <w:szCs w:val="20"/>
              </w:rPr>
              <w:t>% of total below forecast</w:t>
            </w:r>
          </w:p>
        </w:tc>
        <w:tc>
          <w:tcPr>
            <w:tcW w:w="1571" w:type="dxa"/>
            <w:noWrap/>
            <w:vAlign w:val="center"/>
          </w:tcPr>
          <w:p w:rsidR="00E43848" w:rsidRPr="00E43848" w:rsidRDefault="00E43848" w:rsidP="00B73C3A">
            <w:pPr>
              <w:spacing w:after="0" w:line="240" w:lineRule="auto"/>
              <w:jc w:val="center"/>
              <w:rPr>
                <w:sz w:val="20"/>
              </w:rPr>
            </w:pPr>
            <w:r w:rsidRPr="00E43848">
              <w:rPr>
                <w:sz w:val="20"/>
              </w:rPr>
              <w:t>26</w:t>
            </w:r>
          </w:p>
        </w:tc>
        <w:tc>
          <w:tcPr>
            <w:tcW w:w="1572" w:type="dxa"/>
            <w:noWrap/>
            <w:vAlign w:val="center"/>
          </w:tcPr>
          <w:p w:rsidR="00E43848" w:rsidRPr="00E43848" w:rsidRDefault="00E43848" w:rsidP="00B73C3A">
            <w:pPr>
              <w:spacing w:after="0" w:line="240" w:lineRule="auto"/>
              <w:jc w:val="center"/>
              <w:rPr>
                <w:sz w:val="20"/>
              </w:rPr>
            </w:pPr>
            <w:r w:rsidRPr="00E43848">
              <w:rPr>
                <w:sz w:val="20"/>
              </w:rPr>
              <w:t>6</w:t>
            </w:r>
          </w:p>
        </w:tc>
        <w:tc>
          <w:tcPr>
            <w:tcW w:w="1572" w:type="dxa"/>
            <w:noWrap/>
            <w:vAlign w:val="center"/>
          </w:tcPr>
          <w:p w:rsidR="00E43848" w:rsidRPr="00E43848" w:rsidRDefault="00E43848" w:rsidP="00B73C3A">
            <w:pPr>
              <w:spacing w:after="0" w:line="240" w:lineRule="auto"/>
              <w:jc w:val="center"/>
              <w:rPr>
                <w:sz w:val="20"/>
              </w:rPr>
            </w:pPr>
            <w:r w:rsidRPr="00E43848">
              <w:rPr>
                <w:sz w:val="20"/>
              </w:rPr>
              <w:t>0</w:t>
            </w:r>
          </w:p>
        </w:tc>
        <w:tc>
          <w:tcPr>
            <w:tcW w:w="1572" w:type="dxa"/>
            <w:vAlign w:val="center"/>
          </w:tcPr>
          <w:p w:rsidR="00E43848" w:rsidRPr="00E43848" w:rsidRDefault="00E43848" w:rsidP="00B73C3A">
            <w:pPr>
              <w:spacing w:after="0" w:line="240" w:lineRule="auto"/>
              <w:jc w:val="center"/>
              <w:rPr>
                <w:sz w:val="20"/>
              </w:rPr>
            </w:pPr>
            <w:r w:rsidRPr="00E43848">
              <w:rPr>
                <w:sz w:val="20"/>
              </w:rPr>
              <w:t>4</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6651E1" w:rsidRDefault="00275002" w:rsidP="006651E1">
      <w:pPr>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470DFF" w:rsidRPr="00470DFF">
        <w:rPr>
          <w:bCs/>
          <w:lang w:eastAsia="en-AU"/>
        </w:rPr>
        <w:t>Figure 3</w:t>
      </w:r>
      <w:r w:rsidRPr="00215E19">
        <w:rPr>
          <w:bCs/>
          <w:lang w:eastAsia="en-AU"/>
        </w:rPr>
        <w:fldChar w:fldCharType="end"/>
      </w:r>
      <w:r w:rsidRPr="00215E19">
        <w:rPr>
          <w:bCs/>
          <w:lang w:eastAsia="en-AU"/>
        </w:rPr>
        <w:t xml:space="preserve"> to</w:t>
      </w:r>
      <w:r w:rsidR="00056949">
        <w:rPr>
          <w:bCs/>
          <w:lang w:eastAsia="en-AU"/>
        </w:rPr>
        <w:t xml:space="preserve"> </w:t>
      </w:r>
      <w:r w:rsidR="00056949">
        <w:rPr>
          <w:bCs/>
          <w:lang w:eastAsia="en-AU"/>
        </w:rPr>
        <w:fldChar w:fldCharType="begin"/>
      </w:r>
      <w:r w:rsidR="00056949">
        <w:rPr>
          <w:bCs/>
          <w:lang w:eastAsia="en-AU"/>
        </w:rPr>
        <w:instrText xml:space="preserve"> REF _Ref433287168 \h </w:instrText>
      </w:r>
      <w:r w:rsidR="00056949">
        <w:rPr>
          <w:bCs/>
          <w:lang w:eastAsia="en-AU"/>
        </w:rPr>
      </w:r>
      <w:r w:rsidR="00056949">
        <w:rPr>
          <w:bCs/>
          <w:lang w:eastAsia="en-AU"/>
        </w:rPr>
        <w:fldChar w:fldCharType="separate"/>
      </w:r>
      <w:r w:rsidR="00470DFF">
        <w:t xml:space="preserve">Figure </w:t>
      </w:r>
      <w:r w:rsidR="00470DFF">
        <w:rPr>
          <w:noProof/>
        </w:rPr>
        <w:t>7</w:t>
      </w:r>
      <w:r w:rsidR="00056949">
        <w:rPr>
          <w:bCs/>
          <w:lang w:eastAsia="en-AU"/>
        </w:rPr>
        <w:fldChar w:fldCharType="end"/>
      </w:r>
      <w:r w:rsidRPr="00215E19">
        <w:rPr>
          <w:bCs/>
          <w:lang w:eastAsia="en-AU"/>
        </w:rPr>
        <w:t xml:space="preserve"> show, the total generation dispatched and the amounts of capacity offered within certain price bands for each 30 minute trading interval in each region. </w:t>
      </w:r>
    </w:p>
    <w:p w:rsidR="006651E1" w:rsidRPr="00181C46" w:rsidRDefault="006651E1" w:rsidP="006651E1">
      <w:proofErr w:type="gramStart"/>
      <w:r>
        <w:rPr>
          <w:bCs/>
          <w:lang w:eastAsia="en-AU"/>
        </w:rPr>
        <w:t>The red ellipses in Figures 5, 6 and 7 show where r</w:t>
      </w:r>
      <w:r>
        <w:t>ebidding to the price floor led to dispatch prices close to or at the floor.</w:t>
      </w:r>
      <w:proofErr w:type="gramEnd"/>
    </w:p>
    <w:p w:rsidR="00275002" w:rsidRDefault="00275002" w:rsidP="000E2946">
      <w:pPr>
        <w:pStyle w:val="Caption"/>
      </w:pPr>
      <w:bookmarkStart w:id="14" w:name="_Ref410383507"/>
      <w:r>
        <w:t xml:space="preserve">Figure </w:t>
      </w:r>
      <w:fldSimple w:instr=" SEQ Figure \* ARABIC ">
        <w:r w:rsidR="00470DFF">
          <w:rPr>
            <w:noProof/>
          </w:rPr>
          <w:t>3</w:t>
        </w:r>
      </w:fldSimple>
      <w:bookmarkEnd w:id="14"/>
      <w:r>
        <w:t xml:space="preserve">: Queensland </w:t>
      </w:r>
      <w:r w:rsidRPr="00690328">
        <w:t>generation and bidding patterns</w:t>
      </w:r>
    </w:p>
    <w:p w:rsidR="00FB265D" w:rsidRPr="00FB265D" w:rsidRDefault="00E43848" w:rsidP="00FB265D">
      <w:r w:rsidRPr="00E43848">
        <w:rPr>
          <w:noProof/>
          <w:lang w:eastAsia="en-AU"/>
        </w:rPr>
        <w:drawing>
          <wp:inline distT="0" distB="0" distL="0" distR="0" wp14:anchorId="11520E6E" wp14:editId="14005600">
            <wp:extent cx="5731510" cy="4115071"/>
            <wp:effectExtent l="0" t="0" r="2540" b="0"/>
            <wp:docPr id="11" name="Picture 11"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Default="00275002" w:rsidP="00275002"/>
    <w:p w:rsidR="00275002" w:rsidRDefault="00275002" w:rsidP="000E2946">
      <w:pPr>
        <w:pStyle w:val="Caption"/>
      </w:pPr>
      <w:bookmarkStart w:id="15" w:name="_Ref428273135"/>
      <w:r>
        <w:lastRenderedPageBreak/>
        <w:t xml:space="preserve">Figure </w:t>
      </w:r>
      <w:fldSimple w:instr=" SEQ Figure \* ARABIC ">
        <w:r w:rsidR="00470DFF">
          <w:rPr>
            <w:noProof/>
          </w:rPr>
          <w:t>4</w:t>
        </w:r>
      </w:fldSimple>
      <w:bookmarkEnd w:id="15"/>
      <w:r>
        <w:t xml:space="preserve">: </w:t>
      </w:r>
      <w:r w:rsidRPr="00CC5077">
        <w:t>New South Wales generation and bidding patterns</w:t>
      </w:r>
    </w:p>
    <w:p w:rsidR="00181C46" w:rsidRPr="00181C46" w:rsidRDefault="00E43848" w:rsidP="00181C46">
      <w:r w:rsidRPr="00E43848">
        <w:rPr>
          <w:noProof/>
          <w:lang w:eastAsia="en-AU"/>
        </w:rPr>
        <w:drawing>
          <wp:inline distT="0" distB="0" distL="0" distR="0" wp14:anchorId="6BEFEEC7" wp14:editId="6EA82BA5">
            <wp:extent cx="5731510" cy="4120550"/>
            <wp:effectExtent l="0" t="0" r="2540" b="0"/>
            <wp:docPr id="12" name="Picture 12"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0550"/>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470DFF">
          <w:rPr>
            <w:noProof/>
          </w:rPr>
          <w:t>5</w:t>
        </w:r>
      </w:fldSimple>
      <w:r w:rsidRPr="0003635A">
        <w:t>: Victoria generation and bidding patterns</w:t>
      </w:r>
    </w:p>
    <w:p w:rsidR="00FB265D" w:rsidRPr="00FB265D" w:rsidRDefault="004B42A7" w:rsidP="00FB265D">
      <w:r>
        <w:rPr>
          <w:noProof/>
          <w:lang w:eastAsia="en-AU"/>
        </w:rPr>
        <mc:AlternateContent>
          <mc:Choice Requires="wps">
            <w:drawing>
              <wp:anchor distT="0" distB="0" distL="114300" distR="114300" simplePos="0" relativeHeight="251667456" behindDoc="0" locked="0" layoutInCell="1" allowOverlap="1" wp14:anchorId="449F5399" wp14:editId="2F56FBC2">
                <wp:simplePos x="0" y="0"/>
                <wp:positionH relativeFrom="column">
                  <wp:posOffset>3817620</wp:posOffset>
                </wp:positionH>
                <wp:positionV relativeFrom="paragraph">
                  <wp:posOffset>493395</wp:posOffset>
                </wp:positionV>
                <wp:extent cx="411480" cy="1661160"/>
                <wp:effectExtent l="0" t="0" r="26670" b="15240"/>
                <wp:wrapNone/>
                <wp:docPr id="2" name="Oval 2"/>
                <wp:cNvGraphicFramePr/>
                <a:graphic xmlns:a="http://schemas.openxmlformats.org/drawingml/2006/main">
                  <a:graphicData uri="http://schemas.microsoft.com/office/word/2010/wordprocessingShape">
                    <wps:wsp>
                      <wps:cNvSpPr/>
                      <wps:spPr>
                        <a:xfrm>
                          <a:off x="0" y="0"/>
                          <a:ext cx="411480" cy="166116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300.6pt;margin-top:38.85pt;width:32.4pt;height:130.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" filled="f" strokecolor="red" strokeweight="2pt"/>
            </w:pict>
          </mc:Fallback>
        </mc:AlternateContent>
      </w:r>
      <w:r w:rsidR="00E43848" w:rsidRPr="00E43848">
        <w:rPr>
          <w:noProof/>
          <w:lang w:eastAsia="en-AU"/>
        </w:rPr>
        <w:drawing>
          <wp:inline distT="0" distB="0" distL="0" distR="0" wp14:anchorId="37051FE3" wp14:editId="5AA51C35">
            <wp:extent cx="5731510" cy="4115071"/>
            <wp:effectExtent l="0" t="0" r="2540" b="0"/>
            <wp:docPr id="13" name="Picture 13"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Default="00275002" w:rsidP="000E2946">
      <w:pPr>
        <w:pStyle w:val="Caption"/>
      </w:pPr>
      <w:bookmarkStart w:id="16" w:name="_Ref423965683"/>
      <w:r>
        <w:lastRenderedPageBreak/>
        <w:t xml:space="preserve">Figure </w:t>
      </w:r>
      <w:fldSimple w:instr=" SEQ Figure \* ARABIC ">
        <w:r w:rsidR="00470DFF">
          <w:rPr>
            <w:noProof/>
          </w:rPr>
          <w:t>6</w:t>
        </w:r>
      </w:fldSimple>
      <w:bookmarkEnd w:id="16"/>
      <w:r>
        <w:t>:</w:t>
      </w:r>
      <w:r w:rsidRPr="00BD00EB">
        <w:t xml:space="preserve"> South Australia generation and bidding patterns</w:t>
      </w:r>
    </w:p>
    <w:bookmarkStart w:id="17" w:name="_Ref410383520"/>
    <w:p w:rsidR="00F019C5" w:rsidRDefault="006651E1" w:rsidP="00F019C5">
      <w:r>
        <w:rPr>
          <w:noProof/>
          <w:lang w:eastAsia="en-AU"/>
        </w:rPr>
        <mc:AlternateContent>
          <mc:Choice Requires="wps">
            <w:drawing>
              <wp:anchor distT="0" distB="0" distL="114300" distR="114300" simplePos="0" relativeHeight="251671552" behindDoc="0" locked="0" layoutInCell="1" allowOverlap="1" wp14:anchorId="0B3807CE" wp14:editId="7F90288C">
                <wp:simplePos x="0" y="0"/>
                <wp:positionH relativeFrom="column">
                  <wp:posOffset>3672840</wp:posOffset>
                </wp:positionH>
                <wp:positionV relativeFrom="paragraph">
                  <wp:posOffset>204470</wp:posOffset>
                </wp:positionV>
                <wp:extent cx="297180" cy="1417320"/>
                <wp:effectExtent l="0" t="0" r="26670" b="11430"/>
                <wp:wrapNone/>
                <wp:docPr id="4" name="Oval 4"/>
                <wp:cNvGraphicFramePr/>
                <a:graphic xmlns:a="http://schemas.openxmlformats.org/drawingml/2006/main">
                  <a:graphicData uri="http://schemas.microsoft.com/office/word/2010/wordprocessingShape">
                    <wps:wsp>
                      <wps:cNvSpPr/>
                      <wps:spPr>
                        <a:xfrm>
                          <a:off x="0" y="0"/>
                          <a:ext cx="297180" cy="141732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289.2pt;margin-top:16.1pt;width:23.4pt;height:11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" filled="f" strokecolor="red" strokeweight="2pt"/>
            </w:pict>
          </mc:Fallback>
        </mc:AlternateContent>
      </w:r>
      <w:r w:rsidR="00E43848" w:rsidRPr="00E43848">
        <w:rPr>
          <w:noProof/>
          <w:lang w:eastAsia="en-AU"/>
        </w:rPr>
        <w:drawing>
          <wp:inline distT="0" distB="0" distL="0" distR="0" wp14:anchorId="58708456" wp14:editId="6F91AC49">
            <wp:extent cx="5731510" cy="4124493"/>
            <wp:effectExtent l="0" t="0" r="2540" b="9525"/>
            <wp:docPr id="14" name="Picture 14"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4493"/>
                    </a:xfrm>
                    <a:prstGeom prst="rect">
                      <a:avLst/>
                    </a:prstGeom>
                    <a:noFill/>
                    <a:ln>
                      <a:noFill/>
                    </a:ln>
                  </pic:spPr>
                </pic:pic>
              </a:graphicData>
            </a:graphic>
          </wp:inline>
        </w:drawing>
      </w:r>
    </w:p>
    <w:p w:rsidR="00275002" w:rsidRDefault="00275002" w:rsidP="000E2946">
      <w:pPr>
        <w:pStyle w:val="Caption"/>
      </w:pPr>
      <w:bookmarkStart w:id="18" w:name="_Ref433287168"/>
      <w:r>
        <w:t xml:space="preserve">Figure </w:t>
      </w:r>
      <w:fldSimple w:instr=" SEQ Figure \* ARABIC ">
        <w:r w:rsidR="00470DFF">
          <w:rPr>
            <w:noProof/>
          </w:rPr>
          <w:t>7</w:t>
        </w:r>
      </w:fldSimple>
      <w:bookmarkEnd w:id="17"/>
      <w:bookmarkEnd w:id="18"/>
      <w:r>
        <w:t xml:space="preserve">: </w:t>
      </w:r>
      <w:r w:rsidRPr="008837C4">
        <w:t>Tasmania generation and bidding patterns</w:t>
      </w:r>
    </w:p>
    <w:p w:rsidR="00181C46" w:rsidRDefault="006651E1" w:rsidP="00181C46">
      <w:r>
        <w:rPr>
          <w:noProof/>
          <w:lang w:eastAsia="en-AU"/>
        </w:rPr>
        <mc:AlternateContent>
          <mc:Choice Requires="wps">
            <w:drawing>
              <wp:anchor distT="0" distB="0" distL="114300" distR="114300" simplePos="0" relativeHeight="251669504" behindDoc="0" locked="0" layoutInCell="1" allowOverlap="1" wp14:anchorId="428B4C94" wp14:editId="75059E5B">
                <wp:simplePos x="0" y="0"/>
                <wp:positionH relativeFrom="column">
                  <wp:posOffset>3794760</wp:posOffset>
                </wp:positionH>
                <wp:positionV relativeFrom="paragraph">
                  <wp:posOffset>350520</wp:posOffset>
                </wp:positionV>
                <wp:extent cx="411480" cy="1958340"/>
                <wp:effectExtent l="0" t="0" r="26670" b="22860"/>
                <wp:wrapNone/>
                <wp:docPr id="3" name="Oval 3"/>
                <wp:cNvGraphicFramePr/>
                <a:graphic xmlns:a="http://schemas.openxmlformats.org/drawingml/2006/main">
                  <a:graphicData uri="http://schemas.microsoft.com/office/word/2010/wordprocessingShape">
                    <wps:wsp>
                      <wps:cNvSpPr/>
                      <wps:spPr>
                        <a:xfrm>
                          <a:off x="0" y="0"/>
                          <a:ext cx="411480" cy="195834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 o:spid="_x0000_s1026" style="position:absolute;margin-left:298.8pt;margin-top:27.6pt;width:32.4pt;height:15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" filled="f" strokecolor="red" strokeweight="2pt"/>
            </w:pict>
          </mc:Fallback>
        </mc:AlternateContent>
      </w:r>
      <w:r w:rsidR="00E43848" w:rsidRPr="00E43848">
        <w:rPr>
          <w:noProof/>
          <w:lang w:eastAsia="en-AU"/>
        </w:rPr>
        <w:drawing>
          <wp:inline distT="0" distB="0" distL="0" distR="0" wp14:anchorId="73990C08" wp14:editId="516F7C3A">
            <wp:extent cx="5731510" cy="4115071"/>
            <wp:effectExtent l="0" t="0" r="2540" b="0"/>
            <wp:docPr id="15" name="Picture 15"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E43848" w:rsidRDefault="00E43848" w:rsidP="00914A87">
      <w:pPr>
        <w:pStyle w:val="AERHeading1"/>
      </w:pPr>
    </w:p>
    <w:p w:rsidR="00275002" w:rsidRPr="0031019A" w:rsidRDefault="00275002" w:rsidP="00914A87">
      <w:pPr>
        <w:pStyle w:val="AERHeading1"/>
      </w:pPr>
      <w:r w:rsidRPr="0031019A">
        <w:lastRenderedPageBreak/>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E46CE" w:rsidRPr="00215E19" w:rsidRDefault="00B62BB5" w:rsidP="00215E19">
      <w:pPr>
        <w:pStyle w:val="AERbodytext"/>
        <w:spacing w:before="120" w:after="120"/>
        <w:rPr>
          <w:bCs/>
          <w:lang w:eastAsia="en-AU"/>
        </w:rPr>
      </w:pPr>
      <w:bookmarkStart w:id="19" w:name="_Ref410383413"/>
      <w:r w:rsidRPr="00B62BB5">
        <w:rPr>
          <w:bCs/>
          <w:lang w:eastAsia="en-AU"/>
        </w:rPr>
        <w:t>The total cost of FCAS on the</w:t>
      </w:r>
      <w:r w:rsidR="00AD3D69">
        <w:rPr>
          <w:bCs/>
          <w:lang w:eastAsia="en-AU"/>
        </w:rPr>
        <w:t xml:space="preserve"> mainland for the week was $</w:t>
      </w:r>
      <w:r w:rsidR="00E43848">
        <w:rPr>
          <w:bCs/>
          <w:lang w:eastAsia="en-AU"/>
        </w:rPr>
        <w:t>160</w:t>
      </w:r>
      <w:r w:rsidR="00F167CF">
        <w:rPr>
          <w:bCs/>
          <w:lang w:eastAsia="en-AU"/>
        </w:rPr>
        <w:t> </w:t>
      </w:r>
      <w:r w:rsidR="006E218F">
        <w:rPr>
          <w:bCs/>
          <w:lang w:eastAsia="en-AU"/>
        </w:rPr>
        <w:t>000</w:t>
      </w:r>
      <w:r w:rsidRPr="00B62BB5">
        <w:rPr>
          <w:bCs/>
          <w:lang w:eastAsia="en-AU"/>
        </w:rPr>
        <w:t xml:space="preserve"> or </w:t>
      </w:r>
      <w:r w:rsidR="003D5258">
        <w:rPr>
          <w:bCs/>
          <w:lang w:eastAsia="en-AU"/>
        </w:rPr>
        <w:t>less than 1</w:t>
      </w:r>
      <w:r w:rsidRPr="00B62BB5">
        <w:rPr>
          <w:bCs/>
          <w:lang w:eastAsia="en-AU"/>
        </w:rPr>
        <w:t xml:space="preserve"> per cent of energy turnover on the mainland.</w:t>
      </w:r>
    </w:p>
    <w:p w:rsidR="00411897" w:rsidRPr="00215E19" w:rsidRDefault="00B62BB5" w:rsidP="00215E19">
      <w:pPr>
        <w:pStyle w:val="AERbodytext"/>
        <w:spacing w:before="120" w:after="120"/>
        <w:rPr>
          <w:bCs/>
          <w:lang w:eastAsia="en-AU"/>
        </w:rPr>
      </w:pPr>
      <w:r w:rsidRPr="00B62BB5">
        <w:rPr>
          <w:bCs/>
          <w:lang w:eastAsia="en-AU"/>
        </w:rPr>
        <w:t>The total cost of FCAS i</w:t>
      </w:r>
      <w:r w:rsidR="00AD3D69">
        <w:rPr>
          <w:bCs/>
          <w:lang w:eastAsia="en-AU"/>
        </w:rPr>
        <w:t>n Tasmania for the week was $</w:t>
      </w:r>
      <w:r w:rsidR="00E43848">
        <w:rPr>
          <w:bCs/>
          <w:lang w:eastAsia="en-AU"/>
        </w:rPr>
        <w:t>71</w:t>
      </w:r>
      <w:r w:rsidR="00B64DF7">
        <w:rPr>
          <w:bCs/>
          <w:lang w:eastAsia="en-AU"/>
        </w:rPr>
        <w:t> </w:t>
      </w:r>
      <w:r w:rsidR="00E43848">
        <w:rPr>
          <w:bCs/>
          <w:lang w:eastAsia="en-AU"/>
        </w:rPr>
        <w:t>0</w:t>
      </w:r>
      <w:r w:rsidRPr="00B62BB5">
        <w:rPr>
          <w:bCs/>
          <w:lang w:eastAsia="en-AU"/>
        </w:rPr>
        <w:t xml:space="preserve">00 or </w:t>
      </w:r>
      <w:r w:rsidR="00E43848">
        <w:rPr>
          <w:bCs/>
          <w:lang w:eastAsia="en-AU"/>
        </w:rPr>
        <w:t>less than 1</w:t>
      </w:r>
      <w:r w:rsidRPr="00B62BB5">
        <w:rPr>
          <w:bCs/>
          <w:lang w:eastAsia="en-AU"/>
        </w:rPr>
        <w:t xml:space="preserve"> per cent of energy turnover in Tasmania.</w:t>
      </w:r>
    </w:p>
    <w:p w:rsidR="00F3590E" w:rsidRPr="00215E19"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470DFF" w:rsidRPr="00470DFF">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20" w:name="_Ref418082853"/>
      <w:r>
        <w:t xml:space="preserve">Figure </w:t>
      </w:r>
      <w:fldSimple w:instr=" SEQ Figure \* ARABIC ">
        <w:r w:rsidR="00470DFF">
          <w:rPr>
            <w:noProof/>
          </w:rPr>
          <w:t>8</w:t>
        </w:r>
      </w:fldSimple>
      <w:bookmarkEnd w:id="19"/>
      <w:bookmarkEnd w:id="20"/>
      <w:r w:rsidRPr="007707C6">
        <w:t>: Daily frequency control ancillary service cost</w:t>
      </w:r>
    </w:p>
    <w:p w:rsidR="005A6CB0" w:rsidRDefault="00E43848" w:rsidP="005A6CB0">
      <w:r w:rsidRPr="00E43848">
        <w:rPr>
          <w:noProof/>
          <w:lang w:eastAsia="en-AU"/>
        </w:rPr>
        <w:drawing>
          <wp:inline distT="0" distB="0" distL="0" distR="0" wp14:anchorId="3CFD9782" wp14:editId="67AA3948">
            <wp:extent cx="5731510" cy="2893363"/>
            <wp:effectExtent l="0" t="0" r="2540" b="2540"/>
            <wp:docPr id="17" name="Picture 17"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p w:rsidR="00F167CF" w:rsidRDefault="00F167CF" w:rsidP="005A6CB0"/>
    <w:p w:rsidR="00F167CF" w:rsidRDefault="00F167CF" w:rsidP="005A6CB0"/>
    <w:p w:rsidR="001D5BEB" w:rsidRDefault="001D5BEB" w:rsidP="005A6CB0"/>
    <w:p w:rsidR="00950B15" w:rsidRPr="0067180B" w:rsidRDefault="00950B15" w:rsidP="00950B15">
      <w:pPr>
        <w:pStyle w:val="AERHeading1"/>
        <w:keepNext/>
        <w:rPr>
          <w:rFonts w:cs="Arial"/>
        </w:rPr>
      </w:pPr>
      <w:r w:rsidRPr="0067180B">
        <w:rPr>
          <w:rFonts w:cs="Arial"/>
        </w:rPr>
        <w:lastRenderedPageBreak/>
        <w:t>Detailed market analysis of significant price events</w:t>
      </w:r>
    </w:p>
    <w:p w:rsidR="00950B15" w:rsidRPr="0067180B" w:rsidRDefault="00950B15" w:rsidP="00950B15">
      <w:pPr>
        <w:pStyle w:val="AERbodytext"/>
        <w:spacing w:before="120" w:after="120"/>
        <w:rPr>
          <w:bCs/>
          <w:lang w:eastAsia="en-AU"/>
        </w:rPr>
      </w:pPr>
      <w:r w:rsidRPr="0067180B">
        <w:rPr>
          <w:bCs/>
          <w:lang w:eastAsia="en-AU"/>
        </w:rPr>
        <w:t xml:space="preserve">We provide more detailed analysis of events where the spot price was greater than three times the weekly average price in a region and above $250/MWh or was below </w:t>
      </w:r>
      <w:r w:rsidRPr="0067180B">
        <w:rPr>
          <w:bCs/>
          <w:lang w:eastAsia="en-AU"/>
        </w:rPr>
        <w:noBreakHyphen/>
        <w:t xml:space="preserve">$100/MWh. </w:t>
      </w:r>
    </w:p>
    <w:p w:rsidR="0067180B" w:rsidRPr="0067180B" w:rsidRDefault="009C77CC" w:rsidP="0067180B">
      <w:pPr>
        <w:pStyle w:val="AERHeading3"/>
      </w:pPr>
      <w:r>
        <w:t>Victoria</w:t>
      </w:r>
    </w:p>
    <w:p w:rsidR="009C77CC" w:rsidRPr="009C77CC" w:rsidRDefault="009C77CC" w:rsidP="0067180B">
      <w:pPr>
        <w:pStyle w:val="AERHeading3"/>
        <w:rPr>
          <w:b w:val="0"/>
          <w:bCs w:val="0"/>
          <w:color w:val="auto"/>
          <w:sz w:val="22"/>
          <w:lang w:eastAsia="en-AU"/>
        </w:rPr>
      </w:pPr>
      <w:r w:rsidRPr="009C77CC">
        <w:rPr>
          <w:b w:val="0"/>
          <w:bCs w:val="0"/>
          <w:color w:val="auto"/>
          <w:sz w:val="22"/>
          <w:lang w:eastAsia="en-AU"/>
        </w:rPr>
        <w:t xml:space="preserve">There were nine occasions where the spot price in Victoria was greater than three times the Victoria weekly average price of $83/MWh and above $250/MWh. </w:t>
      </w:r>
    </w:p>
    <w:p w:rsidR="0067180B" w:rsidRPr="00F8021A" w:rsidRDefault="00F8021A" w:rsidP="0067180B">
      <w:pPr>
        <w:pStyle w:val="AERHeading3"/>
      </w:pPr>
      <w:r w:rsidRPr="00F8021A">
        <w:t>Thursday, 17</w:t>
      </w:r>
      <w:r w:rsidR="0067180B" w:rsidRPr="00F8021A">
        <w:t xml:space="preserve"> </w:t>
      </w:r>
      <w:r w:rsidRPr="00F8021A">
        <w:t>Dec</w:t>
      </w:r>
      <w:r w:rsidR="0067180B" w:rsidRPr="00F8021A">
        <w:t xml:space="preserve">ember </w:t>
      </w:r>
    </w:p>
    <w:p w:rsidR="0067180B" w:rsidRPr="00F8021A" w:rsidRDefault="0053611E" w:rsidP="0067180B">
      <w:pPr>
        <w:pStyle w:val="Caption"/>
      </w:pPr>
      <w:r w:rsidRPr="00F8021A">
        <w:t>Table 3</w:t>
      </w:r>
      <w:r w:rsidR="0067180B" w:rsidRPr="00F8021A">
        <w:t>: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67180B" w:rsidRPr="00F8021A" w:rsidTr="00165247">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67180B" w:rsidRPr="00F8021A" w:rsidRDefault="0067180B" w:rsidP="00165247">
            <w:pPr>
              <w:pStyle w:val="TableHeading"/>
              <w:jc w:val="center"/>
              <w:rPr>
                <w:rFonts w:cs="Arial"/>
                <w:sz w:val="20"/>
                <w:szCs w:val="20"/>
              </w:rPr>
            </w:pPr>
            <w:r w:rsidRPr="00F8021A">
              <w:rPr>
                <w:rFonts w:cs="Arial"/>
                <w:sz w:val="20"/>
                <w:szCs w:val="20"/>
              </w:rPr>
              <w:t xml:space="preserve">Time </w:t>
            </w:r>
          </w:p>
        </w:tc>
        <w:tc>
          <w:tcPr>
            <w:tcW w:w="1615" w:type="pct"/>
            <w:gridSpan w:val="3"/>
            <w:hideMark/>
          </w:tcPr>
          <w:p w:rsidR="0067180B" w:rsidRPr="00F8021A" w:rsidRDefault="0067180B" w:rsidP="00165247">
            <w:pPr>
              <w:pStyle w:val="TableHeading"/>
              <w:jc w:val="center"/>
              <w:rPr>
                <w:rFonts w:cs="Arial"/>
                <w:sz w:val="20"/>
                <w:szCs w:val="20"/>
              </w:rPr>
            </w:pPr>
            <w:r w:rsidRPr="00F8021A">
              <w:rPr>
                <w:rFonts w:cs="Arial"/>
                <w:sz w:val="20"/>
                <w:szCs w:val="20"/>
              </w:rPr>
              <w:t>Price ($/MWh)</w:t>
            </w:r>
          </w:p>
        </w:tc>
        <w:tc>
          <w:tcPr>
            <w:tcW w:w="1422" w:type="pct"/>
            <w:gridSpan w:val="3"/>
            <w:hideMark/>
          </w:tcPr>
          <w:p w:rsidR="0067180B" w:rsidRPr="00F8021A" w:rsidRDefault="0067180B" w:rsidP="00165247">
            <w:pPr>
              <w:pStyle w:val="TableHeading"/>
              <w:jc w:val="center"/>
              <w:rPr>
                <w:rFonts w:cs="Arial"/>
                <w:sz w:val="20"/>
                <w:szCs w:val="20"/>
              </w:rPr>
            </w:pPr>
            <w:r w:rsidRPr="00F8021A">
              <w:rPr>
                <w:rFonts w:cs="Arial"/>
                <w:sz w:val="20"/>
                <w:szCs w:val="20"/>
              </w:rPr>
              <w:t>Demand (MW)</w:t>
            </w:r>
          </w:p>
        </w:tc>
        <w:tc>
          <w:tcPr>
            <w:tcW w:w="1429" w:type="pct"/>
            <w:gridSpan w:val="3"/>
            <w:hideMark/>
          </w:tcPr>
          <w:p w:rsidR="0067180B" w:rsidRPr="00F8021A" w:rsidRDefault="0067180B" w:rsidP="00165247">
            <w:pPr>
              <w:pStyle w:val="TableHeading"/>
              <w:jc w:val="center"/>
              <w:rPr>
                <w:rFonts w:cs="Arial"/>
                <w:sz w:val="20"/>
                <w:szCs w:val="20"/>
              </w:rPr>
            </w:pPr>
            <w:r w:rsidRPr="00F8021A">
              <w:rPr>
                <w:rFonts w:cs="Arial"/>
                <w:sz w:val="20"/>
                <w:szCs w:val="20"/>
              </w:rPr>
              <w:t>Availability (MW)</w:t>
            </w:r>
          </w:p>
        </w:tc>
      </w:tr>
      <w:tr w:rsidR="0067180B" w:rsidRPr="00F8021A" w:rsidTr="00165247">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67180B" w:rsidRPr="00F8021A" w:rsidRDefault="0067180B" w:rsidP="00165247">
            <w:pPr>
              <w:pStyle w:val="tableheadingline2"/>
              <w:rPr>
                <w:rFonts w:cs="Arial"/>
                <w:sz w:val="20"/>
                <w:szCs w:val="20"/>
              </w:rPr>
            </w:pPr>
            <w:r w:rsidRPr="00F8021A">
              <w:rPr>
                <w:rFonts w:cs="Arial"/>
                <w:sz w:val="20"/>
                <w:szCs w:val="20"/>
              </w:rPr>
              <w:t> </w:t>
            </w:r>
          </w:p>
        </w:tc>
        <w:tc>
          <w:tcPr>
            <w:tcW w:w="611" w:type="pct"/>
            <w:shd w:val="clear" w:color="auto" w:fill="007192" w:themeFill="accent3" w:themeFillShade="BF"/>
            <w:hideMark/>
          </w:tcPr>
          <w:p w:rsidR="0067180B" w:rsidRPr="00F8021A" w:rsidRDefault="0067180B" w:rsidP="00165247">
            <w:pPr>
              <w:pStyle w:val="tableheadingline2"/>
              <w:rPr>
                <w:rFonts w:cs="Arial"/>
                <w:sz w:val="20"/>
                <w:szCs w:val="20"/>
              </w:rPr>
            </w:pPr>
            <w:r w:rsidRPr="00F8021A">
              <w:rPr>
                <w:rFonts w:cs="Arial"/>
                <w:sz w:val="20"/>
                <w:szCs w:val="20"/>
              </w:rPr>
              <w:t>Actual</w:t>
            </w:r>
          </w:p>
        </w:tc>
        <w:tc>
          <w:tcPr>
            <w:tcW w:w="502" w:type="pct"/>
            <w:shd w:val="clear" w:color="auto" w:fill="007192" w:themeFill="accent3" w:themeFillShade="BF"/>
            <w:hideMark/>
          </w:tcPr>
          <w:p w:rsidR="0067180B" w:rsidRPr="00F8021A" w:rsidRDefault="0067180B" w:rsidP="00165247">
            <w:pPr>
              <w:pStyle w:val="tableheadingline2"/>
              <w:rPr>
                <w:rFonts w:cs="Arial"/>
                <w:sz w:val="20"/>
                <w:szCs w:val="20"/>
              </w:rPr>
            </w:pPr>
            <w:r w:rsidRPr="00F8021A">
              <w:rPr>
                <w:rFonts w:cs="Arial"/>
                <w:sz w:val="20"/>
                <w:szCs w:val="20"/>
              </w:rPr>
              <w:t>4 hr forecast</w:t>
            </w:r>
          </w:p>
        </w:tc>
        <w:tc>
          <w:tcPr>
            <w:tcW w:w="502" w:type="pct"/>
            <w:shd w:val="clear" w:color="auto" w:fill="007192" w:themeFill="accent3" w:themeFillShade="BF"/>
            <w:hideMark/>
          </w:tcPr>
          <w:p w:rsidR="0067180B" w:rsidRPr="00F8021A" w:rsidRDefault="0067180B" w:rsidP="00165247">
            <w:pPr>
              <w:pStyle w:val="tableheadingline2"/>
              <w:rPr>
                <w:rFonts w:cs="Arial"/>
                <w:sz w:val="20"/>
                <w:szCs w:val="20"/>
              </w:rPr>
            </w:pPr>
            <w:r w:rsidRPr="00F8021A">
              <w:rPr>
                <w:rFonts w:cs="Arial"/>
                <w:sz w:val="20"/>
                <w:szCs w:val="20"/>
              </w:rPr>
              <w:t>12 hr forecast</w:t>
            </w:r>
          </w:p>
        </w:tc>
        <w:tc>
          <w:tcPr>
            <w:tcW w:w="418" w:type="pct"/>
            <w:shd w:val="clear" w:color="auto" w:fill="007192" w:themeFill="accent3" w:themeFillShade="BF"/>
            <w:hideMark/>
          </w:tcPr>
          <w:p w:rsidR="0067180B" w:rsidRPr="00F8021A" w:rsidRDefault="0067180B" w:rsidP="00165247">
            <w:pPr>
              <w:pStyle w:val="tableheadingline2"/>
              <w:rPr>
                <w:rFonts w:cs="Arial"/>
                <w:sz w:val="20"/>
                <w:szCs w:val="20"/>
              </w:rPr>
            </w:pPr>
            <w:r w:rsidRPr="00F8021A">
              <w:rPr>
                <w:rFonts w:cs="Arial"/>
                <w:sz w:val="20"/>
                <w:szCs w:val="20"/>
              </w:rPr>
              <w:t>Actual</w:t>
            </w:r>
          </w:p>
        </w:tc>
        <w:tc>
          <w:tcPr>
            <w:tcW w:w="502" w:type="pct"/>
            <w:shd w:val="clear" w:color="auto" w:fill="007192" w:themeFill="accent3" w:themeFillShade="BF"/>
            <w:hideMark/>
          </w:tcPr>
          <w:p w:rsidR="0067180B" w:rsidRPr="00F8021A" w:rsidRDefault="0067180B" w:rsidP="00165247">
            <w:pPr>
              <w:pStyle w:val="tableheadingline2"/>
              <w:rPr>
                <w:rFonts w:cs="Arial"/>
                <w:sz w:val="20"/>
                <w:szCs w:val="20"/>
              </w:rPr>
            </w:pPr>
            <w:r w:rsidRPr="00F8021A">
              <w:rPr>
                <w:rFonts w:cs="Arial"/>
                <w:sz w:val="20"/>
                <w:szCs w:val="20"/>
              </w:rPr>
              <w:t>4 hr forecast</w:t>
            </w:r>
          </w:p>
        </w:tc>
        <w:tc>
          <w:tcPr>
            <w:tcW w:w="502" w:type="pct"/>
            <w:shd w:val="clear" w:color="auto" w:fill="007192" w:themeFill="accent3" w:themeFillShade="BF"/>
            <w:hideMark/>
          </w:tcPr>
          <w:p w:rsidR="0067180B" w:rsidRPr="00F8021A" w:rsidRDefault="0067180B" w:rsidP="00165247">
            <w:pPr>
              <w:pStyle w:val="tableheadingline2"/>
              <w:rPr>
                <w:rFonts w:cs="Arial"/>
                <w:sz w:val="20"/>
                <w:szCs w:val="20"/>
              </w:rPr>
            </w:pPr>
            <w:r w:rsidRPr="00F8021A">
              <w:rPr>
                <w:rFonts w:cs="Arial"/>
                <w:sz w:val="20"/>
                <w:szCs w:val="20"/>
              </w:rPr>
              <w:t>12 hr forecast</w:t>
            </w:r>
          </w:p>
        </w:tc>
        <w:tc>
          <w:tcPr>
            <w:tcW w:w="425" w:type="pct"/>
            <w:shd w:val="clear" w:color="auto" w:fill="007192" w:themeFill="accent3" w:themeFillShade="BF"/>
            <w:hideMark/>
          </w:tcPr>
          <w:p w:rsidR="0067180B" w:rsidRPr="00F8021A" w:rsidRDefault="0067180B" w:rsidP="00165247">
            <w:pPr>
              <w:pStyle w:val="tableheadingline2"/>
              <w:rPr>
                <w:rFonts w:cs="Arial"/>
                <w:sz w:val="20"/>
                <w:szCs w:val="20"/>
              </w:rPr>
            </w:pPr>
            <w:r w:rsidRPr="00F8021A">
              <w:rPr>
                <w:rFonts w:cs="Arial"/>
                <w:sz w:val="20"/>
                <w:szCs w:val="20"/>
              </w:rPr>
              <w:t>Actual</w:t>
            </w:r>
          </w:p>
        </w:tc>
        <w:tc>
          <w:tcPr>
            <w:tcW w:w="502" w:type="pct"/>
            <w:shd w:val="clear" w:color="auto" w:fill="007192" w:themeFill="accent3" w:themeFillShade="BF"/>
            <w:hideMark/>
          </w:tcPr>
          <w:p w:rsidR="0067180B" w:rsidRPr="00F8021A" w:rsidRDefault="0067180B" w:rsidP="00165247">
            <w:pPr>
              <w:pStyle w:val="tableheadingline2"/>
              <w:rPr>
                <w:rFonts w:cs="Arial"/>
                <w:sz w:val="20"/>
                <w:szCs w:val="20"/>
              </w:rPr>
            </w:pPr>
            <w:r w:rsidRPr="00F8021A">
              <w:rPr>
                <w:rFonts w:cs="Arial"/>
                <w:sz w:val="20"/>
                <w:szCs w:val="20"/>
              </w:rPr>
              <w:t>4 hr forecast</w:t>
            </w:r>
          </w:p>
        </w:tc>
        <w:tc>
          <w:tcPr>
            <w:tcW w:w="502" w:type="pct"/>
            <w:shd w:val="clear" w:color="auto" w:fill="007192" w:themeFill="accent3" w:themeFillShade="BF"/>
            <w:hideMark/>
          </w:tcPr>
          <w:p w:rsidR="0067180B" w:rsidRPr="00F8021A" w:rsidRDefault="0067180B" w:rsidP="00165247">
            <w:pPr>
              <w:pStyle w:val="tableheadingline2"/>
              <w:rPr>
                <w:rFonts w:cs="Arial"/>
                <w:sz w:val="20"/>
                <w:szCs w:val="20"/>
              </w:rPr>
            </w:pPr>
            <w:r w:rsidRPr="00F8021A">
              <w:rPr>
                <w:rFonts w:cs="Arial"/>
                <w:sz w:val="20"/>
                <w:szCs w:val="20"/>
              </w:rPr>
              <w:t>12 hr forecast</w:t>
            </w:r>
          </w:p>
        </w:tc>
      </w:tr>
      <w:tr w:rsidR="00F8021A" w:rsidRPr="00F8021A" w:rsidTr="00165247">
        <w:trPr>
          <w:trHeight w:val="510"/>
        </w:trPr>
        <w:tc>
          <w:tcPr>
            <w:tcW w:w="533"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b/>
                <w:bCs/>
                <w:sz w:val="18"/>
                <w:szCs w:val="18"/>
              </w:rPr>
              <w:t>11.30 am</w:t>
            </w:r>
          </w:p>
        </w:tc>
        <w:tc>
          <w:tcPr>
            <w:tcW w:w="611"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273.96</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82.05</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80.81</w:t>
            </w:r>
          </w:p>
        </w:tc>
        <w:tc>
          <w:tcPr>
            <w:tcW w:w="418"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6887</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6686</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6938</w:t>
            </w:r>
          </w:p>
        </w:tc>
        <w:tc>
          <w:tcPr>
            <w:tcW w:w="425"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9719</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9645</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9856</w:t>
            </w:r>
          </w:p>
        </w:tc>
      </w:tr>
      <w:tr w:rsidR="00F8021A" w:rsidRPr="00F8021A" w:rsidTr="00165247">
        <w:trPr>
          <w:cnfStyle w:val="000000010000" w:firstRow="0" w:lastRow="0" w:firstColumn="0" w:lastColumn="0" w:oddVBand="0" w:evenVBand="0" w:oddHBand="0" w:evenHBand="1" w:firstRowFirstColumn="0" w:firstRowLastColumn="0" w:lastRowFirstColumn="0" w:lastRowLastColumn="0"/>
          <w:trHeight w:val="510"/>
        </w:trPr>
        <w:tc>
          <w:tcPr>
            <w:tcW w:w="533" w:type="pct"/>
            <w:vAlign w:val="center"/>
          </w:tcPr>
          <w:p w:rsidR="00F8021A" w:rsidRPr="00F8021A" w:rsidRDefault="00F8021A" w:rsidP="00F8021A">
            <w:pPr>
              <w:pStyle w:val="NormalWeb"/>
              <w:jc w:val="center"/>
              <w:rPr>
                <w:rFonts w:asciiTheme="minorHAnsi" w:hAnsiTheme="minorHAnsi" w:cstheme="minorHAnsi"/>
                <w:sz w:val="18"/>
                <w:szCs w:val="18"/>
              </w:rPr>
            </w:pPr>
            <w:r w:rsidRPr="00F8021A">
              <w:rPr>
                <w:rFonts w:asciiTheme="minorHAnsi" w:hAnsiTheme="minorHAnsi" w:cstheme="minorHAnsi"/>
                <w:b/>
                <w:bCs/>
                <w:sz w:val="18"/>
                <w:szCs w:val="18"/>
              </w:rPr>
              <w:t>1 pm</w:t>
            </w:r>
          </w:p>
        </w:tc>
        <w:tc>
          <w:tcPr>
            <w:tcW w:w="611"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295.12</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94.69</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93.36</w:t>
            </w:r>
          </w:p>
        </w:tc>
        <w:tc>
          <w:tcPr>
            <w:tcW w:w="418"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7430</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7276</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7344</w:t>
            </w:r>
          </w:p>
        </w:tc>
        <w:tc>
          <w:tcPr>
            <w:tcW w:w="425"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9678</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9777</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9546</w:t>
            </w:r>
          </w:p>
        </w:tc>
      </w:tr>
      <w:tr w:rsidR="00F8021A" w:rsidRPr="00F8021A" w:rsidTr="00165247">
        <w:trPr>
          <w:trHeight w:val="510"/>
        </w:trPr>
        <w:tc>
          <w:tcPr>
            <w:tcW w:w="533" w:type="pct"/>
            <w:vAlign w:val="center"/>
          </w:tcPr>
          <w:p w:rsidR="00F8021A" w:rsidRPr="00F8021A" w:rsidRDefault="00F8021A" w:rsidP="00F8021A">
            <w:pPr>
              <w:pStyle w:val="NormalWeb"/>
              <w:jc w:val="center"/>
              <w:rPr>
                <w:rFonts w:asciiTheme="minorHAnsi" w:hAnsiTheme="minorHAnsi" w:cstheme="minorHAnsi"/>
                <w:sz w:val="18"/>
                <w:szCs w:val="18"/>
              </w:rPr>
            </w:pPr>
            <w:r w:rsidRPr="00F8021A">
              <w:rPr>
                <w:rFonts w:asciiTheme="minorHAnsi" w:hAnsiTheme="minorHAnsi" w:cstheme="minorHAnsi"/>
                <w:b/>
                <w:bCs/>
                <w:sz w:val="18"/>
                <w:szCs w:val="18"/>
              </w:rPr>
              <w:t>1.30 pm</w:t>
            </w:r>
          </w:p>
        </w:tc>
        <w:tc>
          <w:tcPr>
            <w:tcW w:w="611"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271.87</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85.71</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83.00</w:t>
            </w:r>
          </w:p>
        </w:tc>
        <w:tc>
          <w:tcPr>
            <w:tcW w:w="418"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7559</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7392</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7501</w:t>
            </w:r>
          </w:p>
        </w:tc>
        <w:tc>
          <w:tcPr>
            <w:tcW w:w="425"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9672</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9774</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9552</w:t>
            </w:r>
          </w:p>
        </w:tc>
      </w:tr>
      <w:tr w:rsidR="00F8021A" w:rsidRPr="00F8021A" w:rsidTr="00165247">
        <w:trPr>
          <w:cnfStyle w:val="000000010000" w:firstRow="0" w:lastRow="0" w:firstColumn="0" w:lastColumn="0" w:oddVBand="0" w:evenVBand="0" w:oddHBand="0" w:evenHBand="1" w:firstRowFirstColumn="0" w:firstRowLastColumn="0" w:lastRowFirstColumn="0" w:lastRowLastColumn="0"/>
          <w:trHeight w:val="510"/>
        </w:trPr>
        <w:tc>
          <w:tcPr>
            <w:tcW w:w="533" w:type="pct"/>
            <w:vAlign w:val="center"/>
          </w:tcPr>
          <w:p w:rsidR="00F8021A" w:rsidRPr="00F8021A" w:rsidRDefault="00F8021A" w:rsidP="00F8021A">
            <w:pPr>
              <w:pStyle w:val="NormalWeb"/>
              <w:jc w:val="center"/>
              <w:rPr>
                <w:rFonts w:asciiTheme="minorHAnsi" w:hAnsiTheme="minorHAnsi" w:cstheme="minorHAnsi"/>
                <w:sz w:val="18"/>
                <w:szCs w:val="18"/>
              </w:rPr>
            </w:pPr>
            <w:r w:rsidRPr="00F8021A">
              <w:rPr>
                <w:rFonts w:asciiTheme="minorHAnsi" w:hAnsiTheme="minorHAnsi" w:cstheme="minorHAnsi"/>
                <w:b/>
                <w:bCs/>
                <w:sz w:val="18"/>
                <w:szCs w:val="18"/>
              </w:rPr>
              <w:t>3 pm</w:t>
            </w:r>
          </w:p>
        </w:tc>
        <w:tc>
          <w:tcPr>
            <w:tcW w:w="611"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285.21</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74.85</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82.47</w:t>
            </w:r>
          </w:p>
        </w:tc>
        <w:tc>
          <w:tcPr>
            <w:tcW w:w="418"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8010</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7772</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7825</w:t>
            </w:r>
          </w:p>
        </w:tc>
        <w:tc>
          <w:tcPr>
            <w:tcW w:w="425"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9648</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9887</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9880</w:t>
            </w:r>
          </w:p>
        </w:tc>
      </w:tr>
      <w:tr w:rsidR="00F8021A" w:rsidRPr="00F8021A" w:rsidTr="00165247">
        <w:trPr>
          <w:trHeight w:val="510"/>
        </w:trPr>
        <w:tc>
          <w:tcPr>
            <w:tcW w:w="533" w:type="pct"/>
            <w:vAlign w:val="center"/>
          </w:tcPr>
          <w:p w:rsidR="00F8021A" w:rsidRPr="00F8021A" w:rsidRDefault="00F8021A" w:rsidP="00F8021A">
            <w:pPr>
              <w:pStyle w:val="NormalWeb"/>
              <w:jc w:val="center"/>
              <w:rPr>
                <w:rFonts w:asciiTheme="minorHAnsi" w:hAnsiTheme="minorHAnsi" w:cstheme="minorHAnsi"/>
                <w:sz w:val="18"/>
                <w:szCs w:val="18"/>
              </w:rPr>
            </w:pPr>
            <w:r w:rsidRPr="00F8021A">
              <w:rPr>
                <w:rFonts w:asciiTheme="minorHAnsi" w:hAnsiTheme="minorHAnsi" w:cstheme="minorHAnsi"/>
                <w:b/>
                <w:bCs/>
                <w:sz w:val="18"/>
                <w:szCs w:val="18"/>
              </w:rPr>
              <w:t>4 pm</w:t>
            </w:r>
          </w:p>
        </w:tc>
        <w:tc>
          <w:tcPr>
            <w:tcW w:w="611"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312.49</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82.25</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95.46</w:t>
            </w:r>
          </w:p>
        </w:tc>
        <w:tc>
          <w:tcPr>
            <w:tcW w:w="418"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8407</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8023</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8174</w:t>
            </w:r>
          </w:p>
        </w:tc>
        <w:tc>
          <w:tcPr>
            <w:tcW w:w="425"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9829</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9907</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9886</w:t>
            </w:r>
          </w:p>
        </w:tc>
      </w:tr>
      <w:tr w:rsidR="00F8021A" w:rsidRPr="00F8021A" w:rsidTr="00165247">
        <w:trPr>
          <w:cnfStyle w:val="000000010000" w:firstRow="0" w:lastRow="0" w:firstColumn="0" w:lastColumn="0" w:oddVBand="0" w:evenVBand="0" w:oddHBand="0" w:evenHBand="1" w:firstRowFirstColumn="0" w:firstRowLastColumn="0" w:lastRowFirstColumn="0" w:lastRowLastColumn="0"/>
          <w:trHeight w:val="510"/>
        </w:trPr>
        <w:tc>
          <w:tcPr>
            <w:tcW w:w="533" w:type="pct"/>
            <w:vAlign w:val="center"/>
          </w:tcPr>
          <w:p w:rsidR="00F8021A" w:rsidRPr="00F8021A" w:rsidRDefault="00F8021A" w:rsidP="00F8021A">
            <w:pPr>
              <w:pStyle w:val="NormalWeb"/>
              <w:jc w:val="center"/>
              <w:rPr>
                <w:rFonts w:asciiTheme="minorHAnsi" w:hAnsiTheme="minorHAnsi" w:cstheme="minorHAnsi"/>
                <w:sz w:val="18"/>
                <w:szCs w:val="18"/>
              </w:rPr>
            </w:pPr>
            <w:r w:rsidRPr="00F8021A">
              <w:rPr>
                <w:rFonts w:asciiTheme="minorHAnsi" w:hAnsiTheme="minorHAnsi" w:cstheme="minorHAnsi"/>
                <w:b/>
                <w:bCs/>
                <w:sz w:val="18"/>
                <w:szCs w:val="18"/>
              </w:rPr>
              <w:t>4.30 pm</w:t>
            </w:r>
          </w:p>
        </w:tc>
        <w:tc>
          <w:tcPr>
            <w:tcW w:w="611"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1626.30</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90.47</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95.46</w:t>
            </w:r>
          </w:p>
        </w:tc>
        <w:tc>
          <w:tcPr>
            <w:tcW w:w="418"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8415</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8078</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8176</w:t>
            </w:r>
          </w:p>
        </w:tc>
        <w:tc>
          <w:tcPr>
            <w:tcW w:w="425"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9847</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9928</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9889</w:t>
            </w:r>
          </w:p>
        </w:tc>
      </w:tr>
      <w:tr w:rsidR="00F8021A" w:rsidRPr="00F8021A" w:rsidTr="00165247">
        <w:trPr>
          <w:trHeight w:val="510"/>
        </w:trPr>
        <w:tc>
          <w:tcPr>
            <w:tcW w:w="533" w:type="pct"/>
            <w:vAlign w:val="center"/>
          </w:tcPr>
          <w:p w:rsidR="00F8021A" w:rsidRPr="00F8021A" w:rsidRDefault="00F8021A" w:rsidP="00F8021A">
            <w:pPr>
              <w:pStyle w:val="NormalWeb"/>
              <w:jc w:val="center"/>
              <w:rPr>
                <w:rFonts w:asciiTheme="minorHAnsi" w:hAnsiTheme="minorHAnsi" w:cstheme="minorHAnsi"/>
                <w:sz w:val="18"/>
                <w:szCs w:val="18"/>
              </w:rPr>
            </w:pPr>
            <w:r w:rsidRPr="00F8021A">
              <w:rPr>
                <w:rFonts w:asciiTheme="minorHAnsi" w:hAnsiTheme="minorHAnsi" w:cstheme="minorHAnsi"/>
                <w:b/>
                <w:bCs/>
                <w:sz w:val="18"/>
                <w:szCs w:val="18"/>
              </w:rPr>
              <w:t>6 pm</w:t>
            </w:r>
          </w:p>
        </w:tc>
        <w:tc>
          <w:tcPr>
            <w:tcW w:w="611"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309.47</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83.93</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102.85</w:t>
            </w:r>
          </w:p>
        </w:tc>
        <w:tc>
          <w:tcPr>
            <w:tcW w:w="418"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8271</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7731</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7683</w:t>
            </w:r>
          </w:p>
        </w:tc>
        <w:tc>
          <w:tcPr>
            <w:tcW w:w="425"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9975</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9950</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9923</w:t>
            </w:r>
          </w:p>
        </w:tc>
      </w:tr>
      <w:tr w:rsidR="00F8021A" w:rsidRPr="00F8021A" w:rsidTr="00165247">
        <w:trPr>
          <w:cnfStyle w:val="000000010000" w:firstRow="0" w:lastRow="0" w:firstColumn="0" w:lastColumn="0" w:oddVBand="0" w:evenVBand="0" w:oddHBand="0" w:evenHBand="1" w:firstRowFirstColumn="0" w:firstRowLastColumn="0" w:lastRowFirstColumn="0" w:lastRowLastColumn="0"/>
          <w:trHeight w:val="510"/>
        </w:trPr>
        <w:tc>
          <w:tcPr>
            <w:tcW w:w="533" w:type="pct"/>
            <w:vAlign w:val="center"/>
          </w:tcPr>
          <w:p w:rsidR="00F8021A" w:rsidRPr="00F8021A" w:rsidRDefault="00F8021A" w:rsidP="00F8021A">
            <w:pPr>
              <w:pStyle w:val="NormalWeb"/>
              <w:jc w:val="center"/>
              <w:rPr>
                <w:rFonts w:asciiTheme="minorHAnsi" w:hAnsiTheme="minorHAnsi" w:cstheme="minorHAnsi"/>
                <w:sz w:val="18"/>
                <w:szCs w:val="18"/>
              </w:rPr>
            </w:pPr>
            <w:r w:rsidRPr="00F8021A">
              <w:rPr>
                <w:rFonts w:asciiTheme="minorHAnsi" w:hAnsiTheme="minorHAnsi" w:cstheme="minorHAnsi"/>
                <w:b/>
                <w:bCs/>
                <w:sz w:val="18"/>
                <w:szCs w:val="18"/>
              </w:rPr>
              <w:t>6.30 pm</w:t>
            </w:r>
          </w:p>
        </w:tc>
        <w:tc>
          <w:tcPr>
            <w:tcW w:w="611"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321.64</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279.59</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100.75</w:t>
            </w:r>
          </w:p>
        </w:tc>
        <w:tc>
          <w:tcPr>
            <w:tcW w:w="418"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8115</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7480</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7405</w:t>
            </w:r>
          </w:p>
        </w:tc>
        <w:tc>
          <w:tcPr>
            <w:tcW w:w="425"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10 026</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9970</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9941</w:t>
            </w:r>
          </w:p>
        </w:tc>
      </w:tr>
      <w:tr w:rsidR="00F8021A" w:rsidRPr="00F8021A" w:rsidTr="00165247">
        <w:trPr>
          <w:trHeight w:val="510"/>
        </w:trPr>
        <w:tc>
          <w:tcPr>
            <w:tcW w:w="533" w:type="pct"/>
            <w:vAlign w:val="center"/>
          </w:tcPr>
          <w:p w:rsidR="00F8021A" w:rsidRPr="00F8021A" w:rsidRDefault="00F8021A" w:rsidP="00F8021A">
            <w:pPr>
              <w:pStyle w:val="NormalWeb"/>
              <w:jc w:val="center"/>
              <w:rPr>
                <w:rFonts w:asciiTheme="minorHAnsi" w:hAnsiTheme="minorHAnsi" w:cstheme="minorHAnsi"/>
                <w:sz w:val="18"/>
                <w:szCs w:val="18"/>
              </w:rPr>
            </w:pPr>
            <w:r w:rsidRPr="00F8021A">
              <w:rPr>
                <w:rFonts w:asciiTheme="minorHAnsi" w:hAnsiTheme="minorHAnsi" w:cstheme="minorHAnsi"/>
                <w:b/>
                <w:bCs/>
                <w:sz w:val="18"/>
                <w:szCs w:val="18"/>
              </w:rPr>
              <w:t>7 pm</w:t>
            </w:r>
          </w:p>
        </w:tc>
        <w:tc>
          <w:tcPr>
            <w:tcW w:w="611"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321.11</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81.01</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81.84</w:t>
            </w:r>
          </w:p>
        </w:tc>
        <w:tc>
          <w:tcPr>
            <w:tcW w:w="418"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7955</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7301</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7207</w:t>
            </w:r>
          </w:p>
        </w:tc>
        <w:tc>
          <w:tcPr>
            <w:tcW w:w="425"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9949</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9973</w:t>
            </w:r>
          </w:p>
        </w:tc>
        <w:tc>
          <w:tcPr>
            <w:tcW w:w="502" w:type="pct"/>
            <w:vAlign w:val="center"/>
          </w:tcPr>
          <w:p w:rsidR="00F8021A" w:rsidRPr="00F8021A" w:rsidRDefault="00F8021A">
            <w:pPr>
              <w:pStyle w:val="NormalWeb"/>
              <w:jc w:val="center"/>
              <w:rPr>
                <w:rFonts w:asciiTheme="minorHAnsi" w:hAnsiTheme="minorHAnsi" w:cstheme="minorHAnsi"/>
                <w:sz w:val="18"/>
                <w:szCs w:val="18"/>
              </w:rPr>
            </w:pPr>
            <w:r w:rsidRPr="00F8021A">
              <w:rPr>
                <w:rFonts w:asciiTheme="minorHAnsi" w:hAnsiTheme="minorHAnsi" w:cstheme="minorHAnsi"/>
                <w:sz w:val="18"/>
                <w:szCs w:val="18"/>
              </w:rPr>
              <w:t>9941</w:t>
            </w:r>
          </w:p>
        </w:tc>
      </w:tr>
    </w:tbl>
    <w:p w:rsidR="00D16710" w:rsidRPr="00981E7F" w:rsidRDefault="006A5CB6" w:rsidP="00981E7F">
      <w:pPr>
        <w:pStyle w:val="AERbodytext"/>
        <w:rPr>
          <w:b/>
          <w:color w:val="000000" w:themeColor="text1"/>
        </w:rPr>
      </w:pPr>
      <w:r>
        <w:br/>
      </w:r>
      <w:r w:rsidR="00BA29D3" w:rsidRPr="00981E7F">
        <w:t>Available</w:t>
      </w:r>
      <w:r w:rsidR="00BA29D3">
        <w:t xml:space="preserve"> capacity was close to forecast. </w:t>
      </w:r>
      <w:r>
        <w:t>Across the high priced trading intervals, d</w:t>
      </w:r>
      <w:r w:rsidR="0067180B" w:rsidRPr="00981E7F">
        <w:t xml:space="preserve">emand was </w:t>
      </w:r>
      <w:r w:rsidR="001E2F01" w:rsidRPr="00981E7F">
        <w:t>between 154 MW and 654 MW</w:t>
      </w:r>
      <w:r w:rsidR="0067180B" w:rsidRPr="00981E7F">
        <w:t xml:space="preserve"> higher than forecast </w:t>
      </w:r>
      <w:r w:rsidR="003749F7" w:rsidRPr="00981E7F">
        <w:t>four hours ahead</w:t>
      </w:r>
      <w:r w:rsidR="0067180B" w:rsidRPr="00981E7F">
        <w:t>.</w:t>
      </w:r>
      <w:r w:rsidR="00E2504E">
        <w:t xml:space="preserve"> </w:t>
      </w:r>
      <w:r w:rsidR="009A64E8">
        <w:t xml:space="preserve">Forecasts half an hour and one hour ahead also varied materially. </w:t>
      </w:r>
      <w:r w:rsidR="00BA29D3">
        <w:t xml:space="preserve">Wind generation in Victoria </w:t>
      </w:r>
      <w:r w:rsidR="009A64E8">
        <w:t>increased gradually from about 55 MW at 11 am to 250</w:t>
      </w:r>
      <w:r w:rsidR="00B25887">
        <w:t xml:space="preserve"> MW </w:t>
      </w:r>
      <w:r w:rsidR="009A64E8">
        <w:t>by 5 pm and remained at about that level until 7 pm</w:t>
      </w:r>
      <w:r w:rsidR="00B25887">
        <w:t xml:space="preserve">. </w:t>
      </w:r>
    </w:p>
    <w:p w:rsidR="0067180B" w:rsidRPr="005F702C" w:rsidRDefault="0053611E" w:rsidP="0067180B">
      <w:pPr>
        <w:pStyle w:val="Caption"/>
      </w:pPr>
      <w:r w:rsidRPr="005F702C">
        <w:t>Table 4</w:t>
      </w:r>
      <w:r w:rsidR="00942863">
        <w:t>: Rebids</w:t>
      </w:r>
    </w:p>
    <w:tbl>
      <w:tblPr>
        <w:tblStyle w:val="AERTable-Text"/>
        <w:tblW w:w="9412" w:type="dxa"/>
        <w:tblLayout w:type="fixed"/>
        <w:tblLook w:val="04A0" w:firstRow="1" w:lastRow="0" w:firstColumn="1" w:lastColumn="0" w:noHBand="0" w:noVBand="1"/>
      </w:tblPr>
      <w:tblGrid>
        <w:gridCol w:w="1032"/>
        <w:gridCol w:w="980"/>
        <w:gridCol w:w="1525"/>
        <w:gridCol w:w="1167"/>
        <w:gridCol w:w="949"/>
        <w:gridCol w:w="906"/>
        <w:gridCol w:w="906"/>
        <w:gridCol w:w="1947"/>
      </w:tblGrid>
      <w:tr w:rsidR="0067180B" w:rsidRPr="009C77CC" w:rsidTr="00942863">
        <w:trPr>
          <w:cnfStyle w:val="100000000000" w:firstRow="1" w:lastRow="0" w:firstColumn="0" w:lastColumn="0" w:oddVBand="0" w:evenVBand="0" w:oddHBand="0" w:evenHBand="0" w:firstRowFirstColumn="0" w:firstRowLastColumn="0" w:lastRowFirstColumn="0" w:lastRowLastColumn="0"/>
          <w:trHeight w:val="210"/>
          <w:tblHeader/>
        </w:trPr>
        <w:tc>
          <w:tcPr>
            <w:tcW w:w="1032" w:type="dxa"/>
            <w:hideMark/>
          </w:tcPr>
          <w:p w:rsidR="0067180B" w:rsidRPr="005F702C" w:rsidRDefault="0067180B" w:rsidP="00165247">
            <w:pPr>
              <w:spacing w:before="0" w:line="240" w:lineRule="auto"/>
              <w:jc w:val="center"/>
              <w:textAlignment w:val="top"/>
              <w:rPr>
                <w:rFonts w:ascii="Times New Roman" w:eastAsia="Times New Roman" w:hAnsi="Times New Roman" w:cs="Times New Roman"/>
                <w:b w:val="0"/>
                <w:sz w:val="2"/>
                <w:szCs w:val="2"/>
                <w:lang w:eastAsia="en-AU"/>
              </w:rPr>
            </w:pPr>
            <w:r w:rsidRPr="005F702C">
              <w:rPr>
                <w:rFonts w:eastAsia="Times New Roman" w:cs="Arial"/>
                <w:b w:val="0"/>
                <w:color w:val="FFFFFF"/>
                <w:sz w:val="18"/>
                <w:szCs w:val="18"/>
                <w:lang w:eastAsia="en-AU"/>
              </w:rPr>
              <w:t>Submitted</w:t>
            </w:r>
            <w:r w:rsidRPr="005F702C">
              <w:rPr>
                <w:rFonts w:eastAsia="Times New Roman" w:cs="Arial"/>
                <w:b w:val="0"/>
                <w:color w:val="FFFFFF"/>
                <w:sz w:val="18"/>
                <w:szCs w:val="18"/>
                <w:lang w:eastAsia="en-AU"/>
              </w:rPr>
              <w:br/>
              <w:t>time</w:t>
            </w:r>
          </w:p>
        </w:tc>
        <w:tc>
          <w:tcPr>
            <w:tcW w:w="980" w:type="dxa"/>
            <w:hideMark/>
          </w:tcPr>
          <w:p w:rsidR="0067180B" w:rsidRPr="005F702C" w:rsidRDefault="0067180B" w:rsidP="00165247">
            <w:pPr>
              <w:spacing w:before="0" w:line="240" w:lineRule="auto"/>
              <w:jc w:val="center"/>
              <w:textAlignment w:val="top"/>
              <w:rPr>
                <w:rFonts w:ascii="Times New Roman" w:eastAsia="Times New Roman" w:hAnsi="Times New Roman" w:cs="Times New Roman"/>
                <w:b w:val="0"/>
                <w:sz w:val="2"/>
                <w:szCs w:val="2"/>
                <w:lang w:eastAsia="en-AU"/>
              </w:rPr>
            </w:pPr>
            <w:r w:rsidRPr="005F702C">
              <w:rPr>
                <w:rFonts w:eastAsia="Times New Roman" w:cs="Arial"/>
                <w:b w:val="0"/>
                <w:color w:val="FFFFFF"/>
                <w:sz w:val="18"/>
                <w:szCs w:val="18"/>
                <w:lang w:eastAsia="en-AU"/>
              </w:rPr>
              <w:t>Time</w:t>
            </w:r>
            <w:r w:rsidRPr="005F702C">
              <w:rPr>
                <w:rFonts w:eastAsia="Times New Roman" w:cs="Arial"/>
                <w:b w:val="0"/>
                <w:color w:val="FFFFFF"/>
                <w:sz w:val="18"/>
                <w:szCs w:val="18"/>
                <w:lang w:eastAsia="en-AU"/>
              </w:rPr>
              <w:br/>
              <w:t>effective</w:t>
            </w:r>
          </w:p>
        </w:tc>
        <w:tc>
          <w:tcPr>
            <w:tcW w:w="1525" w:type="dxa"/>
            <w:hideMark/>
          </w:tcPr>
          <w:p w:rsidR="0067180B" w:rsidRPr="005F702C" w:rsidRDefault="0067180B" w:rsidP="00165247">
            <w:pPr>
              <w:spacing w:before="0" w:line="240" w:lineRule="auto"/>
              <w:jc w:val="center"/>
              <w:textAlignment w:val="top"/>
              <w:rPr>
                <w:rFonts w:eastAsia="Times New Roman" w:cs="Arial"/>
                <w:b w:val="0"/>
                <w:color w:val="FFFFFF"/>
                <w:sz w:val="18"/>
                <w:szCs w:val="18"/>
                <w:lang w:eastAsia="en-AU"/>
              </w:rPr>
            </w:pPr>
            <w:r w:rsidRPr="005F702C">
              <w:rPr>
                <w:rFonts w:eastAsia="Times New Roman" w:cs="Arial"/>
                <w:b w:val="0"/>
                <w:color w:val="FFFFFF"/>
                <w:sz w:val="18"/>
                <w:szCs w:val="18"/>
                <w:lang w:eastAsia="en-AU"/>
              </w:rPr>
              <w:t>Participant</w:t>
            </w:r>
          </w:p>
        </w:tc>
        <w:tc>
          <w:tcPr>
            <w:tcW w:w="1167" w:type="dxa"/>
            <w:hideMark/>
          </w:tcPr>
          <w:p w:rsidR="0067180B" w:rsidRPr="005F702C" w:rsidRDefault="0067180B" w:rsidP="00165247">
            <w:pPr>
              <w:spacing w:before="0" w:line="240" w:lineRule="auto"/>
              <w:jc w:val="center"/>
              <w:textAlignment w:val="top"/>
              <w:rPr>
                <w:rFonts w:eastAsia="Times New Roman" w:cs="Arial"/>
                <w:b w:val="0"/>
                <w:color w:val="FFFFFF"/>
                <w:sz w:val="18"/>
                <w:szCs w:val="18"/>
                <w:lang w:eastAsia="en-AU"/>
              </w:rPr>
            </w:pPr>
            <w:r w:rsidRPr="005F702C">
              <w:rPr>
                <w:rFonts w:eastAsia="Times New Roman" w:cs="Arial"/>
                <w:b w:val="0"/>
                <w:color w:val="FFFFFF"/>
                <w:sz w:val="18"/>
                <w:szCs w:val="18"/>
                <w:lang w:eastAsia="en-AU"/>
              </w:rPr>
              <w:t>Station</w:t>
            </w:r>
          </w:p>
        </w:tc>
        <w:tc>
          <w:tcPr>
            <w:tcW w:w="949" w:type="dxa"/>
            <w:hideMark/>
          </w:tcPr>
          <w:p w:rsidR="0067180B" w:rsidRPr="005F702C" w:rsidRDefault="0067180B" w:rsidP="00165247">
            <w:pPr>
              <w:spacing w:before="0" w:line="240" w:lineRule="auto"/>
              <w:jc w:val="center"/>
              <w:textAlignment w:val="top"/>
              <w:rPr>
                <w:rFonts w:ascii="Times New Roman" w:eastAsia="Times New Roman" w:hAnsi="Times New Roman" w:cs="Times New Roman"/>
                <w:b w:val="0"/>
                <w:sz w:val="2"/>
                <w:szCs w:val="2"/>
                <w:lang w:eastAsia="en-AU"/>
              </w:rPr>
            </w:pPr>
            <w:r w:rsidRPr="005F702C">
              <w:rPr>
                <w:rFonts w:eastAsia="Times New Roman" w:cs="Arial"/>
                <w:b w:val="0"/>
                <w:color w:val="FFFFFF"/>
                <w:sz w:val="18"/>
                <w:szCs w:val="18"/>
                <w:lang w:eastAsia="en-AU"/>
              </w:rPr>
              <w:t>Capacity rebid</w:t>
            </w:r>
            <w:r w:rsidRPr="005F702C">
              <w:rPr>
                <w:rFonts w:eastAsia="Times New Roman" w:cs="Arial"/>
                <w:b w:val="0"/>
                <w:color w:val="FFFFFF"/>
                <w:sz w:val="18"/>
                <w:szCs w:val="18"/>
                <w:lang w:eastAsia="en-AU"/>
              </w:rPr>
              <w:br/>
              <w:t>(MW)</w:t>
            </w:r>
          </w:p>
        </w:tc>
        <w:tc>
          <w:tcPr>
            <w:tcW w:w="906" w:type="dxa"/>
            <w:hideMark/>
          </w:tcPr>
          <w:p w:rsidR="0067180B" w:rsidRPr="005F702C" w:rsidRDefault="0067180B" w:rsidP="00165247">
            <w:pPr>
              <w:spacing w:before="0" w:line="240" w:lineRule="auto"/>
              <w:jc w:val="center"/>
              <w:textAlignment w:val="top"/>
              <w:rPr>
                <w:rFonts w:ascii="Times New Roman" w:eastAsia="Times New Roman" w:hAnsi="Times New Roman" w:cs="Times New Roman"/>
                <w:b w:val="0"/>
                <w:sz w:val="2"/>
                <w:szCs w:val="2"/>
                <w:lang w:eastAsia="en-AU"/>
              </w:rPr>
            </w:pPr>
            <w:r w:rsidRPr="005F702C">
              <w:rPr>
                <w:rFonts w:eastAsia="Times New Roman" w:cs="Arial"/>
                <w:b w:val="0"/>
                <w:color w:val="FFFFFF"/>
                <w:sz w:val="18"/>
                <w:szCs w:val="18"/>
                <w:lang w:eastAsia="en-AU"/>
              </w:rPr>
              <w:t>Price from</w:t>
            </w:r>
            <w:r w:rsidRPr="005F702C">
              <w:rPr>
                <w:rFonts w:eastAsia="Times New Roman" w:cs="Arial"/>
                <w:b w:val="0"/>
                <w:color w:val="FFFFFF"/>
                <w:sz w:val="18"/>
                <w:szCs w:val="18"/>
                <w:lang w:eastAsia="en-AU"/>
              </w:rPr>
              <w:br/>
              <w:t>($/MWh)</w:t>
            </w:r>
          </w:p>
        </w:tc>
        <w:tc>
          <w:tcPr>
            <w:tcW w:w="906" w:type="dxa"/>
            <w:hideMark/>
          </w:tcPr>
          <w:p w:rsidR="0067180B" w:rsidRPr="005F702C" w:rsidRDefault="0067180B" w:rsidP="00165247">
            <w:pPr>
              <w:spacing w:before="0" w:line="240" w:lineRule="auto"/>
              <w:jc w:val="center"/>
              <w:textAlignment w:val="top"/>
              <w:rPr>
                <w:rFonts w:ascii="Times New Roman" w:eastAsia="Times New Roman" w:hAnsi="Times New Roman" w:cs="Times New Roman"/>
                <w:b w:val="0"/>
                <w:sz w:val="2"/>
                <w:szCs w:val="2"/>
                <w:lang w:eastAsia="en-AU"/>
              </w:rPr>
            </w:pPr>
            <w:r w:rsidRPr="005F702C">
              <w:rPr>
                <w:rFonts w:eastAsia="Times New Roman" w:cs="Arial"/>
                <w:b w:val="0"/>
                <w:color w:val="FFFFFF"/>
                <w:sz w:val="18"/>
                <w:szCs w:val="18"/>
                <w:lang w:eastAsia="en-AU"/>
              </w:rPr>
              <w:t>Price to</w:t>
            </w:r>
            <w:r w:rsidRPr="005F702C">
              <w:rPr>
                <w:rFonts w:eastAsia="Times New Roman" w:cs="Arial"/>
                <w:b w:val="0"/>
                <w:color w:val="FFFFFF"/>
                <w:sz w:val="18"/>
                <w:szCs w:val="18"/>
                <w:lang w:eastAsia="en-AU"/>
              </w:rPr>
              <w:br/>
              <w:t>($/MWh)</w:t>
            </w:r>
          </w:p>
        </w:tc>
        <w:tc>
          <w:tcPr>
            <w:tcW w:w="1947" w:type="dxa"/>
            <w:hideMark/>
          </w:tcPr>
          <w:p w:rsidR="0067180B" w:rsidRPr="005F702C" w:rsidRDefault="0067180B" w:rsidP="00165247">
            <w:pPr>
              <w:spacing w:before="0" w:line="240" w:lineRule="auto"/>
              <w:jc w:val="center"/>
              <w:textAlignment w:val="top"/>
              <w:rPr>
                <w:rFonts w:eastAsia="Times New Roman" w:cs="Arial"/>
                <w:b w:val="0"/>
                <w:color w:val="FFFFFF"/>
                <w:sz w:val="18"/>
                <w:szCs w:val="18"/>
                <w:lang w:eastAsia="en-AU"/>
              </w:rPr>
            </w:pPr>
            <w:r w:rsidRPr="005F702C">
              <w:rPr>
                <w:rFonts w:eastAsia="Times New Roman" w:cs="Arial"/>
                <w:b w:val="0"/>
                <w:color w:val="FFFFFF"/>
                <w:sz w:val="18"/>
                <w:szCs w:val="18"/>
                <w:lang w:eastAsia="en-AU"/>
              </w:rPr>
              <w:t>Rebid reason</w:t>
            </w:r>
          </w:p>
        </w:tc>
      </w:tr>
      <w:tr w:rsidR="005F702C" w:rsidRPr="009C77CC" w:rsidTr="005F702C">
        <w:trPr>
          <w:trHeight w:val="582"/>
        </w:trPr>
        <w:tc>
          <w:tcPr>
            <w:tcW w:w="1032" w:type="dxa"/>
            <w:vAlign w:val="center"/>
          </w:tcPr>
          <w:p w:rsidR="005F702C" w:rsidRPr="00F50B5A" w:rsidRDefault="005F702C">
            <w:pPr>
              <w:jc w:val="center"/>
              <w:textAlignment w:val="center"/>
              <w:rPr>
                <w:rFonts w:cs="Arial"/>
                <w:color w:val="000000"/>
                <w:szCs w:val="18"/>
              </w:rPr>
            </w:pPr>
            <w:r w:rsidRPr="00F50B5A">
              <w:rPr>
                <w:rFonts w:cs="Arial"/>
                <w:color w:val="000000"/>
                <w:szCs w:val="18"/>
              </w:rPr>
              <w:t>10.59 am</w:t>
            </w:r>
          </w:p>
        </w:tc>
        <w:tc>
          <w:tcPr>
            <w:tcW w:w="980" w:type="dxa"/>
            <w:vAlign w:val="center"/>
          </w:tcPr>
          <w:p w:rsidR="005F702C" w:rsidRPr="00F50B5A" w:rsidRDefault="005F702C">
            <w:pPr>
              <w:jc w:val="center"/>
              <w:textAlignment w:val="center"/>
              <w:rPr>
                <w:rFonts w:cs="Arial"/>
                <w:color w:val="000000"/>
                <w:szCs w:val="18"/>
              </w:rPr>
            </w:pPr>
            <w:r w:rsidRPr="00F50B5A">
              <w:rPr>
                <w:rFonts w:cs="Arial"/>
                <w:color w:val="000000"/>
                <w:szCs w:val="18"/>
              </w:rPr>
              <w:t>11.05 am</w:t>
            </w:r>
          </w:p>
        </w:tc>
        <w:tc>
          <w:tcPr>
            <w:tcW w:w="1525" w:type="dxa"/>
            <w:vAlign w:val="center"/>
          </w:tcPr>
          <w:p w:rsidR="005F702C" w:rsidRPr="00F50B5A" w:rsidRDefault="005F702C">
            <w:pPr>
              <w:textAlignment w:val="center"/>
              <w:rPr>
                <w:rFonts w:cs="Arial"/>
                <w:color w:val="000000"/>
                <w:szCs w:val="18"/>
              </w:rPr>
            </w:pPr>
            <w:proofErr w:type="spellStart"/>
            <w:r w:rsidRPr="00F50B5A">
              <w:rPr>
                <w:rFonts w:cs="Arial"/>
                <w:color w:val="000000"/>
                <w:szCs w:val="18"/>
              </w:rPr>
              <w:t>Ecogen</w:t>
            </w:r>
            <w:proofErr w:type="spellEnd"/>
            <w:r w:rsidRPr="00F50B5A">
              <w:rPr>
                <w:rFonts w:cs="Arial"/>
                <w:color w:val="000000"/>
                <w:szCs w:val="18"/>
              </w:rPr>
              <w:t xml:space="preserve"> Energy</w:t>
            </w:r>
          </w:p>
        </w:tc>
        <w:tc>
          <w:tcPr>
            <w:tcW w:w="1167" w:type="dxa"/>
            <w:vAlign w:val="center"/>
          </w:tcPr>
          <w:p w:rsidR="005F702C" w:rsidRPr="00F50B5A" w:rsidRDefault="005F702C">
            <w:pPr>
              <w:textAlignment w:val="center"/>
              <w:rPr>
                <w:rFonts w:cs="Arial"/>
                <w:color w:val="000000"/>
                <w:szCs w:val="18"/>
              </w:rPr>
            </w:pPr>
            <w:r w:rsidRPr="00F50B5A">
              <w:rPr>
                <w:rFonts w:cs="Arial"/>
                <w:color w:val="000000"/>
                <w:szCs w:val="18"/>
              </w:rPr>
              <w:t>Newport</w:t>
            </w:r>
          </w:p>
        </w:tc>
        <w:tc>
          <w:tcPr>
            <w:tcW w:w="949" w:type="dxa"/>
            <w:vAlign w:val="center"/>
          </w:tcPr>
          <w:p w:rsidR="005F702C" w:rsidRPr="00F50B5A" w:rsidRDefault="005F702C">
            <w:pPr>
              <w:jc w:val="center"/>
              <w:textAlignment w:val="center"/>
              <w:rPr>
                <w:rFonts w:cs="Arial"/>
                <w:color w:val="000000"/>
                <w:szCs w:val="18"/>
              </w:rPr>
            </w:pPr>
            <w:r w:rsidRPr="00F50B5A">
              <w:rPr>
                <w:rFonts w:cs="Arial"/>
                <w:color w:val="000000"/>
                <w:szCs w:val="18"/>
              </w:rPr>
              <w:t>50</w:t>
            </w:r>
          </w:p>
        </w:tc>
        <w:tc>
          <w:tcPr>
            <w:tcW w:w="906" w:type="dxa"/>
            <w:vAlign w:val="center"/>
          </w:tcPr>
          <w:p w:rsidR="005F702C" w:rsidRPr="00F50B5A" w:rsidRDefault="005F702C">
            <w:pPr>
              <w:jc w:val="center"/>
              <w:textAlignment w:val="center"/>
              <w:rPr>
                <w:rFonts w:cs="Arial"/>
                <w:color w:val="000000"/>
                <w:szCs w:val="18"/>
              </w:rPr>
            </w:pPr>
            <w:r w:rsidRPr="00F50B5A">
              <w:rPr>
                <w:rFonts w:cs="Arial"/>
                <w:color w:val="000000"/>
                <w:szCs w:val="18"/>
              </w:rPr>
              <w:t>59</w:t>
            </w:r>
          </w:p>
        </w:tc>
        <w:tc>
          <w:tcPr>
            <w:tcW w:w="906" w:type="dxa"/>
            <w:vAlign w:val="center"/>
          </w:tcPr>
          <w:p w:rsidR="005F702C" w:rsidRPr="00F50B5A" w:rsidRDefault="005F702C">
            <w:pPr>
              <w:jc w:val="center"/>
              <w:textAlignment w:val="center"/>
              <w:rPr>
                <w:rFonts w:cs="Arial"/>
                <w:color w:val="000000"/>
                <w:szCs w:val="18"/>
              </w:rPr>
            </w:pPr>
            <w:r w:rsidRPr="00F50B5A">
              <w:rPr>
                <w:rFonts w:cs="Arial"/>
                <w:color w:val="000000"/>
                <w:szCs w:val="18"/>
              </w:rPr>
              <w:t>13 051</w:t>
            </w:r>
          </w:p>
        </w:tc>
        <w:tc>
          <w:tcPr>
            <w:tcW w:w="1947" w:type="dxa"/>
            <w:vAlign w:val="center"/>
          </w:tcPr>
          <w:p w:rsidR="005F702C" w:rsidRPr="00F50B5A" w:rsidRDefault="005F702C">
            <w:pPr>
              <w:textAlignment w:val="center"/>
              <w:rPr>
                <w:rFonts w:cs="Arial"/>
                <w:color w:val="000000"/>
                <w:szCs w:val="18"/>
              </w:rPr>
            </w:pPr>
            <w:r w:rsidRPr="00F50B5A">
              <w:rPr>
                <w:rFonts w:cs="Arial"/>
                <w:color w:val="000000"/>
                <w:szCs w:val="18"/>
              </w:rPr>
              <w:t>10:58 P ADJ BANDS DUE TO DWGM DEV POSN - WUGS ISSUES SL</w:t>
            </w:r>
          </w:p>
        </w:tc>
      </w:tr>
      <w:tr w:rsidR="005F702C" w:rsidRPr="009C77CC" w:rsidTr="005F702C">
        <w:trPr>
          <w:cnfStyle w:val="000000010000" w:firstRow="0" w:lastRow="0" w:firstColumn="0" w:lastColumn="0" w:oddVBand="0" w:evenVBand="0" w:oddHBand="0" w:evenHBand="1" w:firstRowFirstColumn="0" w:firstRowLastColumn="0" w:lastRowFirstColumn="0" w:lastRowLastColumn="0"/>
          <w:trHeight w:val="582"/>
        </w:trPr>
        <w:tc>
          <w:tcPr>
            <w:tcW w:w="1032" w:type="dxa"/>
            <w:vAlign w:val="center"/>
          </w:tcPr>
          <w:p w:rsidR="005F702C" w:rsidRPr="00367475" w:rsidRDefault="005F702C">
            <w:pPr>
              <w:jc w:val="center"/>
              <w:textAlignment w:val="center"/>
              <w:rPr>
                <w:rFonts w:cs="Arial"/>
                <w:color w:val="000000"/>
                <w:sz w:val="18"/>
                <w:szCs w:val="18"/>
              </w:rPr>
            </w:pPr>
            <w:r w:rsidRPr="00367475">
              <w:rPr>
                <w:rFonts w:cs="Arial"/>
                <w:color w:val="000000"/>
                <w:sz w:val="18"/>
                <w:szCs w:val="18"/>
              </w:rPr>
              <w:t>11.01 am</w:t>
            </w:r>
          </w:p>
        </w:tc>
        <w:tc>
          <w:tcPr>
            <w:tcW w:w="980" w:type="dxa"/>
            <w:vAlign w:val="center"/>
          </w:tcPr>
          <w:p w:rsidR="005F702C" w:rsidRPr="00226F1D" w:rsidRDefault="005F702C">
            <w:pPr>
              <w:jc w:val="center"/>
              <w:textAlignment w:val="center"/>
              <w:rPr>
                <w:rFonts w:cs="Arial"/>
                <w:color w:val="000000"/>
                <w:sz w:val="18"/>
                <w:szCs w:val="18"/>
              </w:rPr>
            </w:pPr>
            <w:r w:rsidRPr="00226F1D">
              <w:rPr>
                <w:rFonts w:cs="Arial"/>
                <w:color w:val="000000"/>
                <w:sz w:val="18"/>
                <w:szCs w:val="18"/>
              </w:rPr>
              <w:t>11.10 am</w:t>
            </w:r>
          </w:p>
        </w:tc>
        <w:tc>
          <w:tcPr>
            <w:tcW w:w="1525" w:type="dxa"/>
            <w:vAlign w:val="center"/>
          </w:tcPr>
          <w:p w:rsidR="005F702C" w:rsidRPr="0025254E" w:rsidRDefault="005F702C">
            <w:pPr>
              <w:textAlignment w:val="center"/>
              <w:rPr>
                <w:rFonts w:cs="Arial"/>
                <w:color w:val="000000"/>
                <w:sz w:val="18"/>
                <w:szCs w:val="18"/>
              </w:rPr>
            </w:pPr>
            <w:r w:rsidRPr="0025254E">
              <w:rPr>
                <w:rFonts w:cs="Arial"/>
                <w:color w:val="000000"/>
                <w:sz w:val="18"/>
                <w:szCs w:val="18"/>
              </w:rPr>
              <w:t>Origin Energy</w:t>
            </w:r>
          </w:p>
        </w:tc>
        <w:tc>
          <w:tcPr>
            <w:tcW w:w="1167" w:type="dxa"/>
            <w:vAlign w:val="center"/>
          </w:tcPr>
          <w:p w:rsidR="005F702C" w:rsidRPr="0025254E" w:rsidRDefault="005F702C">
            <w:pPr>
              <w:textAlignment w:val="center"/>
              <w:rPr>
                <w:rFonts w:cs="Arial"/>
                <w:color w:val="000000"/>
                <w:sz w:val="18"/>
                <w:szCs w:val="18"/>
              </w:rPr>
            </w:pPr>
            <w:r w:rsidRPr="0025254E">
              <w:rPr>
                <w:rFonts w:cs="Arial"/>
                <w:color w:val="000000"/>
                <w:sz w:val="18"/>
                <w:szCs w:val="18"/>
              </w:rPr>
              <w:t>Mortlake</w:t>
            </w:r>
          </w:p>
        </w:tc>
        <w:tc>
          <w:tcPr>
            <w:tcW w:w="949" w:type="dxa"/>
            <w:vAlign w:val="center"/>
          </w:tcPr>
          <w:p w:rsidR="005F702C" w:rsidRPr="0025254E" w:rsidRDefault="005F702C">
            <w:pPr>
              <w:jc w:val="center"/>
              <w:textAlignment w:val="center"/>
              <w:rPr>
                <w:rFonts w:cs="Arial"/>
                <w:color w:val="000000"/>
                <w:sz w:val="18"/>
                <w:szCs w:val="18"/>
              </w:rPr>
            </w:pPr>
            <w:r w:rsidRPr="0025254E">
              <w:rPr>
                <w:rFonts w:cs="Arial"/>
                <w:color w:val="000000"/>
                <w:sz w:val="18"/>
                <w:szCs w:val="18"/>
              </w:rPr>
              <w:t>248</w:t>
            </w:r>
          </w:p>
        </w:tc>
        <w:tc>
          <w:tcPr>
            <w:tcW w:w="906" w:type="dxa"/>
            <w:vAlign w:val="center"/>
          </w:tcPr>
          <w:p w:rsidR="005F702C" w:rsidRPr="0025254E" w:rsidRDefault="005F702C">
            <w:pPr>
              <w:jc w:val="center"/>
              <w:textAlignment w:val="center"/>
              <w:rPr>
                <w:rFonts w:cs="Arial"/>
                <w:color w:val="000000"/>
                <w:sz w:val="18"/>
                <w:szCs w:val="18"/>
              </w:rPr>
            </w:pPr>
            <w:r w:rsidRPr="0025254E">
              <w:rPr>
                <w:rFonts w:cs="Arial"/>
                <w:color w:val="000000"/>
                <w:sz w:val="18"/>
                <w:szCs w:val="18"/>
              </w:rPr>
              <w:t>-1000</w:t>
            </w:r>
          </w:p>
        </w:tc>
        <w:tc>
          <w:tcPr>
            <w:tcW w:w="906" w:type="dxa"/>
            <w:vAlign w:val="center"/>
          </w:tcPr>
          <w:p w:rsidR="005F702C" w:rsidRPr="0025254E" w:rsidRDefault="005F702C">
            <w:pPr>
              <w:jc w:val="center"/>
              <w:textAlignment w:val="center"/>
              <w:rPr>
                <w:rFonts w:cs="Arial"/>
                <w:color w:val="000000"/>
                <w:sz w:val="18"/>
                <w:szCs w:val="18"/>
              </w:rPr>
            </w:pPr>
            <w:r w:rsidRPr="0025254E">
              <w:rPr>
                <w:rFonts w:cs="Arial"/>
                <w:color w:val="000000"/>
                <w:sz w:val="18"/>
                <w:szCs w:val="18"/>
              </w:rPr>
              <w:t>13 800</w:t>
            </w:r>
          </w:p>
        </w:tc>
        <w:tc>
          <w:tcPr>
            <w:tcW w:w="1947" w:type="dxa"/>
            <w:vAlign w:val="center"/>
          </w:tcPr>
          <w:p w:rsidR="005F702C" w:rsidRPr="0025254E" w:rsidRDefault="005F702C">
            <w:pPr>
              <w:textAlignment w:val="center"/>
              <w:rPr>
                <w:rFonts w:cs="Arial"/>
                <w:color w:val="000000"/>
                <w:sz w:val="18"/>
                <w:szCs w:val="18"/>
              </w:rPr>
            </w:pPr>
            <w:r w:rsidRPr="0025254E">
              <w:rPr>
                <w:rFonts w:cs="Arial"/>
                <w:color w:val="000000"/>
                <w:sz w:val="18"/>
                <w:szCs w:val="18"/>
              </w:rPr>
              <w:t>1100P MANAGEMENT OF FUEL AND LINEPACK SL</w:t>
            </w:r>
          </w:p>
        </w:tc>
      </w:tr>
      <w:tr w:rsidR="005F702C" w:rsidRPr="009C77CC" w:rsidTr="005F702C">
        <w:trPr>
          <w:trHeight w:val="582"/>
        </w:trPr>
        <w:tc>
          <w:tcPr>
            <w:tcW w:w="1032" w:type="dxa"/>
            <w:vAlign w:val="center"/>
          </w:tcPr>
          <w:p w:rsidR="005F702C" w:rsidRPr="00367475" w:rsidRDefault="005F702C">
            <w:pPr>
              <w:jc w:val="center"/>
              <w:textAlignment w:val="center"/>
              <w:rPr>
                <w:rFonts w:cs="Arial"/>
                <w:color w:val="000000"/>
                <w:szCs w:val="18"/>
              </w:rPr>
            </w:pPr>
            <w:r w:rsidRPr="00367475">
              <w:rPr>
                <w:rFonts w:cs="Arial"/>
                <w:color w:val="000000"/>
                <w:szCs w:val="18"/>
              </w:rPr>
              <w:lastRenderedPageBreak/>
              <w:t>12.16 pm</w:t>
            </w:r>
          </w:p>
        </w:tc>
        <w:tc>
          <w:tcPr>
            <w:tcW w:w="980" w:type="dxa"/>
            <w:vAlign w:val="center"/>
          </w:tcPr>
          <w:p w:rsidR="005F702C" w:rsidRPr="00226F1D" w:rsidRDefault="005F702C">
            <w:pPr>
              <w:jc w:val="center"/>
              <w:rPr>
                <w:sz w:val="24"/>
                <w:szCs w:val="24"/>
              </w:rPr>
            </w:pPr>
            <w:r w:rsidRPr="00226F1D">
              <w:t> </w:t>
            </w:r>
          </w:p>
        </w:tc>
        <w:tc>
          <w:tcPr>
            <w:tcW w:w="1525" w:type="dxa"/>
            <w:vAlign w:val="center"/>
          </w:tcPr>
          <w:p w:rsidR="005F702C" w:rsidRPr="0025254E" w:rsidRDefault="005F702C">
            <w:pPr>
              <w:textAlignment w:val="center"/>
              <w:rPr>
                <w:rFonts w:cs="Arial"/>
                <w:color w:val="000000"/>
                <w:szCs w:val="18"/>
              </w:rPr>
            </w:pPr>
            <w:r w:rsidRPr="0025254E">
              <w:rPr>
                <w:rFonts w:cs="Arial"/>
                <w:color w:val="000000"/>
                <w:szCs w:val="18"/>
              </w:rPr>
              <w:t>AGL Energy</w:t>
            </w:r>
          </w:p>
        </w:tc>
        <w:tc>
          <w:tcPr>
            <w:tcW w:w="1167" w:type="dxa"/>
            <w:vAlign w:val="center"/>
          </w:tcPr>
          <w:p w:rsidR="005F702C" w:rsidRPr="0025254E" w:rsidRDefault="005F702C">
            <w:pPr>
              <w:textAlignment w:val="center"/>
              <w:rPr>
                <w:rFonts w:cs="Arial"/>
                <w:color w:val="000000"/>
                <w:szCs w:val="18"/>
              </w:rPr>
            </w:pPr>
            <w:r w:rsidRPr="0025254E">
              <w:rPr>
                <w:rFonts w:cs="Arial"/>
                <w:color w:val="000000"/>
                <w:szCs w:val="18"/>
              </w:rPr>
              <w:t>Loy Yang A</w:t>
            </w:r>
          </w:p>
        </w:tc>
        <w:tc>
          <w:tcPr>
            <w:tcW w:w="949" w:type="dxa"/>
            <w:vAlign w:val="center"/>
          </w:tcPr>
          <w:p w:rsidR="005F702C" w:rsidRPr="0025254E" w:rsidRDefault="005F702C">
            <w:pPr>
              <w:jc w:val="center"/>
              <w:textAlignment w:val="center"/>
              <w:rPr>
                <w:rFonts w:cs="Arial"/>
                <w:color w:val="000000"/>
                <w:szCs w:val="18"/>
              </w:rPr>
            </w:pPr>
            <w:r w:rsidRPr="0025254E">
              <w:rPr>
                <w:rFonts w:cs="Arial"/>
                <w:color w:val="000000"/>
                <w:szCs w:val="18"/>
              </w:rPr>
              <w:t>120</w:t>
            </w:r>
          </w:p>
        </w:tc>
        <w:tc>
          <w:tcPr>
            <w:tcW w:w="906" w:type="dxa"/>
            <w:vAlign w:val="center"/>
          </w:tcPr>
          <w:p w:rsidR="005F702C" w:rsidRPr="0025254E" w:rsidRDefault="005F702C">
            <w:pPr>
              <w:jc w:val="center"/>
              <w:textAlignment w:val="center"/>
              <w:rPr>
                <w:rFonts w:cs="Arial"/>
                <w:color w:val="000000"/>
                <w:szCs w:val="18"/>
              </w:rPr>
            </w:pPr>
            <w:r w:rsidRPr="0025254E">
              <w:rPr>
                <w:rFonts w:cs="Arial"/>
                <w:color w:val="000000"/>
                <w:szCs w:val="18"/>
              </w:rPr>
              <w:t>32</w:t>
            </w:r>
          </w:p>
        </w:tc>
        <w:tc>
          <w:tcPr>
            <w:tcW w:w="906" w:type="dxa"/>
            <w:vAlign w:val="center"/>
          </w:tcPr>
          <w:p w:rsidR="005F702C" w:rsidRPr="0025254E" w:rsidRDefault="005F702C">
            <w:pPr>
              <w:jc w:val="center"/>
              <w:textAlignment w:val="center"/>
              <w:rPr>
                <w:rFonts w:cs="Arial"/>
                <w:color w:val="000000"/>
                <w:szCs w:val="18"/>
              </w:rPr>
            </w:pPr>
            <w:r w:rsidRPr="0025254E">
              <w:rPr>
                <w:rFonts w:cs="Arial"/>
                <w:color w:val="000000"/>
                <w:szCs w:val="18"/>
              </w:rPr>
              <w:t>500</w:t>
            </w:r>
          </w:p>
        </w:tc>
        <w:tc>
          <w:tcPr>
            <w:tcW w:w="1947" w:type="dxa"/>
            <w:vAlign w:val="center"/>
          </w:tcPr>
          <w:p w:rsidR="005F702C" w:rsidRPr="0025254E" w:rsidRDefault="005F702C">
            <w:pPr>
              <w:textAlignment w:val="center"/>
              <w:rPr>
                <w:rFonts w:cs="Arial"/>
                <w:color w:val="000000"/>
                <w:szCs w:val="18"/>
              </w:rPr>
            </w:pPr>
            <w:r w:rsidRPr="0025254E">
              <w:rPr>
                <w:rFonts w:cs="Arial"/>
                <w:color w:val="000000"/>
                <w:szCs w:val="18"/>
              </w:rPr>
              <w:t>1210~A~040 CHG IN AEMO DISP~45 PRICE INCREASE VS PD VIC $249.05 VS $90.70</w:t>
            </w:r>
          </w:p>
        </w:tc>
      </w:tr>
      <w:tr w:rsidR="005F702C" w:rsidRPr="009C77CC" w:rsidTr="005F702C">
        <w:trPr>
          <w:cnfStyle w:val="000000010000" w:firstRow="0" w:lastRow="0" w:firstColumn="0" w:lastColumn="0" w:oddVBand="0" w:evenVBand="0" w:oddHBand="0" w:evenHBand="1" w:firstRowFirstColumn="0" w:firstRowLastColumn="0" w:lastRowFirstColumn="0" w:lastRowLastColumn="0"/>
          <w:trHeight w:val="582"/>
        </w:trPr>
        <w:tc>
          <w:tcPr>
            <w:tcW w:w="1032" w:type="dxa"/>
            <w:vAlign w:val="center"/>
          </w:tcPr>
          <w:p w:rsidR="005F702C" w:rsidRPr="00367475" w:rsidRDefault="005F702C">
            <w:pPr>
              <w:jc w:val="center"/>
              <w:textAlignment w:val="center"/>
              <w:rPr>
                <w:rFonts w:cs="Arial"/>
                <w:color w:val="000000"/>
                <w:sz w:val="18"/>
                <w:szCs w:val="18"/>
              </w:rPr>
            </w:pPr>
            <w:r w:rsidRPr="00367475">
              <w:rPr>
                <w:rFonts w:cs="Arial"/>
                <w:color w:val="000000"/>
                <w:sz w:val="18"/>
                <w:szCs w:val="18"/>
              </w:rPr>
              <w:t>12.41 pm</w:t>
            </w:r>
          </w:p>
        </w:tc>
        <w:tc>
          <w:tcPr>
            <w:tcW w:w="980" w:type="dxa"/>
            <w:vAlign w:val="center"/>
          </w:tcPr>
          <w:p w:rsidR="005F702C" w:rsidRPr="00226F1D" w:rsidRDefault="005F702C">
            <w:pPr>
              <w:jc w:val="center"/>
              <w:rPr>
                <w:sz w:val="24"/>
                <w:szCs w:val="24"/>
              </w:rPr>
            </w:pPr>
            <w:r w:rsidRPr="00226F1D">
              <w:t> </w:t>
            </w:r>
          </w:p>
        </w:tc>
        <w:tc>
          <w:tcPr>
            <w:tcW w:w="1525" w:type="dxa"/>
            <w:vAlign w:val="center"/>
          </w:tcPr>
          <w:p w:rsidR="005F702C" w:rsidRPr="0025254E" w:rsidRDefault="005F702C">
            <w:pPr>
              <w:textAlignment w:val="center"/>
              <w:rPr>
                <w:rFonts w:cs="Arial"/>
                <w:color w:val="000000"/>
                <w:sz w:val="18"/>
                <w:szCs w:val="18"/>
              </w:rPr>
            </w:pPr>
            <w:r w:rsidRPr="0025254E">
              <w:rPr>
                <w:rFonts w:cs="Arial"/>
                <w:color w:val="000000"/>
                <w:sz w:val="18"/>
                <w:szCs w:val="18"/>
              </w:rPr>
              <w:t>Origin Energy</w:t>
            </w:r>
          </w:p>
        </w:tc>
        <w:tc>
          <w:tcPr>
            <w:tcW w:w="1167" w:type="dxa"/>
            <w:vAlign w:val="center"/>
          </w:tcPr>
          <w:p w:rsidR="005F702C" w:rsidRPr="0025254E" w:rsidRDefault="005F702C">
            <w:pPr>
              <w:textAlignment w:val="center"/>
              <w:rPr>
                <w:rFonts w:cs="Arial"/>
                <w:color w:val="000000"/>
                <w:sz w:val="18"/>
                <w:szCs w:val="18"/>
              </w:rPr>
            </w:pPr>
            <w:r w:rsidRPr="0025254E">
              <w:rPr>
                <w:rFonts w:cs="Arial"/>
                <w:color w:val="000000"/>
                <w:sz w:val="18"/>
                <w:szCs w:val="18"/>
              </w:rPr>
              <w:t>Mortlake</w:t>
            </w:r>
          </w:p>
        </w:tc>
        <w:tc>
          <w:tcPr>
            <w:tcW w:w="949" w:type="dxa"/>
            <w:vAlign w:val="center"/>
          </w:tcPr>
          <w:p w:rsidR="005F702C" w:rsidRPr="0025254E" w:rsidRDefault="005F702C">
            <w:pPr>
              <w:jc w:val="center"/>
              <w:textAlignment w:val="center"/>
              <w:rPr>
                <w:rFonts w:cs="Arial"/>
                <w:color w:val="000000"/>
                <w:sz w:val="18"/>
                <w:szCs w:val="18"/>
              </w:rPr>
            </w:pPr>
            <w:r w:rsidRPr="0025254E">
              <w:rPr>
                <w:rFonts w:cs="Arial"/>
                <w:color w:val="000000"/>
                <w:sz w:val="18"/>
                <w:szCs w:val="18"/>
              </w:rPr>
              <w:t>248</w:t>
            </w:r>
          </w:p>
        </w:tc>
        <w:tc>
          <w:tcPr>
            <w:tcW w:w="906" w:type="dxa"/>
            <w:vAlign w:val="center"/>
          </w:tcPr>
          <w:p w:rsidR="005F702C" w:rsidRPr="0025254E" w:rsidRDefault="005F702C">
            <w:pPr>
              <w:jc w:val="center"/>
              <w:textAlignment w:val="center"/>
              <w:rPr>
                <w:rFonts w:cs="Arial"/>
                <w:color w:val="000000"/>
                <w:sz w:val="18"/>
                <w:szCs w:val="18"/>
              </w:rPr>
            </w:pPr>
            <w:r w:rsidRPr="0025254E">
              <w:rPr>
                <w:rFonts w:cs="Arial"/>
                <w:color w:val="000000"/>
                <w:sz w:val="18"/>
                <w:szCs w:val="18"/>
              </w:rPr>
              <w:t>-1000</w:t>
            </w:r>
          </w:p>
        </w:tc>
        <w:tc>
          <w:tcPr>
            <w:tcW w:w="906" w:type="dxa"/>
            <w:vAlign w:val="center"/>
          </w:tcPr>
          <w:p w:rsidR="005F702C" w:rsidRPr="0025254E" w:rsidRDefault="005F702C">
            <w:pPr>
              <w:jc w:val="center"/>
              <w:textAlignment w:val="center"/>
              <w:rPr>
                <w:rFonts w:cs="Arial"/>
                <w:color w:val="000000"/>
                <w:sz w:val="18"/>
                <w:szCs w:val="18"/>
              </w:rPr>
            </w:pPr>
            <w:r w:rsidRPr="0025254E">
              <w:rPr>
                <w:rFonts w:cs="Arial"/>
                <w:color w:val="000000"/>
                <w:sz w:val="18"/>
                <w:szCs w:val="18"/>
              </w:rPr>
              <w:t>13 800</w:t>
            </w:r>
          </w:p>
        </w:tc>
        <w:tc>
          <w:tcPr>
            <w:tcW w:w="1947" w:type="dxa"/>
            <w:vAlign w:val="center"/>
          </w:tcPr>
          <w:p w:rsidR="005F702C" w:rsidRPr="0025254E" w:rsidRDefault="005F702C">
            <w:pPr>
              <w:textAlignment w:val="center"/>
              <w:rPr>
                <w:rFonts w:cs="Arial"/>
                <w:color w:val="000000"/>
                <w:sz w:val="18"/>
                <w:szCs w:val="18"/>
              </w:rPr>
            </w:pPr>
            <w:r w:rsidRPr="0025254E">
              <w:rPr>
                <w:rFonts w:cs="Arial"/>
                <w:color w:val="000000"/>
                <w:sz w:val="18"/>
                <w:szCs w:val="18"/>
              </w:rPr>
              <w:t>1240P MANAGEMENT OF FUEL AND LINEPACK SL</w:t>
            </w:r>
          </w:p>
        </w:tc>
      </w:tr>
      <w:tr w:rsidR="005F702C" w:rsidRPr="009C77CC" w:rsidTr="005F702C">
        <w:trPr>
          <w:trHeight w:val="582"/>
        </w:trPr>
        <w:tc>
          <w:tcPr>
            <w:tcW w:w="1032" w:type="dxa"/>
            <w:vAlign w:val="center"/>
          </w:tcPr>
          <w:p w:rsidR="005F702C" w:rsidRPr="00367475" w:rsidRDefault="005F702C">
            <w:pPr>
              <w:jc w:val="center"/>
              <w:textAlignment w:val="center"/>
              <w:rPr>
                <w:rFonts w:cs="Arial"/>
                <w:color w:val="000000"/>
                <w:szCs w:val="18"/>
              </w:rPr>
            </w:pPr>
            <w:r w:rsidRPr="00367475">
              <w:rPr>
                <w:rFonts w:cs="Arial"/>
                <w:color w:val="000000"/>
                <w:szCs w:val="18"/>
              </w:rPr>
              <w:t>1.47 pm</w:t>
            </w:r>
          </w:p>
        </w:tc>
        <w:tc>
          <w:tcPr>
            <w:tcW w:w="980" w:type="dxa"/>
            <w:vAlign w:val="center"/>
          </w:tcPr>
          <w:p w:rsidR="005F702C" w:rsidRPr="00226F1D" w:rsidRDefault="005F702C">
            <w:pPr>
              <w:jc w:val="center"/>
              <w:rPr>
                <w:sz w:val="24"/>
                <w:szCs w:val="24"/>
              </w:rPr>
            </w:pPr>
            <w:r w:rsidRPr="00226F1D">
              <w:t> </w:t>
            </w:r>
          </w:p>
        </w:tc>
        <w:tc>
          <w:tcPr>
            <w:tcW w:w="1525" w:type="dxa"/>
            <w:vAlign w:val="center"/>
          </w:tcPr>
          <w:p w:rsidR="005F702C" w:rsidRPr="0025254E" w:rsidRDefault="005F702C">
            <w:pPr>
              <w:textAlignment w:val="center"/>
              <w:rPr>
                <w:rFonts w:cs="Arial"/>
                <w:color w:val="000000"/>
                <w:szCs w:val="18"/>
              </w:rPr>
            </w:pPr>
            <w:r w:rsidRPr="0025254E">
              <w:rPr>
                <w:rFonts w:cs="Arial"/>
                <w:color w:val="000000"/>
                <w:szCs w:val="18"/>
              </w:rPr>
              <w:t>Snowy Hydro</w:t>
            </w:r>
          </w:p>
        </w:tc>
        <w:tc>
          <w:tcPr>
            <w:tcW w:w="1167" w:type="dxa"/>
            <w:vAlign w:val="center"/>
          </w:tcPr>
          <w:p w:rsidR="005F702C" w:rsidRPr="0025254E" w:rsidRDefault="005F702C">
            <w:pPr>
              <w:textAlignment w:val="center"/>
              <w:rPr>
                <w:rFonts w:cs="Arial"/>
                <w:color w:val="000000"/>
                <w:szCs w:val="18"/>
              </w:rPr>
            </w:pPr>
            <w:r w:rsidRPr="0025254E">
              <w:rPr>
                <w:rFonts w:cs="Arial"/>
                <w:color w:val="000000"/>
                <w:szCs w:val="18"/>
              </w:rPr>
              <w:t>Murray</w:t>
            </w:r>
          </w:p>
        </w:tc>
        <w:tc>
          <w:tcPr>
            <w:tcW w:w="949" w:type="dxa"/>
            <w:vAlign w:val="center"/>
          </w:tcPr>
          <w:p w:rsidR="005F702C" w:rsidRPr="0025254E" w:rsidRDefault="005F702C">
            <w:pPr>
              <w:jc w:val="center"/>
              <w:textAlignment w:val="center"/>
              <w:rPr>
                <w:rFonts w:cs="Arial"/>
                <w:color w:val="000000"/>
                <w:szCs w:val="18"/>
              </w:rPr>
            </w:pPr>
            <w:r w:rsidRPr="0025254E">
              <w:rPr>
                <w:rFonts w:cs="Arial"/>
                <w:color w:val="000000"/>
                <w:szCs w:val="18"/>
              </w:rPr>
              <w:t>1229</w:t>
            </w:r>
          </w:p>
        </w:tc>
        <w:tc>
          <w:tcPr>
            <w:tcW w:w="906" w:type="dxa"/>
            <w:vAlign w:val="center"/>
          </w:tcPr>
          <w:p w:rsidR="005F702C" w:rsidRPr="0025254E" w:rsidRDefault="005F702C">
            <w:pPr>
              <w:jc w:val="center"/>
              <w:textAlignment w:val="center"/>
              <w:rPr>
                <w:rFonts w:cs="Arial"/>
                <w:color w:val="000000"/>
                <w:szCs w:val="18"/>
              </w:rPr>
            </w:pPr>
            <w:r w:rsidRPr="0025254E">
              <w:rPr>
                <w:rFonts w:cs="Arial"/>
                <w:color w:val="000000"/>
                <w:szCs w:val="18"/>
              </w:rPr>
              <w:t>-1000</w:t>
            </w:r>
          </w:p>
        </w:tc>
        <w:tc>
          <w:tcPr>
            <w:tcW w:w="906" w:type="dxa"/>
            <w:vAlign w:val="center"/>
          </w:tcPr>
          <w:p w:rsidR="005F702C" w:rsidRPr="0025254E" w:rsidRDefault="005F702C">
            <w:pPr>
              <w:jc w:val="center"/>
              <w:textAlignment w:val="center"/>
              <w:rPr>
                <w:rFonts w:cs="Arial"/>
                <w:color w:val="000000"/>
                <w:szCs w:val="18"/>
              </w:rPr>
            </w:pPr>
            <w:r w:rsidRPr="0025254E">
              <w:rPr>
                <w:rFonts w:cs="Arial"/>
                <w:color w:val="000000"/>
                <w:szCs w:val="18"/>
              </w:rPr>
              <w:t>&gt;300</w:t>
            </w:r>
          </w:p>
        </w:tc>
        <w:tc>
          <w:tcPr>
            <w:tcW w:w="1947" w:type="dxa"/>
            <w:vAlign w:val="center"/>
          </w:tcPr>
          <w:p w:rsidR="005F702C" w:rsidRPr="0025254E" w:rsidRDefault="005F702C">
            <w:pPr>
              <w:textAlignment w:val="center"/>
              <w:rPr>
                <w:rFonts w:cs="Arial"/>
                <w:color w:val="000000"/>
                <w:szCs w:val="18"/>
              </w:rPr>
            </w:pPr>
            <w:r w:rsidRPr="0025254E">
              <w:rPr>
                <w:rFonts w:cs="Arial"/>
                <w:color w:val="000000"/>
                <w:szCs w:val="18"/>
              </w:rPr>
              <w:t>13:46 A VIC: 5MPD PRICE $34.21 LWR THN 30MPD 14:35@13:32</w:t>
            </w:r>
          </w:p>
        </w:tc>
      </w:tr>
      <w:tr w:rsidR="005F702C" w:rsidRPr="009C77CC" w:rsidTr="004B42A7">
        <w:trPr>
          <w:cnfStyle w:val="000000010000" w:firstRow="0" w:lastRow="0" w:firstColumn="0" w:lastColumn="0" w:oddVBand="0" w:evenVBand="0" w:oddHBand="0" w:evenHBand="1" w:firstRowFirstColumn="0" w:firstRowLastColumn="0" w:lastRowFirstColumn="0" w:lastRowLastColumn="0"/>
          <w:trHeight w:val="582"/>
        </w:trPr>
        <w:tc>
          <w:tcPr>
            <w:tcW w:w="1032" w:type="dxa"/>
            <w:vAlign w:val="center"/>
          </w:tcPr>
          <w:p w:rsidR="005F702C" w:rsidRPr="00367475" w:rsidRDefault="005F702C">
            <w:pPr>
              <w:jc w:val="center"/>
              <w:textAlignment w:val="center"/>
              <w:rPr>
                <w:rFonts w:cs="Arial"/>
                <w:color w:val="000000"/>
                <w:sz w:val="18"/>
                <w:szCs w:val="18"/>
              </w:rPr>
            </w:pPr>
            <w:r w:rsidRPr="00367475">
              <w:rPr>
                <w:rFonts w:cs="Arial"/>
                <w:color w:val="000000"/>
                <w:sz w:val="18"/>
                <w:szCs w:val="18"/>
              </w:rPr>
              <w:t>3.49 pm</w:t>
            </w:r>
          </w:p>
        </w:tc>
        <w:tc>
          <w:tcPr>
            <w:tcW w:w="980" w:type="dxa"/>
            <w:vAlign w:val="center"/>
          </w:tcPr>
          <w:p w:rsidR="005F702C" w:rsidRPr="00367475" w:rsidRDefault="005F702C">
            <w:pPr>
              <w:jc w:val="center"/>
              <w:textAlignment w:val="center"/>
              <w:rPr>
                <w:rFonts w:cs="Arial"/>
                <w:color w:val="000000"/>
                <w:sz w:val="18"/>
                <w:szCs w:val="18"/>
              </w:rPr>
            </w:pPr>
            <w:r w:rsidRPr="00367475">
              <w:rPr>
                <w:rFonts w:cs="Arial"/>
                <w:color w:val="000000"/>
                <w:sz w:val="18"/>
                <w:szCs w:val="18"/>
              </w:rPr>
              <w:t>4.00 pm</w:t>
            </w:r>
          </w:p>
        </w:tc>
        <w:tc>
          <w:tcPr>
            <w:tcW w:w="1525" w:type="dxa"/>
            <w:vAlign w:val="center"/>
          </w:tcPr>
          <w:p w:rsidR="005F702C" w:rsidRPr="00226F1D" w:rsidRDefault="005F702C">
            <w:pPr>
              <w:textAlignment w:val="center"/>
              <w:rPr>
                <w:rFonts w:cs="Arial"/>
                <w:color w:val="000000"/>
                <w:sz w:val="18"/>
                <w:szCs w:val="18"/>
              </w:rPr>
            </w:pPr>
            <w:r w:rsidRPr="00226F1D">
              <w:rPr>
                <w:rFonts w:cs="Arial"/>
                <w:color w:val="000000"/>
                <w:sz w:val="18"/>
                <w:szCs w:val="18"/>
              </w:rPr>
              <w:t>Origin Energy</w:t>
            </w:r>
          </w:p>
        </w:tc>
        <w:tc>
          <w:tcPr>
            <w:tcW w:w="1167" w:type="dxa"/>
            <w:vAlign w:val="center"/>
          </w:tcPr>
          <w:p w:rsidR="005F702C" w:rsidRPr="0025254E" w:rsidRDefault="005F702C">
            <w:pPr>
              <w:textAlignment w:val="center"/>
              <w:rPr>
                <w:rFonts w:cs="Arial"/>
                <w:color w:val="000000"/>
                <w:sz w:val="18"/>
                <w:szCs w:val="18"/>
              </w:rPr>
            </w:pPr>
            <w:r w:rsidRPr="0025254E">
              <w:rPr>
                <w:rFonts w:cs="Arial"/>
                <w:color w:val="000000"/>
                <w:sz w:val="18"/>
                <w:szCs w:val="18"/>
              </w:rPr>
              <w:t>Mortlake</w:t>
            </w:r>
          </w:p>
        </w:tc>
        <w:tc>
          <w:tcPr>
            <w:tcW w:w="949" w:type="dxa"/>
            <w:vAlign w:val="center"/>
          </w:tcPr>
          <w:p w:rsidR="005F702C" w:rsidRPr="0025254E" w:rsidRDefault="005F702C">
            <w:pPr>
              <w:jc w:val="center"/>
              <w:textAlignment w:val="center"/>
              <w:rPr>
                <w:rFonts w:cs="Arial"/>
                <w:color w:val="000000"/>
                <w:sz w:val="18"/>
                <w:szCs w:val="18"/>
              </w:rPr>
            </w:pPr>
            <w:r w:rsidRPr="0025254E">
              <w:rPr>
                <w:rFonts w:cs="Arial"/>
                <w:color w:val="000000"/>
                <w:sz w:val="18"/>
                <w:szCs w:val="18"/>
              </w:rPr>
              <w:t>248</w:t>
            </w:r>
          </w:p>
        </w:tc>
        <w:tc>
          <w:tcPr>
            <w:tcW w:w="906" w:type="dxa"/>
            <w:vAlign w:val="center"/>
          </w:tcPr>
          <w:p w:rsidR="005F702C" w:rsidRPr="0025254E" w:rsidRDefault="005F702C">
            <w:pPr>
              <w:jc w:val="center"/>
              <w:textAlignment w:val="center"/>
              <w:rPr>
                <w:rFonts w:cs="Arial"/>
                <w:color w:val="000000"/>
                <w:sz w:val="18"/>
                <w:szCs w:val="18"/>
              </w:rPr>
            </w:pPr>
            <w:r w:rsidRPr="0025254E">
              <w:rPr>
                <w:rFonts w:cs="Arial"/>
                <w:color w:val="000000"/>
                <w:sz w:val="18"/>
                <w:szCs w:val="18"/>
              </w:rPr>
              <w:t>-1000</w:t>
            </w:r>
          </w:p>
        </w:tc>
        <w:tc>
          <w:tcPr>
            <w:tcW w:w="906" w:type="dxa"/>
            <w:vAlign w:val="center"/>
          </w:tcPr>
          <w:p w:rsidR="005F702C" w:rsidRPr="0025254E" w:rsidRDefault="005F702C">
            <w:pPr>
              <w:jc w:val="center"/>
              <w:textAlignment w:val="center"/>
              <w:rPr>
                <w:rFonts w:cs="Arial"/>
                <w:color w:val="000000"/>
                <w:sz w:val="18"/>
                <w:szCs w:val="18"/>
              </w:rPr>
            </w:pPr>
            <w:r w:rsidRPr="0025254E">
              <w:rPr>
                <w:rFonts w:cs="Arial"/>
                <w:color w:val="000000"/>
                <w:sz w:val="18"/>
                <w:szCs w:val="18"/>
              </w:rPr>
              <w:t>13800</w:t>
            </w:r>
          </w:p>
        </w:tc>
        <w:tc>
          <w:tcPr>
            <w:tcW w:w="1947" w:type="dxa"/>
            <w:vAlign w:val="center"/>
          </w:tcPr>
          <w:p w:rsidR="005F702C" w:rsidRPr="0025254E" w:rsidRDefault="005F702C">
            <w:pPr>
              <w:textAlignment w:val="center"/>
              <w:rPr>
                <w:rFonts w:cs="Arial"/>
                <w:color w:val="000000"/>
                <w:sz w:val="18"/>
                <w:szCs w:val="18"/>
              </w:rPr>
            </w:pPr>
            <w:r w:rsidRPr="0025254E">
              <w:rPr>
                <w:rFonts w:cs="Arial"/>
                <w:color w:val="000000"/>
                <w:sz w:val="18"/>
                <w:szCs w:val="18"/>
              </w:rPr>
              <w:t>1549P MANAGEMENT OF FUEL AND LINEPACK SL</w:t>
            </w:r>
          </w:p>
        </w:tc>
      </w:tr>
      <w:tr w:rsidR="00E2504E" w:rsidRPr="009C77CC" w:rsidTr="004B42A7">
        <w:trPr>
          <w:trHeight w:val="582"/>
        </w:trPr>
        <w:tc>
          <w:tcPr>
            <w:tcW w:w="1032" w:type="dxa"/>
            <w:vAlign w:val="center"/>
          </w:tcPr>
          <w:p w:rsidR="00E2504E" w:rsidRPr="00367475" w:rsidRDefault="00E2504E">
            <w:pPr>
              <w:jc w:val="center"/>
              <w:textAlignment w:val="center"/>
              <w:rPr>
                <w:rFonts w:cs="Arial"/>
                <w:color w:val="000000"/>
                <w:szCs w:val="18"/>
              </w:rPr>
            </w:pPr>
            <w:r w:rsidRPr="00367475">
              <w:rPr>
                <w:rFonts w:cs="Arial"/>
                <w:color w:val="000000"/>
                <w:szCs w:val="18"/>
              </w:rPr>
              <w:t>3.57 pm</w:t>
            </w:r>
          </w:p>
        </w:tc>
        <w:tc>
          <w:tcPr>
            <w:tcW w:w="980" w:type="dxa"/>
            <w:vAlign w:val="center"/>
          </w:tcPr>
          <w:p w:rsidR="00E2504E" w:rsidRPr="00367475" w:rsidRDefault="00E2504E">
            <w:pPr>
              <w:jc w:val="center"/>
              <w:textAlignment w:val="center"/>
              <w:rPr>
                <w:rFonts w:cs="Arial"/>
                <w:color w:val="000000"/>
                <w:szCs w:val="18"/>
              </w:rPr>
            </w:pPr>
            <w:r w:rsidRPr="00367475">
              <w:rPr>
                <w:rFonts w:cs="Arial"/>
                <w:color w:val="000000"/>
                <w:szCs w:val="18"/>
              </w:rPr>
              <w:t>4.05 pm</w:t>
            </w:r>
          </w:p>
        </w:tc>
        <w:tc>
          <w:tcPr>
            <w:tcW w:w="1525" w:type="dxa"/>
            <w:vAlign w:val="center"/>
          </w:tcPr>
          <w:p w:rsidR="00E2504E" w:rsidRPr="00226F1D" w:rsidRDefault="00E2504E">
            <w:pPr>
              <w:textAlignment w:val="center"/>
              <w:rPr>
                <w:rFonts w:cs="Arial"/>
                <w:color w:val="000000"/>
                <w:szCs w:val="18"/>
              </w:rPr>
            </w:pPr>
            <w:r w:rsidRPr="00226F1D">
              <w:rPr>
                <w:rFonts w:cs="Arial"/>
                <w:color w:val="000000"/>
                <w:szCs w:val="18"/>
              </w:rPr>
              <w:t>Snowy Hydro</w:t>
            </w:r>
          </w:p>
        </w:tc>
        <w:tc>
          <w:tcPr>
            <w:tcW w:w="1167" w:type="dxa"/>
            <w:vAlign w:val="center"/>
          </w:tcPr>
          <w:p w:rsidR="00E2504E" w:rsidRPr="0025254E" w:rsidRDefault="00E2504E">
            <w:pPr>
              <w:textAlignment w:val="center"/>
              <w:rPr>
                <w:rFonts w:cs="Arial"/>
                <w:color w:val="000000"/>
                <w:szCs w:val="18"/>
              </w:rPr>
            </w:pPr>
            <w:r w:rsidRPr="0025254E">
              <w:rPr>
                <w:rFonts w:cs="Arial"/>
                <w:color w:val="000000"/>
                <w:szCs w:val="18"/>
              </w:rPr>
              <w:t>Murray</w:t>
            </w:r>
          </w:p>
        </w:tc>
        <w:tc>
          <w:tcPr>
            <w:tcW w:w="949" w:type="dxa"/>
            <w:vAlign w:val="center"/>
          </w:tcPr>
          <w:p w:rsidR="00E2504E" w:rsidRPr="0025254E" w:rsidRDefault="00E2504E">
            <w:pPr>
              <w:jc w:val="center"/>
              <w:textAlignment w:val="center"/>
              <w:rPr>
                <w:rFonts w:cs="Arial"/>
                <w:color w:val="000000"/>
                <w:szCs w:val="18"/>
              </w:rPr>
            </w:pPr>
            <w:r w:rsidRPr="0025254E">
              <w:rPr>
                <w:rFonts w:cs="Arial"/>
                <w:color w:val="000000"/>
                <w:szCs w:val="18"/>
              </w:rPr>
              <w:t>532</w:t>
            </w:r>
          </w:p>
        </w:tc>
        <w:tc>
          <w:tcPr>
            <w:tcW w:w="906" w:type="dxa"/>
            <w:vAlign w:val="center"/>
          </w:tcPr>
          <w:p w:rsidR="00E2504E" w:rsidRPr="0025254E" w:rsidRDefault="00E2504E">
            <w:pPr>
              <w:jc w:val="center"/>
              <w:textAlignment w:val="center"/>
              <w:rPr>
                <w:rFonts w:cs="Arial"/>
                <w:color w:val="000000"/>
                <w:szCs w:val="18"/>
              </w:rPr>
            </w:pPr>
            <w:r w:rsidRPr="0025254E">
              <w:rPr>
                <w:rFonts w:cs="Arial"/>
                <w:color w:val="000000"/>
                <w:szCs w:val="18"/>
              </w:rPr>
              <w:t>300</w:t>
            </w:r>
          </w:p>
        </w:tc>
        <w:tc>
          <w:tcPr>
            <w:tcW w:w="906" w:type="dxa"/>
            <w:vAlign w:val="center"/>
          </w:tcPr>
          <w:p w:rsidR="00E2504E" w:rsidRPr="0025254E" w:rsidRDefault="00E2504E">
            <w:pPr>
              <w:jc w:val="center"/>
              <w:textAlignment w:val="center"/>
              <w:rPr>
                <w:rFonts w:cs="Arial"/>
                <w:color w:val="000000"/>
                <w:szCs w:val="18"/>
              </w:rPr>
            </w:pPr>
            <w:r w:rsidRPr="0025254E">
              <w:rPr>
                <w:rFonts w:cs="Arial"/>
                <w:color w:val="000000"/>
                <w:szCs w:val="18"/>
              </w:rPr>
              <w:t>13794</w:t>
            </w:r>
          </w:p>
        </w:tc>
        <w:tc>
          <w:tcPr>
            <w:tcW w:w="1947" w:type="dxa"/>
            <w:vAlign w:val="center"/>
          </w:tcPr>
          <w:p w:rsidR="00E2504E" w:rsidRPr="0025254E" w:rsidRDefault="00E2504E">
            <w:pPr>
              <w:textAlignment w:val="center"/>
              <w:rPr>
                <w:rFonts w:cs="Arial"/>
                <w:color w:val="000000"/>
                <w:szCs w:val="18"/>
              </w:rPr>
            </w:pPr>
            <w:r w:rsidRPr="0025254E">
              <w:rPr>
                <w:rFonts w:cs="Arial"/>
                <w:color w:val="000000"/>
                <w:szCs w:val="18"/>
              </w:rPr>
              <w:t>15:56 A VIC: 5MPD PRICE $52.04 LWR THN 30MPD 16:05@15:32</w:t>
            </w:r>
          </w:p>
        </w:tc>
      </w:tr>
      <w:tr w:rsidR="00E2504E" w:rsidRPr="009C77CC" w:rsidTr="004B42A7">
        <w:trPr>
          <w:cnfStyle w:val="000000010000" w:firstRow="0" w:lastRow="0" w:firstColumn="0" w:lastColumn="0" w:oddVBand="0" w:evenVBand="0" w:oddHBand="0" w:evenHBand="1" w:firstRowFirstColumn="0" w:firstRowLastColumn="0" w:lastRowFirstColumn="0" w:lastRowLastColumn="0"/>
          <w:trHeight w:val="582"/>
        </w:trPr>
        <w:tc>
          <w:tcPr>
            <w:tcW w:w="1032" w:type="dxa"/>
            <w:vAlign w:val="center"/>
          </w:tcPr>
          <w:p w:rsidR="00E2504E" w:rsidRDefault="00E2504E">
            <w:pPr>
              <w:jc w:val="center"/>
              <w:textAlignment w:val="center"/>
              <w:rPr>
                <w:rFonts w:cs="Arial"/>
                <w:color w:val="000000"/>
                <w:sz w:val="18"/>
                <w:szCs w:val="18"/>
              </w:rPr>
            </w:pPr>
            <w:r>
              <w:rPr>
                <w:rFonts w:cs="Arial"/>
                <w:color w:val="000000"/>
                <w:sz w:val="18"/>
                <w:szCs w:val="18"/>
              </w:rPr>
              <w:t>4.06 pm</w:t>
            </w:r>
          </w:p>
        </w:tc>
        <w:tc>
          <w:tcPr>
            <w:tcW w:w="980" w:type="dxa"/>
            <w:vAlign w:val="center"/>
          </w:tcPr>
          <w:p w:rsidR="00E2504E" w:rsidRDefault="00E2504E">
            <w:pPr>
              <w:jc w:val="center"/>
              <w:textAlignment w:val="center"/>
              <w:rPr>
                <w:rFonts w:cs="Arial"/>
                <w:color w:val="000000"/>
                <w:sz w:val="18"/>
                <w:szCs w:val="18"/>
              </w:rPr>
            </w:pPr>
            <w:r>
              <w:rPr>
                <w:rFonts w:cs="Arial"/>
                <w:color w:val="000000"/>
                <w:sz w:val="18"/>
                <w:szCs w:val="18"/>
              </w:rPr>
              <w:t>4.15 pm</w:t>
            </w:r>
          </w:p>
        </w:tc>
        <w:tc>
          <w:tcPr>
            <w:tcW w:w="1525" w:type="dxa"/>
            <w:vAlign w:val="center"/>
          </w:tcPr>
          <w:p w:rsidR="00E2504E" w:rsidRDefault="00E2504E">
            <w:pPr>
              <w:textAlignment w:val="center"/>
              <w:rPr>
                <w:rFonts w:cs="Arial"/>
                <w:color w:val="000000"/>
                <w:sz w:val="18"/>
                <w:szCs w:val="18"/>
              </w:rPr>
            </w:pPr>
            <w:r>
              <w:rPr>
                <w:rFonts w:cs="Arial"/>
                <w:color w:val="000000"/>
                <w:sz w:val="18"/>
                <w:szCs w:val="18"/>
              </w:rPr>
              <w:t>Snowy Hydro</w:t>
            </w:r>
          </w:p>
        </w:tc>
        <w:tc>
          <w:tcPr>
            <w:tcW w:w="1167" w:type="dxa"/>
            <w:vAlign w:val="center"/>
          </w:tcPr>
          <w:p w:rsidR="00E2504E" w:rsidRDefault="00E2504E">
            <w:pPr>
              <w:textAlignment w:val="center"/>
              <w:rPr>
                <w:rFonts w:cs="Arial"/>
                <w:color w:val="000000"/>
                <w:sz w:val="18"/>
                <w:szCs w:val="18"/>
              </w:rPr>
            </w:pPr>
            <w:r>
              <w:rPr>
                <w:rFonts w:cs="Arial"/>
                <w:color w:val="000000"/>
                <w:sz w:val="18"/>
                <w:szCs w:val="18"/>
              </w:rPr>
              <w:t>Murray</w:t>
            </w:r>
          </w:p>
        </w:tc>
        <w:tc>
          <w:tcPr>
            <w:tcW w:w="949" w:type="dxa"/>
            <w:vAlign w:val="center"/>
          </w:tcPr>
          <w:p w:rsidR="00E2504E" w:rsidRDefault="00E2504E">
            <w:pPr>
              <w:jc w:val="center"/>
              <w:textAlignment w:val="center"/>
              <w:rPr>
                <w:rFonts w:cs="Arial"/>
                <w:color w:val="000000"/>
                <w:sz w:val="18"/>
                <w:szCs w:val="18"/>
              </w:rPr>
            </w:pPr>
            <w:r>
              <w:rPr>
                <w:rFonts w:cs="Arial"/>
                <w:color w:val="000000"/>
                <w:sz w:val="18"/>
                <w:szCs w:val="18"/>
              </w:rPr>
              <w:t>1532</w:t>
            </w:r>
          </w:p>
        </w:tc>
        <w:tc>
          <w:tcPr>
            <w:tcW w:w="906" w:type="dxa"/>
            <w:vAlign w:val="center"/>
          </w:tcPr>
          <w:p w:rsidR="00E2504E" w:rsidRDefault="00E2504E">
            <w:pPr>
              <w:jc w:val="center"/>
              <w:textAlignment w:val="center"/>
              <w:rPr>
                <w:rFonts w:cs="Arial"/>
                <w:color w:val="000000"/>
                <w:sz w:val="18"/>
                <w:szCs w:val="18"/>
              </w:rPr>
            </w:pPr>
            <w:r>
              <w:rPr>
                <w:rFonts w:cs="Arial"/>
                <w:color w:val="000000"/>
                <w:sz w:val="18"/>
                <w:szCs w:val="18"/>
              </w:rPr>
              <w:t>&gt;35</w:t>
            </w:r>
          </w:p>
        </w:tc>
        <w:tc>
          <w:tcPr>
            <w:tcW w:w="906" w:type="dxa"/>
            <w:vAlign w:val="center"/>
          </w:tcPr>
          <w:p w:rsidR="00E2504E" w:rsidRDefault="00E2504E">
            <w:pPr>
              <w:jc w:val="center"/>
              <w:textAlignment w:val="center"/>
              <w:rPr>
                <w:rFonts w:cs="Arial"/>
                <w:color w:val="000000"/>
                <w:sz w:val="18"/>
                <w:szCs w:val="18"/>
              </w:rPr>
            </w:pPr>
            <w:r>
              <w:rPr>
                <w:rFonts w:cs="Arial"/>
                <w:color w:val="000000"/>
                <w:sz w:val="18"/>
                <w:szCs w:val="18"/>
              </w:rPr>
              <w:t>-1000</w:t>
            </w:r>
          </w:p>
        </w:tc>
        <w:tc>
          <w:tcPr>
            <w:tcW w:w="1947" w:type="dxa"/>
            <w:vAlign w:val="center"/>
          </w:tcPr>
          <w:p w:rsidR="00E2504E" w:rsidRDefault="00E2504E">
            <w:pPr>
              <w:textAlignment w:val="center"/>
              <w:rPr>
                <w:rFonts w:cs="Arial"/>
                <w:color w:val="000000"/>
                <w:sz w:val="18"/>
                <w:szCs w:val="18"/>
              </w:rPr>
            </w:pPr>
            <w:r>
              <w:rPr>
                <w:rFonts w:cs="Arial"/>
                <w:color w:val="000000"/>
                <w:sz w:val="18"/>
                <w:szCs w:val="18"/>
              </w:rPr>
              <w:t>16:05 A VIC: ACT PRICE $13,173.23 HGR THN 5MPD 16:05@15:56</w:t>
            </w:r>
          </w:p>
        </w:tc>
      </w:tr>
      <w:tr w:rsidR="00E2504E" w:rsidRPr="009C77CC" w:rsidTr="004B42A7">
        <w:trPr>
          <w:trHeight w:val="582"/>
        </w:trPr>
        <w:tc>
          <w:tcPr>
            <w:tcW w:w="1032" w:type="dxa"/>
            <w:vAlign w:val="center"/>
          </w:tcPr>
          <w:p w:rsidR="00E2504E" w:rsidRDefault="00E2504E">
            <w:pPr>
              <w:jc w:val="center"/>
              <w:textAlignment w:val="center"/>
              <w:rPr>
                <w:rFonts w:cs="Arial"/>
                <w:color w:val="000000"/>
                <w:szCs w:val="18"/>
              </w:rPr>
            </w:pPr>
            <w:r>
              <w:rPr>
                <w:rFonts w:cs="Arial"/>
                <w:color w:val="000000"/>
                <w:szCs w:val="18"/>
              </w:rPr>
              <w:t>4.06 pm</w:t>
            </w:r>
          </w:p>
        </w:tc>
        <w:tc>
          <w:tcPr>
            <w:tcW w:w="980" w:type="dxa"/>
            <w:vAlign w:val="center"/>
          </w:tcPr>
          <w:p w:rsidR="00E2504E" w:rsidRDefault="00E2504E">
            <w:pPr>
              <w:jc w:val="center"/>
              <w:textAlignment w:val="center"/>
              <w:rPr>
                <w:rFonts w:cs="Arial"/>
                <w:color w:val="000000"/>
                <w:szCs w:val="18"/>
              </w:rPr>
            </w:pPr>
            <w:r>
              <w:rPr>
                <w:rFonts w:cs="Arial"/>
                <w:color w:val="000000"/>
                <w:szCs w:val="18"/>
              </w:rPr>
              <w:t>4.15 pm</w:t>
            </w:r>
          </w:p>
        </w:tc>
        <w:tc>
          <w:tcPr>
            <w:tcW w:w="1525" w:type="dxa"/>
            <w:vAlign w:val="center"/>
          </w:tcPr>
          <w:p w:rsidR="00E2504E" w:rsidRDefault="00E2504E">
            <w:pPr>
              <w:textAlignment w:val="center"/>
              <w:rPr>
                <w:rFonts w:cs="Arial"/>
                <w:color w:val="000000"/>
                <w:szCs w:val="18"/>
              </w:rPr>
            </w:pPr>
            <w:r>
              <w:rPr>
                <w:rFonts w:cs="Arial"/>
                <w:color w:val="000000"/>
                <w:szCs w:val="18"/>
              </w:rPr>
              <w:t>Origin Energy</w:t>
            </w:r>
          </w:p>
        </w:tc>
        <w:tc>
          <w:tcPr>
            <w:tcW w:w="1167" w:type="dxa"/>
            <w:vAlign w:val="center"/>
          </w:tcPr>
          <w:p w:rsidR="00E2504E" w:rsidRDefault="00E2504E">
            <w:pPr>
              <w:textAlignment w:val="center"/>
              <w:rPr>
                <w:rFonts w:cs="Arial"/>
                <w:color w:val="000000"/>
                <w:szCs w:val="18"/>
              </w:rPr>
            </w:pPr>
            <w:r>
              <w:rPr>
                <w:rFonts w:cs="Arial"/>
                <w:color w:val="000000"/>
                <w:szCs w:val="18"/>
              </w:rPr>
              <w:t>Mortlake</w:t>
            </w:r>
          </w:p>
        </w:tc>
        <w:tc>
          <w:tcPr>
            <w:tcW w:w="949" w:type="dxa"/>
            <w:vAlign w:val="center"/>
          </w:tcPr>
          <w:p w:rsidR="00E2504E" w:rsidRDefault="00E2504E">
            <w:pPr>
              <w:jc w:val="center"/>
              <w:textAlignment w:val="center"/>
              <w:rPr>
                <w:rFonts w:cs="Arial"/>
                <w:color w:val="000000"/>
                <w:szCs w:val="18"/>
              </w:rPr>
            </w:pPr>
            <w:r>
              <w:rPr>
                <w:rFonts w:cs="Arial"/>
                <w:color w:val="000000"/>
                <w:szCs w:val="18"/>
              </w:rPr>
              <w:t>248</w:t>
            </w:r>
          </w:p>
        </w:tc>
        <w:tc>
          <w:tcPr>
            <w:tcW w:w="906" w:type="dxa"/>
            <w:vAlign w:val="center"/>
          </w:tcPr>
          <w:p w:rsidR="00E2504E" w:rsidRDefault="00E2504E">
            <w:pPr>
              <w:jc w:val="center"/>
              <w:textAlignment w:val="center"/>
              <w:rPr>
                <w:rFonts w:cs="Arial"/>
                <w:color w:val="000000"/>
                <w:szCs w:val="18"/>
              </w:rPr>
            </w:pPr>
            <w:r>
              <w:rPr>
                <w:rFonts w:cs="Arial"/>
                <w:color w:val="000000"/>
                <w:szCs w:val="18"/>
              </w:rPr>
              <w:t>13800</w:t>
            </w:r>
          </w:p>
        </w:tc>
        <w:tc>
          <w:tcPr>
            <w:tcW w:w="906" w:type="dxa"/>
            <w:vAlign w:val="center"/>
          </w:tcPr>
          <w:p w:rsidR="00E2504E" w:rsidRDefault="00E2504E">
            <w:pPr>
              <w:jc w:val="center"/>
              <w:textAlignment w:val="center"/>
              <w:rPr>
                <w:rFonts w:cs="Arial"/>
                <w:color w:val="000000"/>
                <w:szCs w:val="18"/>
              </w:rPr>
            </w:pPr>
            <w:r>
              <w:rPr>
                <w:rFonts w:cs="Arial"/>
                <w:color w:val="000000"/>
                <w:szCs w:val="18"/>
              </w:rPr>
              <w:t>-1000</w:t>
            </w:r>
          </w:p>
        </w:tc>
        <w:tc>
          <w:tcPr>
            <w:tcW w:w="1947" w:type="dxa"/>
            <w:vAlign w:val="center"/>
          </w:tcPr>
          <w:p w:rsidR="00E2504E" w:rsidRDefault="00E2504E">
            <w:pPr>
              <w:textAlignment w:val="center"/>
              <w:rPr>
                <w:rFonts w:cs="Arial"/>
                <w:color w:val="000000"/>
                <w:szCs w:val="18"/>
              </w:rPr>
            </w:pPr>
            <w:r>
              <w:rPr>
                <w:rFonts w:cs="Arial"/>
                <w:color w:val="000000"/>
                <w:szCs w:val="18"/>
              </w:rPr>
              <w:t>1605A UNFORECAST MPC EVENT SL</w:t>
            </w:r>
          </w:p>
        </w:tc>
      </w:tr>
      <w:tr w:rsidR="00E2504E" w:rsidRPr="009C77CC" w:rsidTr="004B42A7">
        <w:trPr>
          <w:cnfStyle w:val="000000010000" w:firstRow="0" w:lastRow="0" w:firstColumn="0" w:lastColumn="0" w:oddVBand="0" w:evenVBand="0" w:oddHBand="0" w:evenHBand="1" w:firstRowFirstColumn="0" w:firstRowLastColumn="0" w:lastRowFirstColumn="0" w:lastRowLastColumn="0"/>
          <w:trHeight w:val="582"/>
        </w:trPr>
        <w:tc>
          <w:tcPr>
            <w:tcW w:w="1032" w:type="dxa"/>
            <w:vAlign w:val="center"/>
          </w:tcPr>
          <w:p w:rsidR="00E2504E" w:rsidRDefault="00E2504E">
            <w:pPr>
              <w:jc w:val="center"/>
              <w:textAlignment w:val="center"/>
              <w:rPr>
                <w:rFonts w:cs="Arial"/>
                <w:color w:val="000000"/>
                <w:sz w:val="18"/>
                <w:szCs w:val="18"/>
              </w:rPr>
            </w:pPr>
            <w:r>
              <w:rPr>
                <w:rFonts w:cs="Arial"/>
                <w:color w:val="000000"/>
                <w:sz w:val="18"/>
                <w:szCs w:val="18"/>
              </w:rPr>
              <w:t>4.09 pm</w:t>
            </w:r>
          </w:p>
        </w:tc>
        <w:tc>
          <w:tcPr>
            <w:tcW w:w="980" w:type="dxa"/>
            <w:vAlign w:val="center"/>
          </w:tcPr>
          <w:p w:rsidR="00E2504E" w:rsidRDefault="00E2504E">
            <w:pPr>
              <w:jc w:val="center"/>
              <w:textAlignment w:val="center"/>
              <w:rPr>
                <w:rFonts w:cs="Arial"/>
                <w:color w:val="000000"/>
                <w:sz w:val="18"/>
                <w:szCs w:val="18"/>
              </w:rPr>
            </w:pPr>
            <w:r>
              <w:rPr>
                <w:rFonts w:cs="Arial"/>
                <w:color w:val="000000"/>
                <w:sz w:val="18"/>
                <w:szCs w:val="18"/>
              </w:rPr>
              <w:t>4.20 pm</w:t>
            </w:r>
          </w:p>
        </w:tc>
        <w:tc>
          <w:tcPr>
            <w:tcW w:w="1525" w:type="dxa"/>
            <w:vAlign w:val="center"/>
          </w:tcPr>
          <w:p w:rsidR="00E2504E" w:rsidRDefault="00E2504E">
            <w:pPr>
              <w:textAlignment w:val="center"/>
              <w:rPr>
                <w:rFonts w:cs="Arial"/>
                <w:color w:val="000000"/>
                <w:sz w:val="18"/>
                <w:szCs w:val="18"/>
              </w:rPr>
            </w:pPr>
            <w:r>
              <w:rPr>
                <w:rFonts w:cs="Arial"/>
                <w:color w:val="000000"/>
                <w:sz w:val="18"/>
                <w:szCs w:val="18"/>
              </w:rPr>
              <w:t>Snowy Hydro</w:t>
            </w:r>
          </w:p>
        </w:tc>
        <w:tc>
          <w:tcPr>
            <w:tcW w:w="1167" w:type="dxa"/>
            <w:vAlign w:val="center"/>
          </w:tcPr>
          <w:p w:rsidR="00E2504E" w:rsidRDefault="00E2504E">
            <w:pPr>
              <w:textAlignment w:val="center"/>
              <w:rPr>
                <w:rFonts w:cs="Arial"/>
                <w:color w:val="000000"/>
                <w:sz w:val="18"/>
                <w:szCs w:val="18"/>
              </w:rPr>
            </w:pPr>
            <w:r>
              <w:rPr>
                <w:rFonts w:cs="Arial"/>
                <w:color w:val="000000"/>
                <w:sz w:val="18"/>
                <w:szCs w:val="18"/>
              </w:rPr>
              <w:t>Valley Power</w:t>
            </w:r>
          </w:p>
        </w:tc>
        <w:tc>
          <w:tcPr>
            <w:tcW w:w="949" w:type="dxa"/>
            <w:vAlign w:val="center"/>
          </w:tcPr>
          <w:p w:rsidR="00E2504E" w:rsidRDefault="00E2504E">
            <w:pPr>
              <w:jc w:val="center"/>
              <w:textAlignment w:val="center"/>
              <w:rPr>
                <w:rFonts w:cs="Arial"/>
                <w:color w:val="000000"/>
                <w:sz w:val="18"/>
                <w:szCs w:val="18"/>
              </w:rPr>
            </w:pPr>
            <w:r>
              <w:rPr>
                <w:rFonts w:cs="Arial"/>
                <w:color w:val="000000"/>
                <w:sz w:val="18"/>
                <w:szCs w:val="18"/>
              </w:rPr>
              <w:t>285</w:t>
            </w:r>
          </w:p>
        </w:tc>
        <w:tc>
          <w:tcPr>
            <w:tcW w:w="906" w:type="dxa"/>
            <w:vAlign w:val="center"/>
          </w:tcPr>
          <w:p w:rsidR="00E2504E" w:rsidRDefault="00E2504E">
            <w:pPr>
              <w:jc w:val="center"/>
              <w:textAlignment w:val="center"/>
              <w:rPr>
                <w:rFonts w:cs="Arial"/>
                <w:color w:val="000000"/>
                <w:sz w:val="18"/>
                <w:szCs w:val="18"/>
              </w:rPr>
            </w:pPr>
            <w:r>
              <w:rPr>
                <w:rFonts w:cs="Arial"/>
                <w:color w:val="000000"/>
                <w:sz w:val="18"/>
                <w:szCs w:val="18"/>
              </w:rPr>
              <w:t>13800</w:t>
            </w:r>
          </w:p>
        </w:tc>
        <w:tc>
          <w:tcPr>
            <w:tcW w:w="906" w:type="dxa"/>
            <w:vAlign w:val="center"/>
          </w:tcPr>
          <w:p w:rsidR="00E2504E" w:rsidRDefault="00E2504E">
            <w:pPr>
              <w:jc w:val="center"/>
              <w:textAlignment w:val="center"/>
              <w:rPr>
                <w:rFonts w:cs="Arial"/>
                <w:color w:val="000000"/>
                <w:sz w:val="18"/>
                <w:szCs w:val="18"/>
              </w:rPr>
            </w:pPr>
            <w:r>
              <w:rPr>
                <w:rFonts w:cs="Arial"/>
                <w:color w:val="000000"/>
                <w:sz w:val="18"/>
                <w:szCs w:val="18"/>
              </w:rPr>
              <w:t>-1000</w:t>
            </w:r>
          </w:p>
        </w:tc>
        <w:tc>
          <w:tcPr>
            <w:tcW w:w="1947" w:type="dxa"/>
            <w:vAlign w:val="center"/>
          </w:tcPr>
          <w:p w:rsidR="00E2504E" w:rsidRDefault="00E2504E">
            <w:pPr>
              <w:textAlignment w:val="center"/>
              <w:rPr>
                <w:rFonts w:cs="Arial"/>
                <w:color w:val="000000"/>
                <w:sz w:val="18"/>
                <w:szCs w:val="18"/>
              </w:rPr>
            </w:pPr>
            <w:r>
              <w:rPr>
                <w:rFonts w:cs="Arial"/>
                <w:color w:val="000000"/>
                <w:sz w:val="18"/>
                <w:szCs w:val="18"/>
              </w:rPr>
              <w:t>16:05 A VIC: ACT PRICE $13,173.23 HGR THN 5MPD 16:05@15:56</w:t>
            </w:r>
          </w:p>
        </w:tc>
      </w:tr>
    </w:tbl>
    <w:p w:rsidR="0025254E" w:rsidRDefault="00E2504E" w:rsidP="00E2504E">
      <w:pPr>
        <w:pStyle w:val="AERHeading3"/>
        <w:jc w:val="both"/>
        <w:rPr>
          <w:b w:val="0"/>
          <w:color w:val="000000" w:themeColor="text1"/>
          <w:sz w:val="22"/>
        </w:rPr>
      </w:pPr>
      <w:r>
        <w:rPr>
          <w:b w:val="0"/>
          <w:color w:val="000000" w:themeColor="text1"/>
          <w:sz w:val="22"/>
        </w:rPr>
        <w:t xml:space="preserve">The combination of the demand forecast error and the above rebidding saw the dispatch price at around $300/MWh for a majority of the high price periods. </w:t>
      </w:r>
    </w:p>
    <w:p w:rsidR="0025254E" w:rsidRDefault="00E2504E" w:rsidP="00E2504E">
      <w:pPr>
        <w:pStyle w:val="AERHeading3"/>
        <w:jc w:val="both"/>
        <w:rPr>
          <w:b w:val="0"/>
          <w:color w:val="000000" w:themeColor="text1"/>
          <w:sz w:val="22"/>
        </w:rPr>
      </w:pPr>
      <w:r>
        <w:rPr>
          <w:b w:val="0"/>
          <w:color w:val="000000" w:themeColor="text1"/>
          <w:sz w:val="22"/>
        </w:rPr>
        <w:t>At 4.05 pm</w:t>
      </w:r>
      <w:r w:rsidR="00B25887">
        <w:rPr>
          <w:b w:val="0"/>
          <w:color w:val="000000" w:themeColor="text1"/>
          <w:sz w:val="22"/>
        </w:rPr>
        <w:t>,</w:t>
      </w:r>
      <w:r>
        <w:rPr>
          <w:b w:val="0"/>
          <w:color w:val="000000" w:themeColor="text1"/>
          <w:sz w:val="22"/>
        </w:rPr>
        <w:t xml:space="preserve"> following Snowy Hydro</w:t>
      </w:r>
      <w:r w:rsidR="00B25887">
        <w:rPr>
          <w:b w:val="0"/>
          <w:color w:val="000000" w:themeColor="text1"/>
          <w:sz w:val="22"/>
        </w:rPr>
        <w:t>’</w:t>
      </w:r>
      <w:r>
        <w:rPr>
          <w:b w:val="0"/>
          <w:color w:val="000000" w:themeColor="text1"/>
          <w:sz w:val="22"/>
        </w:rPr>
        <w:t xml:space="preserve">s rebid </w:t>
      </w:r>
      <w:r w:rsidR="00B25887">
        <w:rPr>
          <w:b w:val="0"/>
          <w:color w:val="000000" w:themeColor="text1"/>
          <w:sz w:val="22"/>
        </w:rPr>
        <w:t xml:space="preserve">at Murray, </w:t>
      </w:r>
      <w:r>
        <w:rPr>
          <w:b w:val="0"/>
          <w:color w:val="000000" w:themeColor="text1"/>
          <w:sz w:val="22"/>
        </w:rPr>
        <w:t>the dispatch price reached the price cap</w:t>
      </w:r>
      <w:r w:rsidR="00B25887">
        <w:rPr>
          <w:b w:val="0"/>
          <w:color w:val="000000" w:themeColor="text1"/>
          <w:sz w:val="22"/>
        </w:rPr>
        <w:t>.</w:t>
      </w:r>
      <w:r>
        <w:rPr>
          <w:b w:val="0"/>
          <w:color w:val="000000" w:themeColor="text1"/>
          <w:sz w:val="22"/>
        </w:rPr>
        <w:t xml:space="preserve"> </w:t>
      </w:r>
      <w:r w:rsidR="0025254E">
        <w:rPr>
          <w:b w:val="0"/>
          <w:color w:val="000000" w:themeColor="text1"/>
          <w:sz w:val="22"/>
        </w:rPr>
        <w:t>Generators immediately responded by rebidding capacity into lower prices. This caused the price to fall to $55/MWh at the 4.10 pm dispatch interval. The price continued to decline and reached the price floor (-$1000/MWh) for the final three dispatch intervals.</w:t>
      </w:r>
      <w:r w:rsidR="00DF2EAC">
        <w:rPr>
          <w:b w:val="0"/>
          <w:color w:val="000000" w:themeColor="text1"/>
          <w:sz w:val="22"/>
        </w:rPr>
        <w:t xml:space="preserve">  This low price was replicated in Tasmania</w:t>
      </w:r>
    </w:p>
    <w:p w:rsidR="00FA0364" w:rsidRDefault="00FA0364" w:rsidP="00950B15">
      <w:pPr>
        <w:pStyle w:val="AERHeading3"/>
      </w:pPr>
    </w:p>
    <w:p w:rsidR="00FA0364" w:rsidRDefault="00FA0364" w:rsidP="00950B15">
      <w:pPr>
        <w:pStyle w:val="AERHeading3"/>
      </w:pPr>
    </w:p>
    <w:p w:rsidR="00FA0364" w:rsidRDefault="00FA0364" w:rsidP="00950B15">
      <w:pPr>
        <w:pStyle w:val="AERHeading3"/>
      </w:pPr>
    </w:p>
    <w:p w:rsidR="00FA0364" w:rsidRDefault="00FA0364" w:rsidP="00950B15">
      <w:pPr>
        <w:pStyle w:val="AERHeading3"/>
      </w:pPr>
    </w:p>
    <w:p w:rsidR="00950B15" w:rsidRPr="0067180B" w:rsidRDefault="009C77CC" w:rsidP="00950B15">
      <w:pPr>
        <w:pStyle w:val="AERHeading3"/>
      </w:pPr>
      <w:r>
        <w:lastRenderedPageBreak/>
        <w:t>South Australia</w:t>
      </w:r>
    </w:p>
    <w:p w:rsidR="00950B15" w:rsidRPr="0067180B" w:rsidRDefault="00950B15" w:rsidP="00950B15">
      <w:pPr>
        <w:pStyle w:val="AERbodytext"/>
        <w:spacing w:before="120" w:after="120"/>
        <w:rPr>
          <w:bCs/>
          <w:lang w:eastAsia="en-AU"/>
        </w:rPr>
      </w:pPr>
      <w:r w:rsidRPr="0067180B">
        <w:rPr>
          <w:bCs/>
          <w:lang w:eastAsia="en-AU"/>
        </w:rPr>
        <w:t xml:space="preserve">There were </w:t>
      </w:r>
      <w:r w:rsidR="009C77CC">
        <w:rPr>
          <w:bCs/>
          <w:lang w:eastAsia="en-AU"/>
        </w:rPr>
        <w:t>five</w:t>
      </w:r>
      <w:r w:rsidR="009C77CC" w:rsidRPr="00E95CA7">
        <w:rPr>
          <w:bCs/>
          <w:lang w:eastAsia="en-AU"/>
        </w:rPr>
        <w:t xml:space="preserve"> occasions where the spot price in </w:t>
      </w:r>
      <w:r w:rsidR="009C77CC">
        <w:rPr>
          <w:bCs/>
          <w:lang w:eastAsia="en-AU"/>
        </w:rPr>
        <w:t>South Australia</w:t>
      </w:r>
      <w:r w:rsidR="009C77CC" w:rsidRPr="00E95CA7">
        <w:rPr>
          <w:bCs/>
          <w:lang w:eastAsia="en-AU"/>
        </w:rPr>
        <w:t xml:space="preserve"> was greater than three times the </w:t>
      </w:r>
      <w:r w:rsidR="009C77CC">
        <w:rPr>
          <w:bCs/>
          <w:lang w:eastAsia="en-AU"/>
        </w:rPr>
        <w:t>South Australia weekly average price of $125</w:t>
      </w:r>
      <w:r w:rsidR="009C77CC" w:rsidRPr="00E95CA7">
        <w:rPr>
          <w:bCs/>
          <w:lang w:eastAsia="en-AU"/>
        </w:rPr>
        <w:t>/MWh and above $250/MWh</w:t>
      </w:r>
      <w:r w:rsidRPr="0067180B">
        <w:rPr>
          <w:bCs/>
          <w:lang w:eastAsia="en-AU"/>
        </w:rPr>
        <w:t>.</w:t>
      </w:r>
    </w:p>
    <w:p w:rsidR="00950B15" w:rsidRPr="00F8021A" w:rsidRDefault="00F8021A" w:rsidP="00950B15">
      <w:pPr>
        <w:pStyle w:val="AERHeading3"/>
      </w:pPr>
      <w:r w:rsidRPr="00F8021A">
        <w:t>Monday</w:t>
      </w:r>
      <w:r w:rsidR="000128E1" w:rsidRPr="00F8021A">
        <w:t>,</w:t>
      </w:r>
      <w:r w:rsidR="00950B15" w:rsidRPr="00F8021A">
        <w:t xml:space="preserve"> 1</w:t>
      </w:r>
      <w:r w:rsidRPr="00F8021A">
        <w:t>4</w:t>
      </w:r>
      <w:r w:rsidR="00950B15" w:rsidRPr="00F8021A">
        <w:t xml:space="preserve"> </w:t>
      </w:r>
      <w:r w:rsidRPr="00F8021A">
        <w:t>Dec</w:t>
      </w:r>
      <w:r w:rsidR="00950B15" w:rsidRPr="00F8021A">
        <w:t>ember</w:t>
      </w:r>
    </w:p>
    <w:p w:rsidR="00950B15" w:rsidRPr="00F8021A" w:rsidRDefault="00950B15" w:rsidP="00950B15">
      <w:pPr>
        <w:pStyle w:val="Caption"/>
      </w:pPr>
      <w:r w:rsidRPr="00F8021A">
        <w:t xml:space="preserve">Table </w:t>
      </w:r>
      <w:r w:rsidR="006D39A8">
        <w:t>5</w:t>
      </w:r>
      <w:r w:rsidRPr="00F8021A">
        <w:t>: Price, Demand and Availability</w:t>
      </w:r>
    </w:p>
    <w:tbl>
      <w:tblPr>
        <w:tblStyle w:val="AERTable-Text"/>
        <w:tblW w:w="5000" w:type="pct"/>
        <w:tblLook w:val="04A0" w:firstRow="1" w:lastRow="0" w:firstColumn="1" w:lastColumn="0" w:noHBand="0" w:noVBand="1"/>
      </w:tblPr>
      <w:tblGrid>
        <w:gridCol w:w="987"/>
        <w:gridCol w:w="1128"/>
        <w:gridCol w:w="928"/>
        <w:gridCol w:w="928"/>
        <w:gridCol w:w="773"/>
        <w:gridCol w:w="928"/>
        <w:gridCol w:w="928"/>
        <w:gridCol w:w="786"/>
        <w:gridCol w:w="928"/>
        <w:gridCol w:w="928"/>
      </w:tblGrid>
      <w:tr w:rsidR="00950B15" w:rsidRPr="00F8021A" w:rsidTr="004034C5">
        <w:trPr>
          <w:cnfStyle w:val="100000000000" w:firstRow="1" w:lastRow="0" w:firstColumn="0" w:lastColumn="0" w:oddVBand="0" w:evenVBand="0" w:oddHBand="0" w:evenHBand="0" w:firstRowFirstColumn="0" w:firstRowLastColumn="0" w:lastRowFirstColumn="0" w:lastRowLastColumn="0"/>
          <w:tblHeader/>
        </w:trPr>
        <w:tc>
          <w:tcPr>
            <w:tcW w:w="534" w:type="pct"/>
            <w:hideMark/>
          </w:tcPr>
          <w:p w:rsidR="00950B15" w:rsidRPr="00F8021A" w:rsidRDefault="00950B15" w:rsidP="000D355E">
            <w:pPr>
              <w:pStyle w:val="TableHeading"/>
              <w:jc w:val="center"/>
              <w:rPr>
                <w:rFonts w:cs="Arial"/>
                <w:sz w:val="20"/>
                <w:szCs w:val="20"/>
              </w:rPr>
            </w:pPr>
            <w:r w:rsidRPr="00F8021A">
              <w:rPr>
                <w:rFonts w:cs="Arial"/>
                <w:sz w:val="20"/>
                <w:szCs w:val="20"/>
              </w:rPr>
              <w:t xml:space="preserve">Time </w:t>
            </w:r>
          </w:p>
        </w:tc>
        <w:tc>
          <w:tcPr>
            <w:tcW w:w="1614" w:type="pct"/>
            <w:gridSpan w:val="3"/>
            <w:hideMark/>
          </w:tcPr>
          <w:p w:rsidR="00950B15" w:rsidRPr="00F8021A" w:rsidRDefault="00950B15" w:rsidP="000D355E">
            <w:pPr>
              <w:pStyle w:val="TableHeading"/>
              <w:jc w:val="center"/>
              <w:rPr>
                <w:rFonts w:cs="Arial"/>
                <w:sz w:val="20"/>
                <w:szCs w:val="20"/>
              </w:rPr>
            </w:pPr>
            <w:r w:rsidRPr="00F8021A">
              <w:rPr>
                <w:rFonts w:cs="Arial"/>
                <w:sz w:val="20"/>
                <w:szCs w:val="20"/>
              </w:rPr>
              <w:t>Price ($/MWh)</w:t>
            </w:r>
          </w:p>
        </w:tc>
        <w:tc>
          <w:tcPr>
            <w:tcW w:w="1422" w:type="pct"/>
            <w:gridSpan w:val="3"/>
            <w:hideMark/>
          </w:tcPr>
          <w:p w:rsidR="00950B15" w:rsidRPr="00F8021A" w:rsidRDefault="00950B15" w:rsidP="000D355E">
            <w:pPr>
              <w:pStyle w:val="TableHeading"/>
              <w:jc w:val="center"/>
              <w:rPr>
                <w:rFonts w:cs="Arial"/>
                <w:sz w:val="20"/>
                <w:szCs w:val="20"/>
              </w:rPr>
            </w:pPr>
            <w:r w:rsidRPr="00F8021A">
              <w:rPr>
                <w:rFonts w:cs="Arial"/>
                <w:sz w:val="20"/>
                <w:szCs w:val="20"/>
              </w:rPr>
              <w:t>Demand (MW)</w:t>
            </w:r>
          </w:p>
        </w:tc>
        <w:tc>
          <w:tcPr>
            <w:tcW w:w="1429" w:type="pct"/>
            <w:gridSpan w:val="3"/>
            <w:hideMark/>
          </w:tcPr>
          <w:p w:rsidR="00950B15" w:rsidRPr="00F8021A" w:rsidRDefault="00950B15" w:rsidP="000D355E">
            <w:pPr>
              <w:pStyle w:val="TableHeading"/>
              <w:jc w:val="center"/>
              <w:rPr>
                <w:rFonts w:cs="Arial"/>
                <w:sz w:val="20"/>
                <w:szCs w:val="20"/>
              </w:rPr>
            </w:pPr>
            <w:r w:rsidRPr="00F8021A">
              <w:rPr>
                <w:rFonts w:cs="Arial"/>
                <w:sz w:val="20"/>
                <w:szCs w:val="20"/>
              </w:rPr>
              <w:t>Availability (MW)</w:t>
            </w:r>
          </w:p>
        </w:tc>
      </w:tr>
      <w:tr w:rsidR="00950B15" w:rsidRPr="00F8021A" w:rsidTr="004034C5">
        <w:trPr>
          <w:cnfStyle w:val="100000000000" w:firstRow="1" w:lastRow="0" w:firstColumn="0" w:lastColumn="0" w:oddVBand="0" w:evenVBand="0" w:oddHBand="0" w:evenHBand="0" w:firstRowFirstColumn="0" w:firstRowLastColumn="0" w:lastRowFirstColumn="0" w:lastRowLastColumn="0"/>
          <w:tblHeader/>
        </w:trPr>
        <w:tc>
          <w:tcPr>
            <w:tcW w:w="534" w:type="pct"/>
            <w:shd w:val="clear" w:color="auto" w:fill="007192" w:themeFill="accent3" w:themeFillShade="BF"/>
            <w:hideMark/>
          </w:tcPr>
          <w:p w:rsidR="00950B15" w:rsidRPr="00F8021A" w:rsidRDefault="00950B15" w:rsidP="000D355E">
            <w:pPr>
              <w:pStyle w:val="tableheadingline2"/>
              <w:rPr>
                <w:rFonts w:cs="Arial"/>
                <w:sz w:val="20"/>
                <w:szCs w:val="20"/>
              </w:rPr>
            </w:pPr>
            <w:r w:rsidRPr="00F8021A">
              <w:rPr>
                <w:rFonts w:cs="Arial"/>
                <w:sz w:val="20"/>
                <w:szCs w:val="20"/>
              </w:rPr>
              <w:t> </w:t>
            </w:r>
          </w:p>
        </w:tc>
        <w:tc>
          <w:tcPr>
            <w:tcW w:w="610" w:type="pct"/>
            <w:shd w:val="clear" w:color="auto" w:fill="007192" w:themeFill="accent3" w:themeFillShade="BF"/>
            <w:hideMark/>
          </w:tcPr>
          <w:p w:rsidR="00950B15" w:rsidRPr="00F8021A" w:rsidRDefault="00950B15" w:rsidP="000D355E">
            <w:pPr>
              <w:pStyle w:val="tableheadingline2"/>
              <w:rPr>
                <w:rFonts w:cs="Arial"/>
                <w:sz w:val="20"/>
                <w:szCs w:val="20"/>
              </w:rPr>
            </w:pPr>
            <w:r w:rsidRPr="00F8021A">
              <w:rPr>
                <w:rFonts w:cs="Arial"/>
                <w:sz w:val="20"/>
                <w:szCs w:val="20"/>
              </w:rPr>
              <w:t>Actual</w:t>
            </w:r>
          </w:p>
        </w:tc>
        <w:tc>
          <w:tcPr>
            <w:tcW w:w="502" w:type="pct"/>
            <w:shd w:val="clear" w:color="auto" w:fill="007192" w:themeFill="accent3" w:themeFillShade="BF"/>
            <w:hideMark/>
          </w:tcPr>
          <w:p w:rsidR="00950B15" w:rsidRPr="00F8021A" w:rsidRDefault="00950B15" w:rsidP="000D355E">
            <w:pPr>
              <w:pStyle w:val="tableheadingline2"/>
              <w:rPr>
                <w:rFonts w:cs="Arial"/>
                <w:sz w:val="20"/>
                <w:szCs w:val="20"/>
              </w:rPr>
            </w:pPr>
            <w:r w:rsidRPr="00F8021A">
              <w:rPr>
                <w:rFonts w:cs="Arial"/>
                <w:sz w:val="20"/>
                <w:szCs w:val="20"/>
              </w:rPr>
              <w:t>4 hr forecast</w:t>
            </w:r>
          </w:p>
        </w:tc>
        <w:tc>
          <w:tcPr>
            <w:tcW w:w="502" w:type="pct"/>
            <w:shd w:val="clear" w:color="auto" w:fill="007192" w:themeFill="accent3" w:themeFillShade="BF"/>
            <w:hideMark/>
          </w:tcPr>
          <w:p w:rsidR="00950B15" w:rsidRPr="00F8021A" w:rsidRDefault="00950B15" w:rsidP="000D355E">
            <w:pPr>
              <w:pStyle w:val="tableheadingline2"/>
              <w:rPr>
                <w:rFonts w:cs="Arial"/>
                <w:sz w:val="20"/>
                <w:szCs w:val="20"/>
              </w:rPr>
            </w:pPr>
            <w:r w:rsidRPr="00F8021A">
              <w:rPr>
                <w:rFonts w:cs="Arial"/>
                <w:sz w:val="20"/>
                <w:szCs w:val="20"/>
              </w:rPr>
              <w:t>12 hr forecast</w:t>
            </w:r>
          </w:p>
        </w:tc>
        <w:tc>
          <w:tcPr>
            <w:tcW w:w="418" w:type="pct"/>
            <w:shd w:val="clear" w:color="auto" w:fill="007192" w:themeFill="accent3" w:themeFillShade="BF"/>
            <w:hideMark/>
          </w:tcPr>
          <w:p w:rsidR="00950B15" w:rsidRPr="00F8021A" w:rsidRDefault="00950B15" w:rsidP="000D355E">
            <w:pPr>
              <w:pStyle w:val="tableheadingline2"/>
              <w:rPr>
                <w:rFonts w:cs="Arial"/>
                <w:sz w:val="20"/>
                <w:szCs w:val="20"/>
              </w:rPr>
            </w:pPr>
            <w:r w:rsidRPr="00F8021A">
              <w:rPr>
                <w:rFonts w:cs="Arial"/>
                <w:sz w:val="20"/>
                <w:szCs w:val="20"/>
              </w:rPr>
              <w:t>Actual</w:t>
            </w:r>
          </w:p>
        </w:tc>
        <w:tc>
          <w:tcPr>
            <w:tcW w:w="502" w:type="pct"/>
            <w:shd w:val="clear" w:color="auto" w:fill="007192" w:themeFill="accent3" w:themeFillShade="BF"/>
            <w:hideMark/>
          </w:tcPr>
          <w:p w:rsidR="00950B15" w:rsidRPr="00F8021A" w:rsidRDefault="00950B15" w:rsidP="000D355E">
            <w:pPr>
              <w:pStyle w:val="tableheadingline2"/>
              <w:rPr>
                <w:rFonts w:cs="Arial"/>
                <w:sz w:val="20"/>
                <w:szCs w:val="20"/>
              </w:rPr>
            </w:pPr>
            <w:r w:rsidRPr="00F8021A">
              <w:rPr>
                <w:rFonts w:cs="Arial"/>
                <w:sz w:val="20"/>
                <w:szCs w:val="20"/>
              </w:rPr>
              <w:t>4 hr forecast</w:t>
            </w:r>
          </w:p>
        </w:tc>
        <w:tc>
          <w:tcPr>
            <w:tcW w:w="502" w:type="pct"/>
            <w:shd w:val="clear" w:color="auto" w:fill="007192" w:themeFill="accent3" w:themeFillShade="BF"/>
            <w:hideMark/>
          </w:tcPr>
          <w:p w:rsidR="00950B15" w:rsidRPr="00F8021A" w:rsidRDefault="00950B15" w:rsidP="000D355E">
            <w:pPr>
              <w:pStyle w:val="tableheadingline2"/>
              <w:rPr>
                <w:rFonts w:cs="Arial"/>
                <w:sz w:val="20"/>
                <w:szCs w:val="20"/>
              </w:rPr>
            </w:pPr>
            <w:r w:rsidRPr="00F8021A">
              <w:rPr>
                <w:rFonts w:cs="Arial"/>
                <w:sz w:val="20"/>
                <w:szCs w:val="20"/>
              </w:rPr>
              <w:t>12 hr forecast</w:t>
            </w:r>
          </w:p>
        </w:tc>
        <w:tc>
          <w:tcPr>
            <w:tcW w:w="425" w:type="pct"/>
            <w:shd w:val="clear" w:color="auto" w:fill="007192" w:themeFill="accent3" w:themeFillShade="BF"/>
            <w:hideMark/>
          </w:tcPr>
          <w:p w:rsidR="00950B15" w:rsidRPr="00F8021A" w:rsidRDefault="00950B15" w:rsidP="000D355E">
            <w:pPr>
              <w:pStyle w:val="tableheadingline2"/>
              <w:rPr>
                <w:rFonts w:cs="Arial"/>
                <w:sz w:val="20"/>
                <w:szCs w:val="20"/>
              </w:rPr>
            </w:pPr>
            <w:r w:rsidRPr="00F8021A">
              <w:rPr>
                <w:rFonts w:cs="Arial"/>
                <w:sz w:val="20"/>
                <w:szCs w:val="20"/>
              </w:rPr>
              <w:t>Actual</w:t>
            </w:r>
          </w:p>
        </w:tc>
        <w:tc>
          <w:tcPr>
            <w:tcW w:w="502" w:type="pct"/>
            <w:shd w:val="clear" w:color="auto" w:fill="007192" w:themeFill="accent3" w:themeFillShade="BF"/>
            <w:hideMark/>
          </w:tcPr>
          <w:p w:rsidR="00950B15" w:rsidRPr="00F8021A" w:rsidRDefault="00950B15" w:rsidP="000D355E">
            <w:pPr>
              <w:pStyle w:val="tableheadingline2"/>
              <w:rPr>
                <w:rFonts w:cs="Arial"/>
                <w:sz w:val="20"/>
                <w:szCs w:val="20"/>
              </w:rPr>
            </w:pPr>
            <w:r w:rsidRPr="00F8021A">
              <w:rPr>
                <w:rFonts w:cs="Arial"/>
                <w:sz w:val="20"/>
                <w:szCs w:val="20"/>
              </w:rPr>
              <w:t>4 hr forecast</w:t>
            </w:r>
          </w:p>
        </w:tc>
        <w:tc>
          <w:tcPr>
            <w:tcW w:w="502" w:type="pct"/>
            <w:shd w:val="clear" w:color="auto" w:fill="007192" w:themeFill="accent3" w:themeFillShade="BF"/>
            <w:hideMark/>
          </w:tcPr>
          <w:p w:rsidR="00950B15" w:rsidRPr="00F8021A" w:rsidRDefault="00950B15" w:rsidP="000D355E">
            <w:pPr>
              <w:pStyle w:val="tableheadingline2"/>
              <w:rPr>
                <w:rFonts w:cs="Arial"/>
                <w:sz w:val="20"/>
                <w:szCs w:val="20"/>
              </w:rPr>
            </w:pPr>
            <w:r w:rsidRPr="00F8021A">
              <w:rPr>
                <w:rFonts w:cs="Arial"/>
                <w:sz w:val="20"/>
                <w:szCs w:val="20"/>
              </w:rPr>
              <w:t>12 hr forecast</w:t>
            </w:r>
          </w:p>
        </w:tc>
      </w:tr>
      <w:tr w:rsidR="00F8021A" w:rsidRPr="00F8021A" w:rsidTr="004034C5">
        <w:trPr>
          <w:trHeight w:val="510"/>
        </w:trPr>
        <w:tc>
          <w:tcPr>
            <w:tcW w:w="534"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b/>
                <w:bCs/>
                <w:sz w:val="18"/>
                <w:szCs w:val="16"/>
              </w:rPr>
              <w:t>3</w:t>
            </w:r>
            <w:r>
              <w:rPr>
                <w:rFonts w:asciiTheme="minorHAnsi" w:hAnsiTheme="minorHAnsi" w:cstheme="minorHAnsi"/>
                <w:b/>
                <w:bCs/>
                <w:sz w:val="18"/>
                <w:szCs w:val="16"/>
              </w:rPr>
              <w:t xml:space="preserve"> pm</w:t>
            </w:r>
          </w:p>
        </w:tc>
        <w:tc>
          <w:tcPr>
            <w:tcW w:w="610"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450.35</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76.50</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80.30</w:t>
            </w:r>
          </w:p>
        </w:tc>
        <w:tc>
          <w:tcPr>
            <w:tcW w:w="418"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2040</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1915</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1813</w:t>
            </w:r>
          </w:p>
        </w:tc>
        <w:tc>
          <w:tcPr>
            <w:tcW w:w="425"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2420</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2620</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2702</w:t>
            </w:r>
          </w:p>
        </w:tc>
      </w:tr>
      <w:tr w:rsidR="00F8021A" w:rsidRPr="00F8021A" w:rsidTr="004034C5">
        <w:trPr>
          <w:cnfStyle w:val="000000010000" w:firstRow="0" w:lastRow="0" w:firstColumn="0" w:lastColumn="0" w:oddVBand="0" w:evenVBand="0" w:oddHBand="0" w:evenHBand="1" w:firstRowFirstColumn="0" w:firstRowLastColumn="0" w:lastRowFirstColumn="0" w:lastRowLastColumn="0"/>
          <w:trHeight w:val="510"/>
        </w:trPr>
        <w:tc>
          <w:tcPr>
            <w:tcW w:w="534" w:type="pct"/>
            <w:vAlign w:val="center"/>
          </w:tcPr>
          <w:p w:rsidR="00F8021A" w:rsidRPr="00F8021A" w:rsidRDefault="00F8021A">
            <w:pPr>
              <w:pStyle w:val="NormalWeb"/>
              <w:jc w:val="center"/>
              <w:rPr>
                <w:rFonts w:asciiTheme="minorHAnsi" w:hAnsiTheme="minorHAnsi" w:cstheme="minorHAnsi"/>
                <w:sz w:val="18"/>
              </w:rPr>
            </w:pPr>
            <w:r>
              <w:rPr>
                <w:rFonts w:asciiTheme="minorHAnsi" w:hAnsiTheme="minorHAnsi" w:cstheme="minorHAnsi"/>
                <w:b/>
                <w:bCs/>
                <w:sz w:val="18"/>
                <w:szCs w:val="16"/>
              </w:rPr>
              <w:t>3.</w:t>
            </w:r>
            <w:r w:rsidRPr="00F8021A">
              <w:rPr>
                <w:rFonts w:asciiTheme="minorHAnsi" w:hAnsiTheme="minorHAnsi" w:cstheme="minorHAnsi"/>
                <w:b/>
                <w:bCs/>
                <w:sz w:val="18"/>
                <w:szCs w:val="16"/>
              </w:rPr>
              <w:t xml:space="preserve">30 </w:t>
            </w:r>
            <w:r>
              <w:rPr>
                <w:rFonts w:asciiTheme="minorHAnsi" w:hAnsiTheme="minorHAnsi" w:cstheme="minorHAnsi"/>
                <w:b/>
                <w:bCs/>
                <w:sz w:val="18"/>
                <w:szCs w:val="16"/>
              </w:rPr>
              <w:t>pm</w:t>
            </w:r>
          </w:p>
        </w:tc>
        <w:tc>
          <w:tcPr>
            <w:tcW w:w="610"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468.27</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94.99</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94.99</w:t>
            </w:r>
          </w:p>
        </w:tc>
        <w:tc>
          <w:tcPr>
            <w:tcW w:w="418"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2063</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1949</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1849</w:t>
            </w:r>
          </w:p>
        </w:tc>
        <w:tc>
          <w:tcPr>
            <w:tcW w:w="425"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2350</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2636</w:t>
            </w:r>
          </w:p>
        </w:tc>
        <w:tc>
          <w:tcPr>
            <w:tcW w:w="502" w:type="pct"/>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2682</w:t>
            </w:r>
          </w:p>
        </w:tc>
      </w:tr>
    </w:tbl>
    <w:p w:rsidR="00F50B5A" w:rsidRDefault="009B1174" w:rsidP="00BB20BA">
      <w:pPr>
        <w:pStyle w:val="AERbodytext"/>
      </w:pPr>
      <w:r w:rsidRPr="009B1174">
        <w:t xml:space="preserve">Conditions at the time saw </w:t>
      </w:r>
      <w:r w:rsidR="00942863">
        <w:t>d</w:t>
      </w:r>
      <w:r w:rsidRPr="009B1174">
        <w:t xml:space="preserve">emand </w:t>
      </w:r>
      <w:r w:rsidR="00C37AF1">
        <w:t xml:space="preserve">over </w:t>
      </w:r>
      <w:r w:rsidR="00435596">
        <w:t xml:space="preserve">100 MW </w:t>
      </w:r>
      <w:r w:rsidR="00C37AF1" w:rsidRPr="00981E7F">
        <w:t>higher than forecast four hours ahead</w:t>
      </w:r>
      <w:r w:rsidR="00C37AF1">
        <w:t xml:space="preserve">. Available </w:t>
      </w:r>
      <w:r w:rsidR="00F50B5A">
        <w:t>capacity</w:t>
      </w:r>
      <w:r w:rsidR="00C37AF1">
        <w:t xml:space="preserve"> was over 200 MW lower than forecast four hours ahead.</w:t>
      </w:r>
    </w:p>
    <w:p w:rsidR="00494036" w:rsidRDefault="00CD2754" w:rsidP="00BB20BA">
      <w:pPr>
        <w:pStyle w:val="AERbodytext"/>
      </w:pPr>
      <w:r>
        <w:t>A system normal constraint avoiding the overload of the Keith to Tailem Bend No.1 line was binding</w:t>
      </w:r>
      <w:r w:rsidR="00C37AF1">
        <w:t>, which</w:t>
      </w:r>
      <w:r>
        <w:t xml:space="preserve"> constrain</w:t>
      </w:r>
      <w:r w:rsidR="00C37AF1">
        <w:t>ed</w:t>
      </w:r>
      <w:r>
        <w:t xml:space="preserve"> off low</w:t>
      </w:r>
      <w:r w:rsidR="003C2BC1">
        <w:t>-</w:t>
      </w:r>
      <w:r>
        <w:t>priced generation in the South East of South Australia</w:t>
      </w:r>
      <w:r w:rsidR="00494036">
        <w:t xml:space="preserve"> and limit</w:t>
      </w:r>
      <w:r w:rsidR="00BB0324">
        <w:t>ed</w:t>
      </w:r>
      <w:r w:rsidR="00494036">
        <w:t xml:space="preserve"> export</w:t>
      </w:r>
      <w:r w:rsidR="00BB0324">
        <w:t>s</w:t>
      </w:r>
      <w:r w:rsidR="00494036">
        <w:t xml:space="preserve"> into South Australia across Heywood to around 300 MW</w:t>
      </w:r>
      <w:r>
        <w:t>.</w:t>
      </w:r>
      <w:r w:rsidR="009B1174">
        <w:t xml:space="preserve"> </w:t>
      </w:r>
    </w:p>
    <w:p w:rsidR="00F50B5A" w:rsidRDefault="00F50B5A" w:rsidP="00BB20BA">
      <w:pPr>
        <w:pStyle w:val="AERbodytext"/>
      </w:pPr>
      <w:r>
        <w:t xml:space="preserve">At 2.35 pm, </w:t>
      </w:r>
      <w:r w:rsidR="003A71A1">
        <w:t>demand increased by 70 MW largely due to a reduction in non-scheduled generation. With other low-priced generation either ramp rate limited or trapped in FCAS</w:t>
      </w:r>
      <w:r w:rsidR="003A71A1" w:rsidRPr="003A71A1">
        <w:t xml:space="preserve"> </w:t>
      </w:r>
      <w:r w:rsidR="003A71A1">
        <w:t>the dispatch price reached to $2384/MWh.</w:t>
      </w:r>
      <w:r w:rsidR="003A71A1" w:rsidRPr="003A71A1">
        <w:t xml:space="preserve"> </w:t>
      </w:r>
      <w:r w:rsidR="003A71A1">
        <w:t>The dispatch price fell to $56/MWh at 2.40 pm following rebidding by GDF Suez from high prices to low prices and a reduction in demand of 97 MW (largely due to an increase in non-scheduled generation).</w:t>
      </w:r>
    </w:p>
    <w:p w:rsidR="00FB4068" w:rsidRDefault="00494036" w:rsidP="00FB4068">
      <w:pPr>
        <w:pStyle w:val="AERbodytext"/>
      </w:pPr>
      <w:r>
        <w:t>At</w:t>
      </w:r>
      <w:r w:rsidR="00FB4068">
        <w:t xml:space="preserve"> 3.10</w:t>
      </w:r>
      <w:r>
        <w:t> </w:t>
      </w:r>
      <w:r w:rsidR="00FB4068">
        <w:t>pm</w:t>
      </w:r>
      <w:r w:rsidR="003A71A1">
        <w:t>,</w:t>
      </w:r>
      <w:r w:rsidR="00FB4068">
        <w:t xml:space="preserve"> </w:t>
      </w:r>
      <w:r w:rsidR="003A71A1">
        <w:t>demand increased by</w:t>
      </w:r>
      <w:r w:rsidR="00FB4068">
        <w:t xml:space="preserve"> 152</w:t>
      </w:r>
      <w:r>
        <w:t> </w:t>
      </w:r>
      <w:r w:rsidR="00FB4068">
        <w:t>MW</w:t>
      </w:r>
      <w:r w:rsidR="003A71A1">
        <w:t xml:space="preserve">, again </w:t>
      </w:r>
      <w:r w:rsidR="007417D2">
        <w:t>largely</w:t>
      </w:r>
      <w:r w:rsidR="006D39A8">
        <w:t xml:space="preserve"> </w:t>
      </w:r>
      <w:r w:rsidR="00BD4E33">
        <w:t>due to a reduction in non-scheduled generatio</w:t>
      </w:r>
      <w:r w:rsidR="003A71A1">
        <w:t>n,</w:t>
      </w:r>
      <w:r w:rsidR="00BD4E33">
        <w:t xml:space="preserve"> </w:t>
      </w:r>
      <w:r>
        <w:t>resulting in</w:t>
      </w:r>
      <w:r w:rsidR="00FB4068">
        <w:t xml:space="preserve"> </w:t>
      </w:r>
      <w:r>
        <w:t>a</w:t>
      </w:r>
      <w:r w:rsidR="00FB4068">
        <w:t xml:space="preserve"> dispatch price </w:t>
      </w:r>
      <w:r>
        <w:t>of</w:t>
      </w:r>
      <w:r w:rsidR="00FB4068">
        <w:t xml:space="preserve"> $2410/MWh.</w:t>
      </w:r>
    </w:p>
    <w:p w:rsidR="00FB4068" w:rsidRDefault="00FB4068" w:rsidP="00FB4068">
      <w:pPr>
        <w:pStyle w:val="AERbodytext"/>
      </w:pPr>
      <w:r>
        <w:t xml:space="preserve">The dispatch price fell to $55/MWh following rebidding by multiple participants and </w:t>
      </w:r>
      <w:r w:rsidR="00BD4E33">
        <w:t>a 153 MW decrease in demand (largely due to an increase in non-scheduled generation)</w:t>
      </w:r>
      <w:r w:rsidR="003A71A1">
        <w:t>. The dispatch price</w:t>
      </w:r>
      <w:r w:rsidR="00BD4E33">
        <w:t xml:space="preserve"> </w:t>
      </w:r>
      <w:r>
        <w:t xml:space="preserve">remained below $91/MWh for the remainder of the trading interval. </w:t>
      </w:r>
    </w:p>
    <w:p w:rsidR="00A42006" w:rsidRPr="00F8021A" w:rsidRDefault="00F8021A" w:rsidP="006573B5">
      <w:pPr>
        <w:pStyle w:val="AERHeading3"/>
      </w:pPr>
      <w:r w:rsidRPr="00F8021A">
        <w:t>Thursday, 17</w:t>
      </w:r>
      <w:r w:rsidR="006573B5" w:rsidRPr="00F8021A">
        <w:t xml:space="preserve"> </w:t>
      </w:r>
      <w:r w:rsidRPr="00F8021A">
        <w:t>Dec</w:t>
      </w:r>
      <w:r w:rsidR="006573B5" w:rsidRPr="00F8021A">
        <w:t>ember</w:t>
      </w:r>
    </w:p>
    <w:p w:rsidR="00EF62CA" w:rsidRPr="00F8021A" w:rsidRDefault="00EE575A" w:rsidP="004034C5">
      <w:pPr>
        <w:pStyle w:val="Caption"/>
      </w:pPr>
      <w:r w:rsidRPr="00F8021A">
        <w:t xml:space="preserve">Table </w:t>
      </w:r>
      <w:r w:rsidR="006D39A8">
        <w:t>6</w:t>
      </w:r>
      <w:r w:rsidR="004034C5" w:rsidRPr="00F8021A">
        <w:t>: Price, Demand and Availability</w:t>
      </w:r>
    </w:p>
    <w:tbl>
      <w:tblPr>
        <w:tblStyle w:val="AERTable-Text"/>
        <w:tblW w:w="5000" w:type="pct"/>
        <w:tblLook w:val="04A0" w:firstRow="1" w:lastRow="0" w:firstColumn="1" w:lastColumn="0" w:noHBand="0" w:noVBand="1"/>
      </w:tblPr>
      <w:tblGrid>
        <w:gridCol w:w="987"/>
        <w:gridCol w:w="1128"/>
        <w:gridCol w:w="928"/>
        <w:gridCol w:w="928"/>
        <w:gridCol w:w="773"/>
        <w:gridCol w:w="928"/>
        <w:gridCol w:w="928"/>
        <w:gridCol w:w="786"/>
        <w:gridCol w:w="928"/>
        <w:gridCol w:w="928"/>
      </w:tblGrid>
      <w:tr w:rsidR="000128E1" w:rsidRPr="00F8021A" w:rsidTr="004034C5">
        <w:trPr>
          <w:cnfStyle w:val="100000000000" w:firstRow="1" w:lastRow="0" w:firstColumn="0" w:lastColumn="0" w:oddVBand="0" w:evenVBand="0" w:oddHBand="0" w:evenHBand="0" w:firstRowFirstColumn="0" w:firstRowLastColumn="0" w:lastRowFirstColumn="0" w:lastRowLastColumn="0"/>
          <w:tblHeader/>
        </w:trPr>
        <w:tc>
          <w:tcPr>
            <w:tcW w:w="534" w:type="pct"/>
            <w:hideMark/>
          </w:tcPr>
          <w:p w:rsidR="000128E1" w:rsidRPr="00F8021A" w:rsidRDefault="000128E1" w:rsidP="000D355E">
            <w:pPr>
              <w:pStyle w:val="TableHeading"/>
              <w:jc w:val="center"/>
              <w:rPr>
                <w:rFonts w:cs="Arial"/>
                <w:sz w:val="20"/>
                <w:szCs w:val="20"/>
              </w:rPr>
            </w:pPr>
            <w:r w:rsidRPr="00F8021A">
              <w:rPr>
                <w:rFonts w:cs="Arial"/>
                <w:sz w:val="20"/>
                <w:szCs w:val="20"/>
              </w:rPr>
              <w:t xml:space="preserve">Time </w:t>
            </w:r>
          </w:p>
        </w:tc>
        <w:tc>
          <w:tcPr>
            <w:tcW w:w="1614" w:type="pct"/>
            <w:gridSpan w:val="3"/>
            <w:hideMark/>
          </w:tcPr>
          <w:p w:rsidR="000128E1" w:rsidRPr="00F8021A" w:rsidRDefault="000128E1" w:rsidP="000D355E">
            <w:pPr>
              <w:pStyle w:val="TableHeading"/>
              <w:jc w:val="center"/>
              <w:rPr>
                <w:rFonts w:cs="Arial"/>
                <w:sz w:val="20"/>
                <w:szCs w:val="20"/>
              </w:rPr>
            </w:pPr>
            <w:r w:rsidRPr="00F8021A">
              <w:rPr>
                <w:rFonts w:cs="Arial"/>
                <w:sz w:val="20"/>
                <w:szCs w:val="20"/>
              </w:rPr>
              <w:t>Price ($/MWh)</w:t>
            </w:r>
          </w:p>
        </w:tc>
        <w:tc>
          <w:tcPr>
            <w:tcW w:w="1422" w:type="pct"/>
            <w:gridSpan w:val="3"/>
            <w:hideMark/>
          </w:tcPr>
          <w:p w:rsidR="000128E1" w:rsidRPr="00F8021A" w:rsidRDefault="000128E1" w:rsidP="000D355E">
            <w:pPr>
              <w:pStyle w:val="TableHeading"/>
              <w:jc w:val="center"/>
              <w:rPr>
                <w:rFonts w:cs="Arial"/>
                <w:sz w:val="20"/>
                <w:szCs w:val="20"/>
              </w:rPr>
            </w:pPr>
            <w:r w:rsidRPr="00F8021A">
              <w:rPr>
                <w:rFonts w:cs="Arial"/>
                <w:sz w:val="20"/>
                <w:szCs w:val="20"/>
              </w:rPr>
              <w:t>Demand (MW)</w:t>
            </w:r>
          </w:p>
        </w:tc>
        <w:tc>
          <w:tcPr>
            <w:tcW w:w="1429" w:type="pct"/>
            <w:gridSpan w:val="3"/>
            <w:hideMark/>
          </w:tcPr>
          <w:p w:rsidR="000128E1" w:rsidRPr="00F8021A" w:rsidRDefault="000128E1" w:rsidP="000D355E">
            <w:pPr>
              <w:pStyle w:val="TableHeading"/>
              <w:jc w:val="center"/>
              <w:rPr>
                <w:rFonts w:cs="Arial"/>
                <w:sz w:val="20"/>
                <w:szCs w:val="20"/>
              </w:rPr>
            </w:pPr>
            <w:r w:rsidRPr="00F8021A">
              <w:rPr>
                <w:rFonts w:cs="Arial"/>
                <w:sz w:val="20"/>
                <w:szCs w:val="20"/>
              </w:rPr>
              <w:t>Availability (MW)</w:t>
            </w:r>
          </w:p>
        </w:tc>
      </w:tr>
      <w:tr w:rsidR="000128E1" w:rsidRPr="00F8021A" w:rsidTr="005A6CB0">
        <w:trPr>
          <w:cnfStyle w:val="100000000000" w:firstRow="1" w:lastRow="0" w:firstColumn="0" w:lastColumn="0" w:oddVBand="0" w:evenVBand="0" w:oddHBand="0" w:evenHBand="0" w:firstRowFirstColumn="0" w:firstRowLastColumn="0" w:lastRowFirstColumn="0" w:lastRowLastColumn="0"/>
          <w:tblHeader/>
        </w:trPr>
        <w:tc>
          <w:tcPr>
            <w:tcW w:w="534" w:type="pct"/>
            <w:tcBorders>
              <w:bottom w:val="nil"/>
            </w:tcBorders>
            <w:shd w:val="clear" w:color="auto" w:fill="007192" w:themeFill="accent3" w:themeFillShade="BF"/>
            <w:hideMark/>
          </w:tcPr>
          <w:p w:rsidR="000128E1" w:rsidRPr="00F8021A" w:rsidRDefault="000128E1" w:rsidP="000D355E">
            <w:pPr>
              <w:pStyle w:val="tableheadingline2"/>
              <w:rPr>
                <w:rFonts w:cs="Arial"/>
                <w:sz w:val="20"/>
                <w:szCs w:val="20"/>
              </w:rPr>
            </w:pPr>
            <w:r w:rsidRPr="00F8021A">
              <w:rPr>
                <w:rFonts w:cs="Arial"/>
                <w:sz w:val="20"/>
                <w:szCs w:val="20"/>
              </w:rPr>
              <w:t> </w:t>
            </w:r>
          </w:p>
        </w:tc>
        <w:tc>
          <w:tcPr>
            <w:tcW w:w="610" w:type="pct"/>
            <w:tcBorders>
              <w:bottom w:val="nil"/>
            </w:tcBorders>
            <w:shd w:val="clear" w:color="auto" w:fill="007192" w:themeFill="accent3" w:themeFillShade="BF"/>
            <w:hideMark/>
          </w:tcPr>
          <w:p w:rsidR="000128E1" w:rsidRPr="00F8021A" w:rsidRDefault="000128E1" w:rsidP="000D355E">
            <w:pPr>
              <w:pStyle w:val="tableheadingline2"/>
              <w:rPr>
                <w:rFonts w:cs="Arial"/>
                <w:sz w:val="20"/>
                <w:szCs w:val="20"/>
              </w:rPr>
            </w:pPr>
            <w:r w:rsidRPr="00F8021A">
              <w:rPr>
                <w:rFonts w:cs="Arial"/>
                <w:sz w:val="20"/>
                <w:szCs w:val="20"/>
              </w:rPr>
              <w:t>Actual</w:t>
            </w:r>
          </w:p>
        </w:tc>
        <w:tc>
          <w:tcPr>
            <w:tcW w:w="502" w:type="pct"/>
            <w:tcBorders>
              <w:bottom w:val="nil"/>
            </w:tcBorders>
            <w:shd w:val="clear" w:color="auto" w:fill="007192" w:themeFill="accent3" w:themeFillShade="BF"/>
            <w:hideMark/>
          </w:tcPr>
          <w:p w:rsidR="000128E1" w:rsidRPr="00F8021A" w:rsidRDefault="000128E1" w:rsidP="000D355E">
            <w:pPr>
              <w:pStyle w:val="tableheadingline2"/>
              <w:rPr>
                <w:rFonts w:cs="Arial"/>
                <w:sz w:val="20"/>
                <w:szCs w:val="20"/>
              </w:rPr>
            </w:pPr>
            <w:r w:rsidRPr="00F8021A">
              <w:rPr>
                <w:rFonts w:cs="Arial"/>
                <w:sz w:val="20"/>
                <w:szCs w:val="20"/>
              </w:rPr>
              <w:t>4 hr forecast</w:t>
            </w:r>
          </w:p>
        </w:tc>
        <w:tc>
          <w:tcPr>
            <w:tcW w:w="502" w:type="pct"/>
            <w:tcBorders>
              <w:bottom w:val="nil"/>
            </w:tcBorders>
            <w:shd w:val="clear" w:color="auto" w:fill="007192" w:themeFill="accent3" w:themeFillShade="BF"/>
            <w:hideMark/>
          </w:tcPr>
          <w:p w:rsidR="000128E1" w:rsidRPr="00F8021A" w:rsidRDefault="000128E1" w:rsidP="000D355E">
            <w:pPr>
              <w:pStyle w:val="tableheadingline2"/>
              <w:rPr>
                <w:rFonts w:cs="Arial"/>
                <w:sz w:val="20"/>
                <w:szCs w:val="20"/>
              </w:rPr>
            </w:pPr>
            <w:r w:rsidRPr="00F8021A">
              <w:rPr>
                <w:rFonts w:cs="Arial"/>
                <w:sz w:val="20"/>
                <w:szCs w:val="20"/>
              </w:rPr>
              <w:t>12 hr forecast</w:t>
            </w:r>
          </w:p>
        </w:tc>
        <w:tc>
          <w:tcPr>
            <w:tcW w:w="418" w:type="pct"/>
            <w:tcBorders>
              <w:bottom w:val="nil"/>
            </w:tcBorders>
            <w:shd w:val="clear" w:color="auto" w:fill="007192" w:themeFill="accent3" w:themeFillShade="BF"/>
            <w:hideMark/>
          </w:tcPr>
          <w:p w:rsidR="000128E1" w:rsidRPr="00F8021A" w:rsidRDefault="000128E1" w:rsidP="000D355E">
            <w:pPr>
              <w:pStyle w:val="tableheadingline2"/>
              <w:rPr>
                <w:rFonts w:cs="Arial"/>
                <w:sz w:val="20"/>
                <w:szCs w:val="20"/>
              </w:rPr>
            </w:pPr>
            <w:r w:rsidRPr="00F8021A">
              <w:rPr>
                <w:rFonts w:cs="Arial"/>
                <w:sz w:val="20"/>
                <w:szCs w:val="20"/>
              </w:rPr>
              <w:t>Actual</w:t>
            </w:r>
          </w:p>
        </w:tc>
        <w:tc>
          <w:tcPr>
            <w:tcW w:w="502" w:type="pct"/>
            <w:tcBorders>
              <w:bottom w:val="nil"/>
            </w:tcBorders>
            <w:shd w:val="clear" w:color="auto" w:fill="007192" w:themeFill="accent3" w:themeFillShade="BF"/>
            <w:hideMark/>
          </w:tcPr>
          <w:p w:rsidR="000128E1" w:rsidRPr="00F8021A" w:rsidRDefault="000128E1" w:rsidP="000D355E">
            <w:pPr>
              <w:pStyle w:val="tableheadingline2"/>
              <w:rPr>
                <w:rFonts w:cs="Arial"/>
                <w:sz w:val="20"/>
                <w:szCs w:val="20"/>
              </w:rPr>
            </w:pPr>
            <w:r w:rsidRPr="00F8021A">
              <w:rPr>
                <w:rFonts w:cs="Arial"/>
                <w:sz w:val="20"/>
                <w:szCs w:val="20"/>
              </w:rPr>
              <w:t>4 hr forecast</w:t>
            </w:r>
          </w:p>
        </w:tc>
        <w:tc>
          <w:tcPr>
            <w:tcW w:w="502" w:type="pct"/>
            <w:tcBorders>
              <w:bottom w:val="nil"/>
            </w:tcBorders>
            <w:shd w:val="clear" w:color="auto" w:fill="007192" w:themeFill="accent3" w:themeFillShade="BF"/>
            <w:hideMark/>
          </w:tcPr>
          <w:p w:rsidR="000128E1" w:rsidRPr="00F8021A" w:rsidRDefault="000128E1" w:rsidP="000D355E">
            <w:pPr>
              <w:pStyle w:val="tableheadingline2"/>
              <w:rPr>
                <w:rFonts w:cs="Arial"/>
                <w:sz w:val="20"/>
                <w:szCs w:val="20"/>
              </w:rPr>
            </w:pPr>
            <w:r w:rsidRPr="00F8021A">
              <w:rPr>
                <w:rFonts w:cs="Arial"/>
                <w:sz w:val="20"/>
                <w:szCs w:val="20"/>
              </w:rPr>
              <w:t>12 hr forecast</w:t>
            </w:r>
          </w:p>
        </w:tc>
        <w:tc>
          <w:tcPr>
            <w:tcW w:w="425" w:type="pct"/>
            <w:tcBorders>
              <w:bottom w:val="nil"/>
            </w:tcBorders>
            <w:shd w:val="clear" w:color="auto" w:fill="007192" w:themeFill="accent3" w:themeFillShade="BF"/>
            <w:hideMark/>
          </w:tcPr>
          <w:p w:rsidR="000128E1" w:rsidRPr="00F8021A" w:rsidRDefault="000128E1" w:rsidP="000D355E">
            <w:pPr>
              <w:pStyle w:val="tableheadingline2"/>
              <w:rPr>
                <w:rFonts w:cs="Arial"/>
                <w:sz w:val="20"/>
                <w:szCs w:val="20"/>
              </w:rPr>
            </w:pPr>
            <w:r w:rsidRPr="00F8021A">
              <w:rPr>
                <w:rFonts w:cs="Arial"/>
                <w:sz w:val="20"/>
                <w:szCs w:val="20"/>
              </w:rPr>
              <w:t>Actual</w:t>
            </w:r>
          </w:p>
        </w:tc>
        <w:tc>
          <w:tcPr>
            <w:tcW w:w="502" w:type="pct"/>
            <w:tcBorders>
              <w:bottom w:val="nil"/>
            </w:tcBorders>
            <w:shd w:val="clear" w:color="auto" w:fill="007192" w:themeFill="accent3" w:themeFillShade="BF"/>
            <w:hideMark/>
          </w:tcPr>
          <w:p w:rsidR="000128E1" w:rsidRPr="00F8021A" w:rsidRDefault="000128E1" w:rsidP="000D355E">
            <w:pPr>
              <w:pStyle w:val="tableheadingline2"/>
              <w:rPr>
                <w:rFonts w:cs="Arial"/>
                <w:sz w:val="20"/>
                <w:szCs w:val="20"/>
              </w:rPr>
            </w:pPr>
            <w:r w:rsidRPr="00F8021A">
              <w:rPr>
                <w:rFonts w:cs="Arial"/>
                <w:sz w:val="20"/>
                <w:szCs w:val="20"/>
              </w:rPr>
              <w:t>4 hr forecast</w:t>
            </w:r>
          </w:p>
        </w:tc>
        <w:tc>
          <w:tcPr>
            <w:tcW w:w="502" w:type="pct"/>
            <w:tcBorders>
              <w:bottom w:val="nil"/>
            </w:tcBorders>
            <w:shd w:val="clear" w:color="auto" w:fill="007192" w:themeFill="accent3" w:themeFillShade="BF"/>
            <w:hideMark/>
          </w:tcPr>
          <w:p w:rsidR="000128E1" w:rsidRPr="00F8021A" w:rsidRDefault="000128E1" w:rsidP="000D355E">
            <w:pPr>
              <w:pStyle w:val="tableheadingline2"/>
              <w:rPr>
                <w:rFonts w:cs="Arial"/>
                <w:sz w:val="20"/>
                <w:szCs w:val="20"/>
              </w:rPr>
            </w:pPr>
            <w:r w:rsidRPr="00F8021A">
              <w:rPr>
                <w:rFonts w:cs="Arial"/>
                <w:sz w:val="20"/>
                <w:szCs w:val="20"/>
              </w:rPr>
              <w:t>12 hr forecast</w:t>
            </w:r>
          </w:p>
        </w:tc>
      </w:tr>
      <w:tr w:rsidR="00F8021A" w:rsidRPr="00F8021A" w:rsidTr="005A6CB0">
        <w:trPr>
          <w:trHeight w:val="510"/>
        </w:trPr>
        <w:tc>
          <w:tcPr>
            <w:tcW w:w="534" w:type="pct"/>
            <w:tcBorders>
              <w:bottom w:val="nil"/>
            </w:tcBorders>
            <w:vAlign w:val="center"/>
          </w:tcPr>
          <w:p w:rsidR="00F8021A" w:rsidRPr="00F8021A" w:rsidRDefault="00F8021A" w:rsidP="00F8021A">
            <w:pPr>
              <w:pStyle w:val="NormalWeb"/>
              <w:jc w:val="center"/>
              <w:rPr>
                <w:rFonts w:asciiTheme="minorHAnsi" w:hAnsiTheme="minorHAnsi" w:cstheme="minorHAnsi"/>
                <w:sz w:val="18"/>
              </w:rPr>
            </w:pPr>
            <w:r w:rsidRPr="00F8021A">
              <w:rPr>
                <w:rFonts w:asciiTheme="minorHAnsi" w:hAnsiTheme="minorHAnsi" w:cstheme="minorHAnsi"/>
                <w:b/>
                <w:bCs/>
                <w:sz w:val="18"/>
                <w:szCs w:val="16"/>
              </w:rPr>
              <w:t>3</w:t>
            </w:r>
            <w:r>
              <w:rPr>
                <w:rFonts w:asciiTheme="minorHAnsi" w:hAnsiTheme="minorHAnsi" w:cstheme="minorHAnsi"/>
                <w:b/>
                <w:bCs/>
                <w:sz w:val="18"/>
                <w:szCs w:val="16"/>
              </w:rPr>
              <w:t xml:space="preserve"> pm</w:t>
            </w:r>
          </w:p>
        </w:tc>
        <w:tc>
          <w:tcPr>
            <w:tcW w:w="610"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863.88</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124.99</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97.54</w:t>
            </w:r>
          </w:p>
        </w:tc>
        <w:tc>
          <w:tcPr>
            <w:tcW w:w="418"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2681</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2676</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2555</w:t>
            </w:r>
          </w:p>
        </w:tc>
        <w:tc>
          <w:tcPr>
            <w:tcW w:w="425"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2962</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3031</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2997</w:t>
            </w:r>
          </w:p>
        </w:tc>
      </w:tr>
      <w:tr w:rsidR="00F8021A" w:rsidRPr="00F8021A" w:rsidTr="00F8021A">
        <w:trPr>
          <w:cnfStyle w:val="000000010000" w:firstRow="0" w:lastRow="0" w:firstColumn="0" w:lastColumn="0" w:oddVBand="0" w:evenVBand="0" w:oddHBand="0" w:evenHBand="1" w:firstRowFirstColumn="0" w:firstRowLastColumn="0" w:lastRowFirstColumn="0" w:lastRowLastColumn="0"/>
          <w:trHeight w:val="510"/>
        </w:trPr>
        <w:tc>
          <w:tcPr>
            <w:tcW w:w="534" w:type="pct"/>
            <w:tcBorders>
              <w:top w:val="nil"/>
              <w:bottom w:val="nil"/>
            </w:tcBorders>
            <w:vAlign w:val="center"/>
          </w:tcPr>
          <w:p w:rsidR="00F8021A" w:rsidRPr="00F8021A" w:rsidRDefault="00F8021A" w:rsidP="00F8021A">
            <w:pPr>
              <w:pStyle w:val="NormalWeb"/>
              <w:jc w:val="center"/>
              <w:rPr>
                <w:rFonts w:asciiTheme="minorHAnsi" w:hAnsiTheme="minorHAnsi" w:cstheme="minorHAnsi"/>
                <w:sz w:val="18"/>
              </w:rPr>
            </w:pPr>
            <w:r>
              <w:rPr>
                <w:rFonts w:asciiTheme="minorHAnsi" w:hAnsiTheme="minorHAnsi" w:cstheme="minorHAnsi"/>
                <w:b/>
                <w:bCs/>
                <w:sz w:val="18"/>
                <w:szCs w:val="16"/>
              </w:rPr>
              <w:t>3.</w:t>
            </w:r>
            <w:r w:rsidRPr="00F8021A">
              <w:rPr>
                <w:rFonts w:asciiTheme="minorHAnsi" w:hAnsiTheme="minorHAnsi" w:cstheme="minorHAnsi"/>
                <w:b/>
                <w:bCs/>
                <w:sz w:val="18"/>
                <w:szCs w:val="16"/>
              </w:rPr>
              <w:t xml:space="preserve">30 </w:t>
            </w:r>
            <w:r>
              <w:rPr>
                <w:rFonts w:asciiTheme="minorHAnsi" w:hAnsiTheme="minorHAnsi" w:cstheme="minorHAnsi"/>
                <w:b/>
                <w:bCs/>
                <w:sz w:val="18"/>
                <w:szCs w:val="16"/>
              </w:rPr>
              <w:t>pm</w:t>
            </w:r>
          </w:p>
        </w:tc>
        <w:tc>
          <w:tcPr>
            <w:tcW w:w="610"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2310.06</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124.99</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124.99</w:t>
            </w:r>
          </w:p>
        </w:tc>
        <w:tc>
          <w:tcPr>
            <w:tcW w:w="418"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2700</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2739</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2621</w:t>
            </w:r>
          </w:p>
        </w:tc>
        <w:tc>
          <w:tcPr>
            <w:tcW w:w="425"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2978</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3092</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3038</w:t>
            </w:r>
          </w:p>
        </w:tc>
      </w:tr>
      <w:tr w:rsidR="00F8021A" w:rsidRPr="00F8021A" w:rsidTr="005A6CB0">
        <w:trPr>
          <w:trHeight w:val="510"/>
        </w:trPr>
        <w:tc>
          <w:tcPr>
            <w:tcW w:w="534" w:type="pct"/>
            <w:tcBorders>
              <w:top w:val="nil"/>
            </w:tcBorders>
            <w:vAlign w:val="center"/>
          </w:tcPr>
          <w:p w:rsidR="00F8021A" w:rsidRPr="00F8021A" w:rsidRDefault="00F8021A" w:rsidP="00F8021A">
            <w:pPr>
              <w:pStyle w:val="NormalWeb"/>
              <w:jc w:val="center"/>
              <w:rPr>
                <w:rFonts w:asciiTheme="minorHAnsi" w:hAnsiTheme="minorHAnsi" w:cstheme="minorHAnsi"/>
                <w:sz w:val="18"/>
              </w:rPr>
            </w:pPr>
            <w:r>
              <w:rPr>
                <w:rFonts w:asciiTheme="minorHAnsi" w:hAnsiTheme="minorHAnsi" w:cstheme="minorHAnsi"/>
                <w:b/>
                <w:bCs/>
                <w:sz w:val="18"/>
                <w:szCs w:val="16"/>
              </w:rPr>
              <w:t>4.</w:t>
            </w:r>
            <w:r w:rsidRPr="00F8021A">
              <w:rPr>
                <w:rFonts w:asciiTheme="minorHAnsi" w:hAnsiTheme="minorHAnsi" w:cstheme="minorHAnsi"/>
                <w:b/>
                <w:bCs/>
                <w:sz w:val="18"/>
                <w:szCs w:val="16"/>
              </w:rPr>
              <w:t xml:space="preserve">30 </w:t>
            </w:r>
            <w:r>
              <w:rPr>
                <w:rFonts w:asciiTheme="minorHAnsi" w:hAnsiTheme="minorHAnsi" w:cstheme="minorHAnsi"/>
                <w:b/>
                <w:bCs/>
                <w:sz w:val="18"/>
                <w:szCs w:val="16"/>
              </w:rPr>
              <w:t>pm</w:t>
            </w:r>
          </w:p>
        </w:tc>
        <w:tc>
          <w:tcPr>
            <w:tcW w:w="610"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1682.40</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260.69</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124.99</w:t>
            </w:r>
          </w:p>
        </w:tc>
        <w:tc>
          <w:tcPr>
            <w:tcW w:w="418"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2840</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2817</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2707</w:t>
            </w:r>
          </w:p>
        </w:tc>
        <w:tc>
          <w:tcPr>
            <w:tcW w:w="425"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2980</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3082</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3070</w:t>
            </w:r>
          </w:p>
        </w:tc>
      </w:tr>
    </w:tbl>
    <w:p w:rsidR="00964C0A" w:rsidRDefault="00C41237" w:rsidP="00964C0A">
      <w:pPr>
        <w:pStyle w:val="AERbodytext"/>
      </w:pPr>
      <w:r w:rsidRPr="00C41237">
        <w:t>Demand and available capacity were close to that forecast four hours ahead.</w:t>
      </w:r>
      <w:r w:rsidR="0079310A">
        <w:t xml:space="preserve"> </w:t>
      </w:r>
      <w:r w:rsidR="00B673A4">
        <w:t>Wind generation was low at around 150 MW.</w:t>
      </w:r>
      <w:r w:rsidR="00964C0A">
        <w:t xml:space="preserve"> Demand on the day exceeded 3000 MW for the first time since February 2014.</w:t>
      </w:r>
    </w:p>
    <w:p w:rsidR="00F50B5A" w:rsidRDefault="0079310A" w:rsidP="00F50B5A">
      <w:pPr>
        <w:pStyle w:val="AERbodytext"/>
      </w:pPr>
      <w:r>
        <w:lastRenderedPageBreak/>
        <w:t xml:space="preserve">Prices were </w:t>
      </w:r>
      <w:r w:rsidR="00B673A4">
        <w:t xml:space="preserve">generally </w:t>
      </w:r>
      <w:r>
        <w:t>aligned with those in Victoria</w:t>
      </w:r>
      <w:r w:rsidR="00952579">
        <w:t xml:space="preserve"> (analysis of Victoria’s high prices on this day is earlier in this report)</w:t>
      </w:r>
      <w:r w:rsidR="00B673A4">
        <w:t xml:space="preserve"> except for the 3 pm and 3.05 pm dispatch</w:t>
      </w:r>
      <w:r w:rsidR="00952579">
        <w:t xml:space="preserve"> intervals</w:t>
      </w:r>
      <w:r>
        <w:t>.</w:t>
      </w:r>
    </w:p>
    <w:p w:rsidR="00DF02A4" w:rsidRDefault="006D38CE" w:rsidP="00BB20BA">
      <w:pPr>
        <w:pStyle w:val="AERbodytext"/>
      </w:pPr>
      <w:r>
        <w:t>At 3 pm a system normal constraint avoiding the overload of the Keith to Tailem Bend No.1 line was constraining off low-priced generation in the South East of South Australia</w:t>
      </w:r>
      <w:r w:rsidR="00E42DF3">
        <w:t>. There was also</w:t>
      </w:r>
      <w:r>
        <w:t xml:space="preserve"> a 96 MW increase in demand (largely due to a reduction in non-scheduled generation). </w:t>
      </w:r>
      <w:r w:rsidR="00E42DF3">
        <w:t>This resulted in the dispatch price reaching $3458/MWh at 3 pm.</w:t>
      </w:r>
    </w:p>
    <w:p w:rsidR="00964C0A" w:rsidRPr="00E42DF3" w:rsidRDefault="00E42DF3" w:rsidP="00BB20BA">
      <w:pPr>
        <w:pStyle w:val="AERbodytext"/>
      </w:pPr>
      <w:r>
        <w:t xml:space="preserve">At 2.56 pm, effective from 3.05 pm, </w:t>
      </w:r>
      <w:proofErr w:type="spellStart"/>
      <w:r>
        <w:t>Alinta</w:t>
      </w:r>
      <w:proofErr w:type="spellEnd"/>
      <w:r>
        <w:t xml:space="preserve"> rebid 120 MW of capacity at Northern from prices below zero to $13 330/MWh. The reason given was “1455~A~dispatch $3458 v $357.47~”. This resulted in Northern setting the price at $13 330/MWh at 3.05 pm.</w:t>
      </w:r>
    </w:p>
    <w:bookmarkEnd w:id="0"/>
    <w:bookmarkEnd w:id="1"/>
    <w:bookmarkEnd w:id="2"/>
    <w:bookmarkEnd w:id="3"/>
    <w:bookmarkEnd w:id="4"/>
    <w:bookmarkEnd w:id="5"/>
    <w:p w:rsidR="009C77CC" w:rsidRPr="0067180B" w:rsidRDefault="009C77CC" w:rsidP="009C77CC">
      <w:pPr>
        <w:pStyle w:val="AERHeading3"/>
      </w:pPr>
      <w:r>
        <w:t>Tasmania</w:t>
      </w:r>
    </w:p>
    <w:p w:rsidR="009C77CC" w:rsidRPr="0067180B" w:rsidRDefault="009C77CC" w:rsidP="009C77CC">
      <w:pPr>
        <w:pStyle w:val="AERbodytext"/>
        <w:spacing w:before="120" w:after="120"/>
        <w:rPr>
          <w:bCs/>
          <w:lang w:eastAsia="en-AU"/>
        </w:rPr>
      </w:pPr>
      <w:r w:rsidRPr="0067180B">
        <w:rPr>
          <w:bCs/>
          <w:lang w:eastAsia="en-AU"/>
        </w:rPr>
        <w:t xml:space="preserve">There were </w:t>
      </w:r>
      <w:r>
        <w:rPr>
          <w:bCs/>
          <w:lang w:eastAsia="en-AU"/>
        </w:rPr>
        <w:t xml:space="preserve">two occasions where the spot price in Tasmania was greater than three times the Tasmania weekly average price of $91/MWh and above $250/MWh and one occasion where the spot price was below </w:t>
      </w:r>
      <w:r w:rsidR="003B0D56">
        <w:rPr>
          <w:bCs/>
          <w:lang w:eastAsia="en-AU"/>
        </w:rPr>
        <w:t>-</w:t>
      </w:r>
      <w:r>
        <w:rPr>
          <w:bCs/>
          <w:lang w:eastAsia="en-AU"/>
        </w:rPr>
        <w:t>$100/MWh</w:t>
      </w:r>
      <w:r w:rsidRPr="0067180B">
        <w:rPr>
          <w:bCs/>
          <w:lang w:eastAsia="en-AU"/>
        </w:rPr>
        <w:t>.</w:t>
      </w:r>
    </w:p>
    <w:p w:rsidR="009C77CC" w:rsidRPr="00F8021A" w:rsidRDefault="009C77CC" w:rsidP="009C77CC">
      <w:pPr>
        <w:pStyle w:val="AERHeading3"/>
      </w:pPr>
      <w:r w:rsidRPr="00F8021A">
        <w:t>Thursday, 1</w:t>
      </w:r>
      <w:r w:rsidR="00F8021A">
        <w:t>7</w:t>
      </w:r>
      <w:r w:rsidRPr="00F8021A">
        <w:t xml:space="preserve"> </w:t>
      </w:r>
      <w:r w:rsidR="00F8021A">
        <w:t>Dec</w:t>
      </w:r>
      <w:r w:rsidRPr="00F8021A">
        <w:t>ember</w:t>
      </w:r>
    </w:p>
    <w:p w:rsidR="009C77CC" w:rsidRPr="00F8021A" w:rsidRDefault="009C77CC" w:rsidP="009C77CC">
      <w:pPr>
        <w:pStyle w:val="Caption"/>
      </w:pPr>
      <w:r w:rsidRPr="00F8021A">
        <w:t xml:space="preserve">Table </w:t>
      </w:r>
      <w:r w:rsidR="006D39A8">
        <w:t>7</w:t>
      </w:r>
      <w:r w:rsidRPr="00F8021A">
        <w:t>: Price, Demand and Availability</w:t>
      </w:r>
    </w:p>
    <w:tbl>
      <w:tblPr>
        <w:tblStyle w:val="AERTable-Text"/>
        <w:tblW w:w="5000" w:type="pct"/>
        <w:tblLook w:val="04A0" w:firstRow="1" w:lastRow="0" w:firstColumn="1" w:lastColumn="0" w:noHBand="0" w:noVBand="1"/>
      </w:tblPr>
      <w:tblGrid>
        <w:gridCol w:w="987"/>
        <w:gridCol w:w="1128"/>
        <w:gridCol w:w="928"/>
        <w:gridCol w:w="928"/>
        <w:gridCol w:w="773"/>
        <w:gridCol w:w="928"/>
        <w:gridCol w:w="928"/>
        <w:gridCol w:w="786"/>
        <w:gridCol w:w="928"/>
        <w:gridCol w:w="928"/>
      </w:tblGrid>
      <w:tr w:rsidR="009C77CC" w:rsidRPr="00F8021A" w:rsidTr="00B73C3A">
        <w:trPr>
          <w:cnfStyle w:val="100000000000" w:firstRow="1" w:lastRow="0" w:firstColumn="0" w:lastColumn="0" w:oddVBand="0" w:evenVBand="0" w:oddHBand="0" w:evenHBand="0" w:firstRowFirstColumn="0" w:firstRowLastColumn="0" w:lastRowFirstColumn="0" w:lastRowLastColumn="0"/>
          <w:tblHeader/>
        </w:trPr>
        <w:tc>
          <w:tcPr>
            <w:tcW w:w="534" w:type="pct"/>
            <w:hideMark/>
          </w:tcPr>
          <w:p w:rsidR="009C77CC" w:rsidRPr="00F8021A" w:rsidRDefault="009C77CC" w:rsidP="00B73C3A">
            <w:pPr>
              <w:pStyle w:val="TableHeading"/>
              <w:jc w:val="center"/>
              <w:rPr>
                <w:rFonts w:cs="Arial"/>
                <w:sz w:val="20"/>
                <w:szCs w:val="20"/>
              </w:rPr>
            </w:pPr>
            <w:r w:rsidRPr="00F8021A">
              <w:rPr>
                <w:rFonts w:cs="Arial"/>
                <w:sz w:val="20"/>
                <w:szCs w:val="20"/>
              </w:rPr>
              <w:t xml:space="preserve">Time </w:t>
            </w:r>
          </w:p>
        </w:tc>
        <w:tc>
          <w:tcPr>
            <w:tcW w:w="1614" w:type="pct"/>
            <w:gridSpan w:val="3"/>
            <w:hideMark/>
          </w:tcPr>
          <w:p w:rsidR="009C77CC" w:rsidRPr="00F8021A" w:rsidRDefault="009C77CC" w:rsidP="00B73C3A">
            <w:pPr>
              <w:pStyle w:val="TableHeading"/>
              <w:jc w:val="center"/>
              <w:rPr>
                <w:rFonts w:cs="Arial"/>
                <w:sz w:val="20"/>
                <w:szCs w:val="20"/>
              </w:rPr>
            </w:pPr>
            <w:r w:rsidRPr="00F8021A">
              <w:rPr>
                <w:rFonts w:cs="Arial"/>
                <w:sz w:val="20"/>
                <w:szCs w:val="20"/>
              </w:rPr>
              <w:t>Price ($/MWh)</w:t>
            </w:r>
          </w:p>
        </w:tc>
        <w:tc>
          <w:tcPr>
            <w:tcW w:w="1422" w:type="pct"/>
            <w:gridSpan w:val="3"/>
            <w:hideMark/>
          </w:tcPr>
          <w:p w:rsidR="009C77CC" w:rsidRPr="00F8021A" w:rsidRDefault="009C77CC" w:rsidP="00B73C3A">
            <w:pPr>
              <w:pStyle w:val="TableHeading"/>
              <w:jc w:val="center"/>
              <w:rPr>
                <w:rFonts w:cs="Arial"/>
                <w:sz w:val="20"/>
                <w:szCs w:val="20"/>
              </w:rPr>
            </w:pPr>
            <w:r w:rsidRPr="00F8021A">
              <w:rPr>
                <w:rFonts w:cs="Arial"/>
                <w:sz w:val="20"/>
                <w:szCs w:val="20"/>
              </w:rPr>
              <w:t>Demand (MW)</w:t>
            </w:r>
          </w:p>
        </w:tc>
        <w:tc>
          <w:tcPr>
            <w:tcW w:w="1429" w:type="pct"/>
            <w:gridSpan w:val="3"/>
            <w:hideMark/>
          </w:tcPr>
          <w:p w:rsidR="009C77CC" w:rsidRPr="00F8021A" w:rsidRDefault="009C77CC" w:rsidP="00B73C3A">
            <w:pPr>
              <w:pStyle w:val="TableHeading"/>
              <w:jc w:val="center"/>
              <w:rPr>
                <w:rFonts w:cs="Arial"/>
                <w:sz w:val="20"/>
                <w:szCs w:val="20"/>
              </w:rPr>
            </w:pPr>
            <w:r w:rsidRPr="00F8021A">
              <w:rPr>
                <w:rFonts w:cs="Arial"/>
                <w:sz w:val="20"/>
                <w:szCs w:val="20"/>
              </w:rPr>
              <w:t>Availability (MW)</w:t>
            </w:r>
          </w:p>
        </w:tc>
      </w:tr>
      <w:tr w:rsidR="009C77CC" w:rsidRPr="00F8021A" w:rsidTr="00B73C3A">
        <w:trPr>
          <w:cnfStyle w:val="100000000000" w:firstRow="1" w:lastRow="0" w:firstColumn="0" w:lastColumn="0" w:oddVBand="0" w:evenVBand="0" w:oddHBand="0" w:evenHBand="0" w:firstRowFirstColumn="0" w:firstRowLastColumn="0" w:lastRowFirstColumn="0" w:lastRowLastColumn="0"/>
          <w:tblHeader/>
        </w:trPr>
        <w:tc>
          <w:tcPr>
            <w:tcW w:w="534" w:type="pct"/>
            <w:tcBorders>
              <w:bottom w:val="nil"/>
            </w:tcBorders>
            <w:shd w:val="clear" w:color="auto" w:fill="007192" w:themeFill="accent3" w:themeFillShade="BF"/>
            <w:hideMark/>
          </w:tcPr>
          <w:p w:rsidR="009C77CC" w:rsidRPr="00F8021A" w:rsidRDefault="009C77CC" w:rsidP="00B73C3A">
            <w:pPr>
              <w:pStyle w:val="tableheadingline2"/>
              <w:rPr>
                <w:rFonts w:cs="Arial"/>
                <w:sz w:val="20"/>
                <w:szCs w:val="20"/>
              </w:rPr>
            </w:pPr>
            <w:r w:rsidRPr="00F8021A">
              <w:rPr>
                <w:rFonts w:cs="Arial"/>
                <w:sz w:val="20"/>
                <w:szCs w:val="20"/>
              </w:rPr>
              <w:t> </w:t>
            </w:r>
          </w:p>
        </w:tc>
        <w:tc>
          <w:tcPr>
            <w:tcW w:w="610" w:type="pct"/>
            <w:tcBorders>
              <w:bottom w:val="nil"/>
            </w:tcBorders>
            <w:shd w:val="clear" w:color="auto" w:fill="007192" w:themeFill="accent3" w:themeFillShade="BF"/>
            <w:hideMark/>
          </w:tcPr>
          <w:p w:rsidR="009C77CC" w:rsidRPr="00F8021A" w:rsidRDefault="009C77CC" w:rsidP="00B73C3A">
            <w:pPr>
              <w:pStyle w:val="tableheadingline2"/>
              <w:rPr>
                <w:rFonts w:cs="Arial"/>
                <w:sz w:val="20"/>
                <w:szCs w:val="20"/>
              </w:rPr>
            </w:pPr>
            <w:r w:rsidRPr="00F8021A">
              <w:rPr>
                <w:rFonts w:cs="Arial"/>
                <w:sz w:val="20"/>
                <w:szCs w:val="20"/>
              </w:rPr>
              <w:t>Actual</w:t>
            </w:r>
          </w:p>
        </w:tc>
        <w:tc>
          <w:tcPr>
            <w:tcW w:w="502" w:type="pct"/>
            <w:tcBorders>
              <w:bottom w:val="nil"/>
            </w:tcBorders>
            <w:shd w:val="clear" w:color="auto" w:fill="007192" w:themeFill="accent3" w:themeFillShade="BF"/>
            <w:hideMark/>
          </w:tcPr>
          <w:p w:rsidR="009C77CC" w:rsidRPr="00F8021A" w:rsidRDefault="009C77CC" w:rsidP="00B73C3A">
            <w:pPr>
              <w:pStyle w:val="tableheadingline2"/>
              <w:rPr>
                <w:rFonts w:cs="Arial"/>
                <w:sz w:val="20"/>
                <w:szCs w:val="20"/>
              </w:rPr>
            </w:pPr>
            <w:r w:rsidRPr="00F8021A">
              <w:rPr>
                <w:rFonts w:cs="Arial"/>
                <w:sz w:val="20"/>
                <w:szCs w:val="20"/>
              </w:rPr>
              <w:t>4 hr forecast</w:t>
            </w:r>
          </w:p>
        </w:tc>
        <w:tc>
          <w:tcPr>
            <w:tcW w:w="502" w:type="pct"/>
            <w:tcBorders>
              <w:bottom w:val="nil"/>
            </w:tcBorders>
            <w:shd w:val="clear" w:color="auto" w:fill="007192" w:themeFill="accent3" w:themeFillShade="BF"/>
            <w:hideMark/>
          </w:tcPr>
          <w:p w:rsidR="009C77CC" w:rsidRPr="00F8021A" w:rsidRDefault="009C77CC" w:rsidP="00B73C3A">
            <w:pPr>
              <w:pStyle w:val="tableheadingline2"/>
              <w:rPr>
                <w:rFonts w:cs="Arial"/>
                <w:sz w:val="20"/>
                <w:szCs w:val="20"/>
              </w:rPr>
            </w:pPr>
            <w:r w:rsidRPr="00F8021A">
              <w:rPr>
                <w:rFonts w:cs="Arial"/>
                <w:sz w:val="20"/>
                <w:szCs w:val="20"/>
              </w:rPr>
              <w:t>12 hr forecast</w:t>
            </w:r>
          </w:p>
        </w:tc>
        <w:tc>
          <w:tcPr>
            <w:tcW w:w="418" w:type="pct"/>
            <w:tcBorders>
              <w:bottom w:val="nil"/>
            </w:tcBorders>
            <w:shd w:val="clear" w:color="auto" w:fill="007192" w:themeFill="accent3" w:themeFillShade="BF"/>
            <w:hideMark/>
          </w:tcPr>
          <w:p w:rsidR="009C77CC" w:rsidRPr="00F8021A" w:rsidRDefault="009C77CC" w:rsidP="00B73C3A">
            <w:pPr>
              <w:pStyle w:val="tableheadingline2"/>
              <w:rPr>
                <w:rFonts w:cs="Arial"/>
                <w:sz w:val="20"/>
                <w:szCs w:val="20"/>
              </w:rPr>
            </w:pPr>
            <w:r w:rsidRPr="00F8021A">
              <w:rPr>
                <w:rFonts w:cs="Arial"/>
                <w:sz w:val="20"/>
                <w:szCs w:val="20"/>
              </w:rPr>
              <w:t>Actual</w:t>
            </w:r>
          </w:p>
        </w:tc>
        <w:tc>
          <w:tcPr>
            <w:tcW w:w="502" w:type="pct"/>
            <w:tcBorders>
              <w:bottom w:val="nil"/>
            </w:tcBorders>
            <w:shd w:val="clear" w:color="auto" w:fill="007192" w:themeFill="accent3" w:themeFillShade="BF"/>
            <w:hideMark/>
          </w:tcPr>
          <w:p w:rsidR="009C77CC" w:rsidRPr="00F8021A" w:rsidRDefault="009C77CC" w:rsidP="00B73C3A">
            <w:pPr>
              <w:pStyle w:val="tableheadingline2"/>
              <w:rPr>
                <w:rFonts w:cs="Arial"/>
                <w:sz w:val="20"/>
                <w:szCs w:val="20"/>
              </w:rPr>
            </w:pPr>
            <w:r w:rsidRPr="00F8021A">
              <w:rPr>
                <w:rFonts w:cs="Arial"/>
                <w:sz w:val="20"/>
                <w:szCs w:val="20"/>
              </w:rPr>
              <w:t>4 hr forecast</w:t>
            </w:r>
          </w:p>
        </w:tc>
        <w:tc>
          <w:tcPr>
            <w:tcW w:w="502" w:type="pct"/>
            <w:tcBorders>
              <w:bottom w:val="nil"/>
            </w:tcBorders>
            <w:shd w:val="clear" w:color="auto" w:fill="007192" w:themeFill="accent3" w:themeFillShade="BF"/>
            <w:hideMark/>
          </w:tcPr>
          <w:p w:rsidR="009C77CC" w:rsidRPr="00F8021A" w:rsidRDefault="009C77CC" w:rsidP="00B73C3A">
            <w:pPr>
              <w:pStyle w:val="tableheadingline2"/>
              <w:rPr>
                <w:rFonts w:cs="Arial"/>
                <w:sz w:val="20"/>
                <w:szCs w:val="20"/>
              </w:rPr>
            </w:pPr>
            <w:r w:rsidRPr="00F8021A">
              <w:rPr>
                <w:rFonts w:cs="Arial"/>
                <w:sz w:val="20"/>
                <w:szCs w:val="20"/>
              </w:rPr>
              <w:t>12 hr forecast</w:t>
            </w:r>
          </w:p>
        </w:tc>
        <w:tc>
          <w:tcPr>
            <w:tcW w:w="425" w:type="pct"/>
            <w:tcBorders>
              <w:bottom w:val="nil"/>
            </w:tcBorders>
            <w:shd w:val="clear" w:color="auto" w:fill="007192" w:themeFill="accent3" w:themeFillShade="BF"/>
            <w:hideMark/>
          </w:tcPr>
          <w:p w:rsidR="009C77CC" w:rsidRPr="00F8021A" w:rsidRDefault="009C77CC" w:rsidP="00B73C3A">
            <w:pPr>
              <w:pStyle w:val="tableheadingline2"/>
              <w:rPr>
                <w:rFonts w:cs="Arial"/>
                <w:sz w:val="20"/>
                <w:szCs w:val="20"/>
              </w:rPr>
            </w:pPr>
            <w:r w:rsidRPr="00F8021A">
              <w:rPr>
                <w:rFonts w:cs="Arial"/>
                <w:sz w:val="20"/>
                <w:szCs w:val="20"/>
              </w:rPr>
              <w:t>Actual</w:t>
            </w:r>
          </w:p>
        </w:tc>
        <w:tc>
          <w:tcPr>
            <w:tcW w:w="502" w:type="pct"/>
            <w:tcBorders>
              <w:bottom w:val="nil"/>
            </w:tcBorders>
            <w:shd w:val="clear" w:color="auto" w:fill="007192" w:themeFill="accent3" w:themeFillShade="BF"/>
            <w:hideMark/>
          </w:tcPr>
          <w:p w:rsidR="009C77CC" w:rsidRPr="00F8021A" w:rsidRDefault="009C77CC" w:rsidP="00B73C3A">
            <w:pPr>
              <w:pStyle w:val="tableheadingline2"/>
              <w:rPr>
                <w:rFonts w:cs="Arial"/>
                <w:sz w:val="20"/>
                <w:szCs w:val="20"/>
              </w:rPr>
            </w:pPr>
            <w:r w:rsidRPr="00F8021A">
              <w:rPr>
                <w:rFonts w:cs="Arial"/>
                <w:sz w:val="20"/>
                <w:szCs w:val="20"/>
              </w:rPr>
              <w:t>4 hr forecast</w:t>
            </w:r>
          </w:p>
        </w:tc>
        <w:tc>
          <w:tcPr>
            <w:tcW w:w="502" w:type="pct"/>
            <w:tcBorders>
              <w:bottom w:val="nil"/>
            </w:tcBorders>
            <w:shd w:val="clear" w:color="auto" w:fill="007192" w:themeFill="accent3" w:themeFillShade="BF"/>
            <w:hideMark/>
          </w:tcPr>
          <w:p w:rsidR="009C77CC" w:rsidRPr="00F8021A" w:rsidRDefault="009C77CC" w:rsidP="00B73C3A">
            <w:pPr>
              <w:pStyle w:val="tableheadingline2"/>
              <w:rPr>
                <w:rFonts w:cs="Arial"/>
                <w:sz w:val="20"/>
                <w:szCs w:val="20"/>
              </w:rPr>
            </w:pPr>
            <w:r w:rsidRPr="00F8021A">
              <w:rPr>
                <w:rFonts w:cs="Arial"/>
                <w:sz w:val="20"/>
                <w:szCs w:val="20"/>
              </w:rPr>
              <w:t>12 hr forecast</w:t>
            </w:r>
          </w:p>
        </w:tc>
      </w:tr>
      <w:tr w:rsidR="00F8021A" w:rsidRPr="00F8021A" w:rsidTr="00B73C3A">
        <w:trPr>
          <w:trHeight w:val="510"/>
        </w:trPr>
        <w:tc>
          <w:tcPr>
            <w:tcW w:w="534" w:type="pct"/>
            <w:tcBorders>
              <w:bottom w:val="nil"/>
            </w:tcBorders>
            <w:vAlign w:val="center"/>
          </w:tcPr>
          <w:p w:rsidR="00F8021A" w:rsidRPr="00F8021A" w:rsidRDefault="00F8021A">
            <w:pPr>
              <w:pStyle w:val="NormalWeb"/>
              <w:jc w:val="center"/>
              <w:rPr>
                <w:rFonts w:asciiTheme="minorHAnsi" w:hAnsiTheme="minorHAnsi" w:cstheme="minorHAnsi"/>
                <w:sz w:val="18"/>
              </w:rPr>
            </w:pPr>
            <w:r>
              <w:rPr>
                <w:rFonts w:asciiTheme="minorHAnsi" w:hAnsiTheme="minorHAnsi" w:cstheme="minorHAnsi"/>
                <w:b/>
                <w:bCs/>
                <w:sz w:val="18"/>
                <w:szCs w:val="16"/>
              </w:rPr>
              <w:t>4.</w:t>
            </w:r>
            <w:r w:rsidRPr="00F8021A">
              <w:rPr>
                <w:rFonts w:asciiTheme="minorHAnsi" w:hAnsiTheme="minorHAnsi" w:cstheme="minorHAnsi"/>
                <w:b/>
                <w:bCs/>
                <w:sz w:val="18"/>
                <w:szCs w:val="16"/>
              </w:rPr>
              <w:t xml:space="preserve">30 </w:t>
            </w:r>
            <w:r>
              <w:rPr>
                <w:rFonts w:asciiTheme="minorHAnsi" w:hAnsiTheme="minorHAnsi" w:cstheme="minorHAnsi"/>
                <w:b/>
                <w:bCs/>
                <w:sz w:val="18"/>
                <w:szCs w:val="16"/>
              </w:rPr>
              <w:t>pm</w:t>
            </w:r>
          </w:p>
        </w:tc>
        <w:tc>
          <w:tcPr>
            <w:tcW w:w="610"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-410.38</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84.77</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88.31</w:t>
            </w:r>
          </w:p>
        </w:tc>
        <w:tc>
          <w:tcPr>
            <w:tcW w:w="418"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1090</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1141</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1148</w:t>
            </w:r>
          </w:p>
        </w:tc>
        <w:tc>
          <w:tcPr>
            <w:tcW w:w="425"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2203</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2267</w:t>
            </w:r>
          </w:p>
        </w:tc>
        <w:tc>
          <w:tcPr>
            <w:tcW w:w="502" w:type="pct"/>
            <w:tcBorders>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2261</w:t>
            </w:r>
          </w:p>
        </w:tc>
      </w:tr>
      <w:tr w:rsidR="00F8021A" w:rsidRPr="00F8021A" w:rsidTr="00F8021A">
        <w:trPr>
          <w:cnfStyle w:val="000000010000" w:firstRow="0" w:lastRow="0" w:firstColumn="0" w:lastColumn="0" w:oddVBand="0" w:evenVBand="0" w:oddHBand="0" w:evenHBand="1" w:firstRowFirstColumn="0" w:firstRowLastColumn="0" w:lastRowFirstColumn="0" w:lastRowLastColumn="0"/>
          <w:trHeight w:val="510"/>
        </w:trPr>
        <w:tc>
          <w:tcPr>
            <w:tcW w:w="534"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Pr>
                <w:rFonts w:asciiTheme="minorHAnsi" w:hAnsiTheme="minorHAnsi" w:cstheme="minorHAnsi"/>
                <w:b/>
                <w:bCs/>
                <w:sz w:val="18"/>
                <w:szCs w:val="16"/>
              </w:rPr>
              <w:t>6.</w:t>
            </w:r>
            <w:r w:rsidRPr="00F8021A">
              <w:rPr>
                <w:rFonts w:asciiTheme="minorHAnsi" w:hAnsiTheme="minorHAnsi" w:cstheme="minorHAnsi"/>
                <w:b/>
                <w:bCs/>
                <w:sz w:val="18"/>
                <w:szCs w:val="16"/>
              </w:rPr>
              <w:t xml:space="preserve">30 </w:t>
            </w:r>
            <w:r>
              <w:rPr>
                <w:rFonts w:asciiTheme="minorHAnsi" w:hAnsiTheme="minorHAnsi" w:cstheme="minorHAnsi"/>
                <w:b/>
                <w:bCs/>
                <w:sz w:val="18"/>
                <w:szCs w:val="16"/>
              </w:rPr>
              <w:t>pm</w:t>
            </w:r>
          </w:p>
        </w:tc>
        <w:tc>
          <w:tcPr>
            <w:tcW w:w="610"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288.12</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287.37</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99.54</w:t>
            </w:r>
          </w:p>
        </w:tc>
        <w:tc>
          <w:tcPr>
            <w:tcW w:w="418"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1208</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1127</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1169</w:t>
            </w:r>
          </w:p>
        </w:tc>
        <w:tc>
          <w:tcPr>
            <w:tcW w:w="425"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2076</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2057</w:t>
            </w:r>
          </w:p>
        </w:tc>
        <w:tc>
          <w:tcPr>
            <w:tcW w:w="502" w:type="pct"/>
            <w:tcBorders>
              <w:top w:val="nil"/>
              <w:bottom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2161</w:t>
            </w:r>
          </w:p>
        </w:tc>
      </w:tr>
      <w:tr w:rsidR="00F8021A" w:rsidRPr="00F8021A" w:rsidTr="00B73C3A">
        <w:trPr>
          <w:trHeight w:val="510"/>
        </w:trPr>
        <w:tc>
          <w:tcPr>
            <w:tcW w:w="534" w:type="pct"/>
            <w:tcBorders>
              <w:top w:val="nil"/>
            </w:tcBorders>
            <w:vAlign w:val="center"/>
          </w:tcPr>
          <w:p w:rsidR="00F8021A" w:rsidRPr="00F8021A" w:rsidRDefault="00F8021A" w:rsidP="00F8021A">
            <w:pPr>
              <w:pStyle w:val="NormalWeb"/>
              <w:jc w:val="center"/>
              <w:rPr>
                <w:rFonts w:asciiTheme="minorHAnsi" w:hAnsiTheme="minorHAnsi" w:cstheme="minorHAnsi"/>
                <w:sz w:val="18"/>
              </w:rPr>
            </w:pPr>
            <w:r w:rsidRPr="00F8021A">
              <w:rPr>
                <w:rFonts w:asciiTheme="minorHAnsi" w:hAnsiTheme="minorHAnsi" w:cstheme="minorHAnsi"/>
                <w:b/>
                <w:bCs/>
                <w:sz w:val="18"/>
                <w:szCs w:val="16"/>
              </w:rPr>
              <w:t>7</w:t>
            </w:r>
            <w:r>
              <w:rPr>
                <w:rFonts w:asciiTheme="minorHAnsi" w:hAnsiTheme="minorHAnsi" w:cstheme="minorHAnsi"/>
                <w:b/>
                <w:bCs/>
                <w:sz w:val="18"/>
                <w:szCs w:val="16"/>
              </w:rPr>
              <w:t xml:space="preserve"> pm</w:t>
            </w:r>
          </w:p>
        </w:tc>
        <w:tc>
          <w:tcPr>
            <w:tcW w:w="610"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286.93</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84.77</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84.77</w:t>
            </w:r>
          </w:p>
        </w:tc>
        <w:tc>
          <w:tcPr>
            <w:tcW w:w="418"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1194</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1130</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1170</w:t>
            </w:r>
          </w:p>
        </w:tc>
        <w:tc>
          <w:tcPr>
            <w:tcW w:w="425"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2066</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2054</w:t>
            </w:r>
          </w:p>
        </w:tc>
        <w:tc>
          <w:tcPr>
            <w:tcW w:w="502" w:type="pct"/>
            <w:tcBorders>
              <w:top w:val="nil"/>
            </w:tcBorders>
            <w:vAlign w:val="center"/>
          </w:tcPr>
          <w:p w:rsidR="00F8021A" w:rsidRPr="00F8021A" w:rsidRDefault="00F8021A">
            <w:pPr>
              <w:pStyle w:val="NormalWeb"/>
              <w:jc w:val="center"/>
              <w:rPr>
                <w:rFonts w:asciiTheme="minorHAnsi" w:hAnsiTheme="minorHAnsi" w:cstheme="minorHAnsi"/>
                <w:sz w:val="18"/>
              </w:rPr>
            </w:pPr>
            <w:r w:rsidRPr="00F8021A">
              <w:rPr>
                <w:rFonts w:asciiTheme="minorHAnsi" w:hAnsiTheme="minorHAnsi" w:cstheme="minorHAnsi"/>
                <w:sz w:val="18"/>
                <w:szCs w:val="16"/>
              </w:rPr>
              <w:t>2157</w:t>
            </w:r>
          </w:p>
        </w:tc>
      </w:tr>
    </w:tbl>
    <w:p w:rsidR="009C77CC" w:rsidRDefault="003468FE" w:rsidP="009C77CC">
      <w:pPr>
        <w:pStyle w:val="AERbodytext"/>
      </w:pPr>
      <w:r>
        <w:br/>
      </w:r>
      <w:r w:rsidR="009C77CC" w:rsidRPr="00D43663">
        <w:t>Conditions at the time saw demand</w:t>
      </w:r>
      <w:r w:rsidR="00D43663" w:rsidRPr="00D43663">
        <w:t xml:space="preserve"> and available capacity</w:t>
      </w:r>
      <w:r w:rsidR="009C77CC" w:rsidRPr="00D43663">
        <w:t xml:space="preserve"> </w:t>
      </w:r>
      <w:r w:rsidR="00D43663" w:rsidRPr="00D43663">
        <w:t xml:space="preserve">close to forecast four hours ahead during all three trading intervals. </w:t>
      </w:r>
    </w:p>
    <w:p w:rsidR="00302D83" w:rsidRDefault="00302D83" w:rsidP="009C77CC">
      <w:pPr>
        <w:pStyle w:val="AERbodytext"/>
      </w:pPr>
      <w:r>
        <w:t>During the 4.05</w:t>
      </w:r>
      <w:r w:rsidR="008934F4">
        <w:t> </w:t>
      </w:r>
      <w:r>
        <w:t xml:space="preserve">pm dispatch interval, the dispatch price in Victoria reached the price cap. </w:t>
      </w:r>
      <w:r w:rsidR="00DF2EAC">
        <w:t xml:space="preserve">At 4.05 pm, flows </w:t>
      </w:r>
      <w:r>
        <w:t xml:space="preserve">on the </w:t>
      </w:r>
      <w:proofErr w:type="spellStart"/>
      <w:r>
        <w:t>Basslink</w:t>
      </w:r>
      <w:proofErr w:type="spellEnd"/>
      <w:r>
        <w:t xml:space="preserve"> interconnector increase</w:t>
      </w:r>
      <w:r w:rsidR="00DF2EAC">
        <w:t>d</w:t>
      </w:r>
      <w:r>
        <w:t xml:space="preserve"> by 101</w:t>
      </w:r>
      <w:r w:rsidR="008934F4">
        <w:t> </w:t>
      </w:r>
      <w:r>
        <w:t xml:space="preserve">MW </w:t>
      </w:r>
      <w:r w:rsidR="00DF2EAC">
        <w:t xml:space="preserve">(to 515 MW) </w:t>
      </w:r>
      <w:r>
        <w:t xml:space="preserve">towards Victoria and the </w:t>
      </w:r>
      <w:r w:rsidR="00DF2EAC">
        <w:t xml:space="preserve">Tasmanian </w:t>
      </w:r>
      <w:r>
        <w:t>dispatch price reach</w:t>
      </w:r>
      <w:r w:rsidR="00DF2EAC">
        <w:t>ed</w:t>
      </w:r>
      <w:r>
        <w:t xml:space="preserve"> $1197/MWh. </w:t>
      </w:r>
      <w:r w:rsidR="00FD678F">
        <w:t xml:space="preserve">Prices in </w:t>
      </w:r>
      <w:r w:rsidR="00FD678F">
        <w:t>Tasmania</w:t>
      </w:r>
      <w:r w:rsidR="00FD678F">
        <w:t xml:space="preserve"> and Victoria were effectively aligned from 4.10 pm</w:t>
      </w:r>
      <w:r w:rsidR="00FD678F">
        <w:t>.</w:t>
      </w:r>
    </w:p>
    <w:p w:rsidR="00DE6AA6" w:rsidRDefault="00DE6AA6" w:rsidP="009C77CC">
      <w:pPr>
        <w:pStyle w:val="AERbodytext"/>
      </w:pPr>
      <w:r>
        <w:t>At 4.08</w:t>
      </w:r>
      <w:r w:rsidR="008934F4">
        <w:t> </w:t>
      </w:r>
      <w:r>
        <w:t>pm, effective from 4.15</w:t>
      </w:r>
      <w:r w:rsidR="008934F4">
        <w:t> </w:t>
      </w:r>
      <w:r>
        <w:t>pm, Hydro Tasmania rebid 1</w:t>
      </w:r>
      <w:r w:rsidR="006D39A8">
        <w:t>380</w:t>
      </w:r>
      <w:r w:rsidR="008934F4">
        <w:t> </w:t>
      </w:r>
      <w:r>
        <w:t xml:space="preserve">MW of available capacity across its portfolio from prices above </w:t>
      </w:r>
      <w:r w:rsidR="003B0D56">
        <w:t>-</w:t>
      </w:r>
      <w:r w:rsidRPr="00DE6AA6">
        <w:t>$75/MWh to the price floor</w:t>
      </w:r>
      <w:r w:rsidR="00C66E74">
        <w:t xml:space="preserve"> (</w:t>
      </w:r>
      <w:r w:rsidRPr="00DE6AA6">
        <w:t>reason</w:t>
      </w:r>
      <w:r w:rsidR="00C66E74">
        <w:t>:</w:t>
      </w:r>
      <w:r w:rsidRPr="00DE6AA6">
        <w:t xml:space="preserve"> “1610A </w:t>
      </w:r>
      <w:proofErr w:type="spellStart"/>
      <w:r w:rsidR="003B0D56">
        <w:t>B</w:t>
      </w:r>
      <w:r w:rsidR="003B0D56" w:rsidRPr="00DE6AA6">
        <w:t>assllink</w:t>
      </w:r>
      <w:proofErr w:type="spellEnd"/>
      <w:r w:rsidR="003B0D56" w:rsidRPr="00DE6AA6">
        <w:t xml:space="preserve"> export flow less than forecast</w:t>
      </w:r>
      <w:r w:rsidRPr="00DE6AA6">
        <w:t>.”</w:t>
      </w:r>
      <w:r w:rsidR="00C66E74">
        <w:t xml:space="preserve">) and </w:t>
      </w:r>
      <w:r>
        <w:t xml:space="preserve">the dispatch price </w:t>
      </w:r>
      <w:r w:rsidR="00C66E74">
        <w:t xml:space="preserve">dropped </w:t>
      </w:r>
      <w:r>
        <w:t xml:space="preserve">to </w:t>
      </w:r>
      <w:r w:rsidR="003B0D56">
        <w:t>-</w:t>
      </w:r>
      <w:r>
        <w:t>$709/MWh for the 4.15</w:t>
      </w:r>
      <w:r w:rsidR="003B0D56">
        <w:t> </w:t>
      </w:r>
      <w:r>
        <w:t xml:space="preserve">pm dispatch interval. </w:t>
      </w:r>
    </w:p>
    <w:p w:rsidR="00D43663" w:rsidRDefault="00DE6AA6" w:rsidP="009C77CC">
      <w:pPr>
        <w:pStyle w:val="AERbodytext"/>
      </w:pPr>
      <w:r>
        <w:t>At 4.13</w:t>
      </w:r>
      <w:r w:rsidR="006651E1">
        <w:t> </w:t>
      </w:r>
      <w:r>
        <w:t>pm, effective from 4.20</w:t>
      </w:r>
      <w:r w:rsidR="006651E1">
        <w:t> </w:t>
      </w:r>
      <w:r>
        <w:t>pm, Hydro Tasmania rebid 365</w:t>
      </w:r>
      <w:r w:rsidR="006651E1">
        <w:t> </w:t>
      </w:r>
      <w:r>
        <w:t xml:space="preserve">MW of available capacity at Gordon, John Butters, and Poatina from prices above </w:t>
      </w:r>
      <w:r w:rsidRPr="00DE6AA6">
        <w:t>-$75/MWh to the price floor</w:t>
      </w:r>
      <w:r w:rsidR="00C66E74">
        <w:t xml:space="preserve"> (reason:</w:t>
      </w:r>
      <w:r w:rsidRPr="00DE6AA6">
        <w:t>“</w:t>
      </w:r>
      <w:r>
        <w:t xml:space="preserve">1615A </w:t>
      </w:r>
      <w:proofErr w:type="spellStart"/>
      <w:r w:rsidR="003B0D56">
        <w:t>Bass</w:t>
      </w:r>
      <w:r w:rsidR="003B0D56" w:rsidRPr="00DE6AA6">
        <w:t>link</w:t>
      </w:r>
      <w:proofErr w:type="spellEnd"/>
      <w:r w:rsidR="003B0D56" w:rsidRPr="00DE6AA6">
        <w:t xml:space="preserve"> export flow less than forecast</w:t>
      </w:r>
      <w:r w:rsidRPr="00DE6AA6">
        <w:t>.”</w:t>
      </w:r>
      <w:r w:rsidR="00C66E74">
        <w:t>)</w:t>
      </w:r>
      <w:r w:rsidR="00DF2EAC">
        <w:t xml:space="preserve"> </w:t>
      </w:r>
      <w:proofErr w:type="gramStart"/>
      <w:r w:rsidR="00DF2EAC">
        <w:t>and</w:t>
      </w:r>
      <w:proofErr w:type="gramEnd"/>
      <w:r w:rsidR="00DF2EAC">
        <w:t xml:space="preserve"> the </w:t>
      </w:r>
      <w:r>
        <w:t xml:space="preserve">dispatch price </w:t>
      </w:r>
      <w:r w:rsidR="00DF2EAC">
        <w:t xml:space="preserve">effectively hit </w:t>
      </w:r>
      <w:r>
        <w:t xml:space="preserve">the price floor for the </w:t>
      </w:r>
      <w:r w:rsidR="00DF2EAC">
        <w:t xml:space="preserve">rest </w:t>
      </w:r>
      <w:r>
        <w:t>of the trading interval.</w:t>
      </w:r>
      <w:r w:rsidR="00DF2EAC">
        <w:t xml:space="preserve"> Prices </w:t>
      </w:r>
      <w:r w:rsidR="002A253C">
        <w:t xml:space="preserve">in Tasmania </w:t>
      </w:r>
      <w:r w:rsidR="00DF2EAC">
        <w:t xml:space="preserve">increased to -$62/MWh </w:t>
      </w:r>
      <w:r w:rsidR="002A253C">
        <w:t>for the 5 pm trading interval when these rebids expired.</w:t>
      </w:r>
    </w:p>
    <w:p w:rsidR="00302D83" w:rsidRDefault="00C66E74" w:rsidP="00302D83">
      <w:pPr>
        <w:pStyle w:val="AERbodytext"/>
      </w:pPr>
      <w:r>
        <w:lastRenderedPageBreak/>
        <w:t>Prices were aligned between Victoria and Tasmania f</w:t>
      </w:r>
      <w:r w:rsidR="00D43663">
        <w:t>or the 6.30</w:t>
      </w:r>
      <w:r w:rsidR="00191984">
        <w:t> </w:t>
      </w:r>
      <w:r w:rsidR="00D43663">
        <w:t>pm and 7</w:t>
      </w:r>
      <w:r w:rsidR="00191984">
        <w:t> </w:t>
      </w:r>
      <w:r w:rsidR="00D43663">
        <w:t>pm trading intervals</w:t>
      </w:r>
      <w:r>
        <w:t xml:space="preserve"> and </w:t>
      </w:r>
      <w:proofErr w:type="spellStart"/>
      <w:r w:rsidR="00D43663">
        <w:t>Basslink</w:t>
      </w:r>
      <w:proofErr w:type="spellEnd"/>
      <w:r w:rsidR="00D43663">
        <w:t xml:space="preserve"> </w:t>
      </w:r>
      <w:r w:rsidR="00FA0364">
        <w:t xml:space="preserve">was </w:t>
      </w:r>
      <w:r>
        <w:t xml:space="preserve">flowing </w:t>
      </w:r>
      <w:r w:rsidR="00FA0364">
        <w:t xml:space="preserve">into Victoria at </w:t>
      </w:r>
      <w:r w:rsidR="00D43663">
        <w:t>between 450</w:t>
      </w:r>
      <w:r w:rsidR="00191984">
        <w:t> MW and 502 </w:t>
      </w:r>
      <w:r w:rsidR="00D43663">
        <w:t xml:space="preserve">MW </w:t>
      </w:r>
      <w:r w:rsidR="00191984">
        <w:t xml:space="preserve">(four hours ahead it was forecast to be </w:t>
      </w:r>
      <w:r>
        <w:t>flowing</w:t>
      </w:r>
      <w:r w:rsidR="00191984">
        <w:t xml:space="preserve"> from Victoria)</w:t>
      </w:r>
      <w:r w:rsidR="00302D83">
        <w:t>.</w:t>
      </w:r>
    </w:p>
    <w:p w:rsidR="00275002" w:rsidRPr="0031019A" w:rsidRDefault="00275002" w:rsidP="00191984">
      <w:pPr>
        <w:pStyle w:val="Heading2"/>
        <w:spacing w:before="120"/>
      </w:pPr>
      <w:r w:rsidRPr="0031019A">
        <w:t>Financial markets</w:t>
      </w:r>
    </w:p>
    <w:p w:rsidR="00275002" w:rsidRPr="0031019A" w:rsidRDefault="00275002" w:rsidP="00191984">
      <w:pPr>
        <w:pStyle w:val="AERbodytext"/>
        <w:spacing w:before="120" w:after="0" w:line="240" w:lineRule="auto"/>
      </w:pPr>
      <w:r>
        <w:fldChar w:fldCharType="begin"/>
      </w:r>
      <w:r>
        <w:instrText xml:space="preserve"> REF _Ref410386540 \h </w:instrText>
      </w:r>
      <w:r w:rsidR="009A3D22">
        <w:instrText xml:space="preserve"> \* MERGEFORMAT </w:instrText>
      </w:r>
      <w:r>
        <w:fldChar w:fldCharType="separate"/>
      </w:r>
      <w:r w:rsidR="00470DFF">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191984">
      <w:pPr>
        <w:pStyle w:val="Caption"/>
        <w:spacing w:before="120" w:after="0" w:line="240" w:lineRule="auto"/>
      </w:pPr>
      <w:bookmarkStart w:id="21" w:name="_Ref410386540"/>
      <w:r>
        <w:t xml:space="preserve">Figure </w:t>
      </w:r>
      <w:fldSimple w:instr=" SEQ Figure \* ARABIC ">
        <w:r w:rsidR="00470DFF">
          <w:rPr>
            <w:noProof/>
          </w:rPr>
          <w:t>9</w:t>
        </w:r>
      </w:fldSimple>
      <w:bookmarkEnd w:id="21"/>
      <w:r w:rsidR="002515C3">
        <w:t>:</w:t>
      </w:r>
      <w:r>
        <w:t xml:space="preserve"> </w:t>
      </w:r>
      <w:r w:rsidRPr="007A6ACB">
        <w:t>Quarterly base future prices Q</w:t>
      </w:r>
      <w:r w:rsidR="0054173F">
        <w:t>4</w:t>
      </w:r>
      <w:r w:rsidRPr="007A6ACB">
        <w:t xml:space="preserve"> 2015 – Q</w:t>
      </w:r>
      <w:r w:rsidR="00115CCB">
        <w:t>3</w:t>
      </w:r>
      <w:r w:rsidRPr="007A6ACB">
        <w:t xml:space="preserve"> 201</w:t>
      </w:r>
      <w:r w:rsidR="00F87EBA">
        <w:t>9</w:t>
      </w:r>
    </w:p>
    <w:p w:rsidR="00EB456D" w:rsidRPr="00EB456D" w:rsidRDefault="00FE4B6D" w:rsidP="00191984">
      <w:pPr>
        <w:spacing w:before="0" w:line="240" w:lineRule="auto"/>
      </w:pPr>
      <w:r w:rsidRPr="00FE4B6D">
        <w:rPr>
          <w:noProof/>
          <w:lang w:eastAsia="en-AU"/>
        </w:rPr>
        <w:drawing>
          <wp:inline distT="0" distB="0" distL="0" distR="0" wp14:anchorId="4AD63051" wp14:editId="160876A2">
            <wp:extent cx="5731510" cy="2887842"/>
            <wp:effectExtent l="0" t="0" r="2540" b="8255"/>
            <wp:docPr id="22" name="Picture 22"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7842"/>
                    </a:xfrm>
                    <a:prstGeom prst="rect">
                      <a:avLst/>
                    </a:prstGeom>
                    <a:noFill/>
                    <a:ln>
                      <a:noFill/>
                    </a:ln>
                  </pic:spPr>
                </pic:pic>
              </a:graphicData>
            </a:graphic>
          </wp:inline>
        </w:drawing>
      </w:r>
    </w:p>
    <w:p w:rsidR="00CA0ECB" w:rsidRDefault="00275002" w:rsidP="00191984">
      <w:pPr>
        <w:spacing w:before="0" w:line="240" w:lineRule="auto"/>
        <w:rPr>
          <w:lang w:eastAsia="en-AU"/>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Default="00275002" w:rsidP="009A3D22">
      <w:pPr>
        <w:jc w:val="both"/>
      </w:pPr>
      <w:r>
        <w:fldChar w:fldCharType="begin"/>
      </w:r>
      <w:r>
        <w:instrText xml:space="preserve"> REF _Ref410380382 \h </w:instrText>
      </w:r>
      <w:r w:rsidR="009A3D22">
        <w:instrText xml:space="preserve"> \* MERGEFORMAT </w:instrText>
      </w:r>
      <w:r>
        <w:fldChar w:fldCharType="separate"/>
      </w:r>
      <w:r w:rsidR="00470DFF">
        <w:t xml:space="preserve">Figure </w:t>
      </w:r>
      <w:r w:rsidR="00470DFF">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r w:rsidR="002B720D">
        <w:t>T</w:t>
      </w:r>
      <w:r w:rsidR="002B720D" w:rsidRPr="002B720D">
        <w:t xml:space="preserve">he high volume of trades in Figure 9, 10, and 11 are due to options on calendar year base load expiring on </w:t>
      </w:r>
      <w:r w:rsidR="002B720D">
        <w:t>Thursday</w:t>
      </w:r>
      <w:r w:rsidR="002B720D" w:rsidRPr="002B720D">
        <w:t xml:space="preserve"> 19</w:t>
      </w:r>
      <w:r w:rsidR="002B720D">
        <w:t> </w:t>
      </w:r>
      <w:r w:rsidR="002B720D" w:rsidRPr="002B720D">
        <w:t>November.</w:t>
      </w:r>
    </w:p>
    <w:p w:rsidR="00275002" w:rsidRDefault="00275002" w:rsidP="002B720D">
      <w:pPr>
        <w:pStyle w:val="Caption"/>
      </w:pPr>
      <w:bookmarkStart w:id="22" w:name="_Ref410380382"/>
      <w:r>
        <w:lastRenderedPageBreak/>
        <w:t xml:space="preserve">Figure </w:t>
      </w:r>
      <w:fldSimple w:instr=" SEQ Figure \* ARABIC ">
        <w:r w:rsidR="00470DFF">
          <w:rPr>
            <w:noProof/>
          </w:rPr>
          <w:t>10</w:t>
        </w:r>
      </w:fldSimple>
      <w:bookmarkEnd w:id="22"/>
      <w:r w:rsidR="002515C3">
        <w:t>:</w:t>
      </w:r>
      <w:r w:rsidRPr="00DF093A">
        <w:t xml:space="preserve"> Price of Q1 201</w:t>
      </w:r>
      <w:r w:rsidR="00F87EBA">
        <w:t>6</w:t>
      </w:r>
      <w:r w:rsidRPr="00DF093A">
        <w:t xml:space="preserve"> base contracts over the past 10 weeks (and the past 2 years)</w:t>
      </w:r>
    </w:p>
    <w:p w:rsidR="00275002" w:rsidRPr="0031019A" w:rsidRDefault="00FE4B6D" w:rsidP="004D4A76">
      <w:pPr>
        <w:pStyle w:val="Caption"/>
        <w:spacing w:before="0" w:after="0" w:line="240" w:lineRule="auto"/>
      </w:pPr>
      <w:r w:rsidRPr="00FE4B6D">
        <w:rPr>
          <w:noProof/>
          <w:lang w:eastAsia="en-AU"/>
        </w:rPr>
        <w:drawing>
          <wp:inline distT="0" distB="0" distL="0" distR="0" wp14:anchorId="2AAC6A4A" wp14:editId="33766310">
            <wp:extent cx="5731510" cy="2901820"/>
            <wp:effectExtent l="0" t="0" r="2540" b="0"/>
            <wp:docPr id="24" name="Picture 24"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01820"/>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0009653D">
          <w:rPr>
            <w:rStyle w:val="Hyperlink"/>
          </w:rPr>
          <w:t>Industry Statistics</w:t>
        </w:r>
      </w:hyperlink>
      <w:r w:rsidR="00D615F9">
        <w:t xml:space="preserve"> s</w:t>
      </w:r>
      <w:r w:rsidRPr="0031019A">
        <w:t>ection of our website.</w:t>
      </w:r>
    </w:p>
    <w:p w:rsidR="004D4A76" w:rsidRDefault="008C094A" w:rsidP="004D4A76">
      <w:pPr>
        <w:spacing w:before="120" w:after="120"/>
        <w:jc w:val="both"/>
      </w:pPr>
      <w:r>
        <w:fldChar w:fldCharType="begin"/>
      </w:r>
      <w:r>
        <w:instrText xml:space="preserve"> REF _Ref428276233 \h </w:instrText>
      </w:r>
      <w:r>
        <w:fldChar w:fldCharType="separate"/>
      </w:r>
      <w:r w:rsidR="00470DFF">
        <w:t xml:space="preserve">Figure </w:t>
      </w:r>
      <w:r w:rsidR="00470DFF">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470DFF">
          <w:rPr>
            <w:noProof/>
          </w:rPr>
          <w:t>11</w:t>
        </w:r>
      </w:fldSimple>
      <w:bookmarkEnd w:id="23"/>
      <w:r w:rsidR="002515C3">
        <w:t>:</w:t>
      </w:r>
      <w:r w:rsidRPr="0074419D">
        <w:t xml:space="preserve"> Price of Q1 201</w:t>
      </w:r>
      <w:r w:rsidR="00F87EBA">
        <w:t>6</w:t>
      </w:r>
      <w:r w:rsidRPr="0074419D">
        <w:t xml:space="preserve"> cap contracts over the past 10 weeks (and the past 2 years)</w:t>
      </w:r>
      <w:bookmarkEnd w:id="24"/>
    </w:p>
    <w:p w:rsidR="00275002" w:rsidRPr="0031019A" w:rsidRDefault="00FE4B6D" w:rsidP="00CB0FA5">
      <w:pPr>
        <w:spacing w:before="0" w:line="240" w:lineRule="auto"/>
      </w:pPr>
      <w:r w:rsidRPr="00FE4B6D">
        <w:rPr>
          <w:noProof/>
          <w:lang w:eastAsia="en-AU"/>
        </w:rPr>
        <w:drawing>
          <wp:inline distT="0" distB="0" distL="0" distR="0" wp14:anchorId="0C3A979A" wp14:editId="3ED6B2D5">
            <wp:extent cx="5731510" cy="2873998"/>
            <wp:effectExtent l="0" t="0" r="2540" b="3175"/>
            <wp:docPr id="25" name="Picture 25"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3998"/>
                    </a:xfrm>
                    <a:prstGeom prst="rect">
                      <a:avLst/>
                    </a:prstGeom>
                    <a:noFill/>
                    <a:ln>
                      <a:noFill/>
                    </a:ln>
                  </pic:spPr>
                </pic:pic>
              </a:graphicData>
            </a:graphic>
          </wp:inline>
        </w:drawing>
      </w:r>
    </w:p>
    <w:p w:rsidR="00275002" w:rsidRPr="002A7439" w:rsidRDefault="00275002" w:rsidP="00CB0FA5">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0D4350" w:rsidRDefault="000D4350" w:rsidP="00275002">
      <w:pPr>
        <w:pStyle w:val="Heading4notnumbered"/>
      </w:pPr>
    </w:p>
    <w:p w:rsidR="00275002" w:rsidRPr="0031019A" w:rsidRDefault="00275002" w:rsidP="00275002">
      <w:pPr>
        <w:pStyle w:val="Heading4notnumbered"/>
      </w:pPr>
      <w:r w:rsidRPr="0031019A">
        <w:t>Australian Energy Regulator</w:t>
      </w:r>
      <w:r w:rsidR="005B0EF5">
        <w:br/>
      </w:r>
      <w:r w:rsidR="00191984">
        <w:t>January</w:t>
      </w:r>
      <w:r w:rsidR="004D5447" w:rsidRPr="0031019A">
        <w:t xml:space="preserve"> </w:t>
      </w:r>
      <w:r w:rsidRPr="0031019A">
        <w:t>201</w:t>
      </w:r>
      <w:r w:rsidR="00191984">
        <w:t>6</w:t>
      </w:r>
    </w:p>
    <w:sectPr w:rsidR="00275002" w:rsidRPr="0031019A" w:rsidSect="00F167CF">
      <w:footerReference w:type="even" r:id="rId27"/>
      <w:footerReference w:type="default" r:id="rId28"/>
      <w:footerReference w:type="first" r:id="rId29"/>
      <w:pgSz w:w="11906" w:h="16838"/>
      <w:pgMar w:top="993" w:right="1440" w:bottom="851"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65" w:rsidRDefault="001D0165" w:rsidP="004B4412">
      <w:pPr>
        <w:spacing w:before="0"/>
      </w:pPr>
      <w:r>
        <w:separator/>
      </w:r>
    </w:p>
  </w:endnote>
  <w:endnote w:type="continuationSeparator" w:id="0">
    <w:p w:rsidR="001D0165" w:rsidRDefault="001D0165"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65" w:rsidRPr="00A91A9E" w:rsidRDefault="001D0165"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D0165" w:rsidRDefault="001D0165"/>
  <w:p w:rsidR="001D0165" w:rsidRDefault="001D01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65" w:rsidRPr="00A94D89" w:rsidRDefault="001D0165"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70DFF">
      <w:rPr>
        <w:rFonts w:cs="Arial"/>
        <w:i/>
        <w:noProof/>
      </w:rPr>
      <w:t>12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65" w:rsidRPr="00A94D89" w:rsidRDefault="001D0165"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70DFF">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D15/192055</w:t>
    </w:r>
  </w:p>
  <w:p w:rsidR="001D0165" w:rsidRDefault="001D01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65" w:rsidRDefault="001D0165" w:rsidP="004B4412">
      <w:pPr>
        <w:spacing w:before="0"/>
      </w:pPr>
      <w:r>
        <w:separator/>
      </w:r>
    </w:p>
  </w:footnote>
  <w:footnote w:type="continuationSeparator" w:id="0">
    <w:p w:rsidR="001D0165" w:rsidRDefault="001D0165"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63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Electricity report 13 - 19 December 2015.docx"/>
  </w:docVars>
  <w:rsids>
    <w:rsidRoot w:val="00275002"/>
    <w:rsid w:val="00000BFE"/>
    <w:rsid w:val="00003169"/>
    <w:rsid w:val="0000728F"/>
    <w:rsid w:val="00007624"/>
    <w:rsid w:val="000128E1"/>
    <w:rsid w:val="0001415C"/>
    <w:rsid w:val="000147C1"/>
    <w:rsid w:val="00017DD0"/>
    <w:rsid w:val="00021202"/>
    <w:rsid w:val="00022F09"/>
    <w:rsid w:val="000242E7"/>
    <w:rsid w:val="00024369"/>
    <w:rsid w:val="00024C84"/>
    <w:rsid w:val="00030794"/>
    <w:rsid w:val="000316E7"/>
    <w:rsid w:val="00033902"/>
    <w:rsid w:val="0003564D"/>
    <w:rsid w:val="0003578C"/>
    <w:rsid w:val="00040E4C"/>
    <w:rsid w:val="000422AB"/>
    <w:rsid w:val="00043FA7"/>
    <w:rsid w:val="000442BA"/>
    <w:rsid w:val="00044D80"/>
    <w:rsid w:val="000452BA"/>
    <w:rsid w:val="000461E2"/>
    <w:rsid w:val="0005123C"/>
    <w:rsid w:val="00051880"/>
    <w:rsid w:val="000528FD"/>
    <w:rsid w:val="00056949"/>
    <w:rsid w:val="00057973"/>
    <w:rsid w:val="00061CE2"/>
    <w:rsid w:val="00063247"/>
    <w:rsid w:val="00066157"/>
    <w:rsid w:val="00070F9F"/>
    <w:rsid w:val="0007137B"/>
    <w:rsid w:val="000738F4"/>
    <w:rsid w:val="00074A4E"/>
    <w:rsid w:val="000766E2"/>
    <w:rsid w:val="00077616"/>
    <w:rsid w:val="00085663"/>
    <w:rsid w:val="00085EBF"/>
    <w:rsid w:val="00086CF3"/>
    <w:rsid w:val="00087C4A"/>
    <w:rsid w:val="00087CDC"/>
    <w:rsid w:val="00091FB4"/>
    <w:rsid w:val="0009584C"/>
    <w:rsid w:val="0009653D"/>
    <w:rsid w:val="000A29ED"/>
    <w:rsid w:val="000A62D6"/>
    <w:rsid w:val="000A6F14"/>
    <w:rsid w:val="000B0311"/>
    <w:rsid w:val="000B3C8A"/>
    <w:rsid w:val="000B66C0"/>
    <w:rsid w:val="000D122C"/>
    <w:rsid w:val="000D355E"/>
    <w:rsid w:val="000D3C77"/>
    <w:rsid w:val="000D4350"/>
    <w:rsid w:val="000D68C5"/>
    <w:rsid w:val="000E1819"/>
    <w:rsid w:val="000E1A1B"/>
    <w:rsid w:val="000E2946"/>
    <w:rsid w:val="000E4F81"/>
    <w:rsid w:val="000E54D6"/>
    <w:rsid w:val="000E55C7"/>
    <w:rsid w:val="000E5B55"/>
    <w:rsid w:val="000E6C72"/>
    <w:rsid w:val="000E77BB"/>
    <w:rsid w:val="000E7E24"/>
    <w:rsid w:val="000F1D61"/>
    <w:rsid w:val="000F56F6"/>
    <w:rsid w:val="000F5855"/>
    <w:rsid w:val="000F6FA7"/>
    <w:rsid w:val="00100142"/>
    <w:rsid w:val="00113AE0"/>
    <w:rsid w:val="001158FE"/>
    <w:rsid w:val="00115CCB"/>
    <w:rsid w:val="00116EB2"/>
    <w:rsid w:val="00117195"/>
    <w:rsid w:val="0012092C"/>
    <w:rsid w:val="00122831"/>
    <w:rsid w:val="00124609"/>
    <w:rsid w:val="00125F4F"/>
    <w:rsid w:val="00127CAB"/>
    <w:rsid w:val="001337EF"/>
    <w:rsid w:val="00133FC8"/>
    <w:rsid w:val="00136716"/>
    <w:rsid w:val="00136A08"/>
    <w:rsid w:val="001373F1"/>
    <w:rsid w:val="001435CC"/>
    <w:rsid w:val="0014511E"/>
    <w:rsid w:val="00145982"/>
    <w:rsid w:val="00151F61"/>
    <w:rsid w:val="001539E0"/>
    <w:rsid w:val="0015451B"/>
    <w:rsid w:val="00155113"/>
    <w:rsid w:val="001566F6"/>
    <w:rsid w:val="001573E4"/>
    <w:rsid w:val="00160756"/>
    <w:rsid w:val="00164FB1"/>
    <w:rsid w:val="00165247"/>
    <w:rsid w:val="00165C87"/>
    <w:rsid w:val="001711CC"/>
    <w:rsid w:val="0017232E"/>
    <w:rsid w:val="00173DC1"/>
    <w:rsid w:val="00174102"/>
    <w:rsid w:val="00180157"/>
    <w:rsid w:val="00181C46"/>
    <w:rsid w:val="001832C7"/>
    <w:rsid w:val="00186831"/>
    <w:rsid w:val="00186F77"/>
    <w:rsid w:val="001901A4"/>
    <w:rsid w:val="00191984"/>
    <w:rsid w:val="00191C6F"/>
    <w:rsid w:val="00192441"/>
    <w:rsid w:val="001926A4"/>
    <w:rsid w:val="00193ED7"/>
    <w:rsid w:val="001B0C3B"/>
    <w:rsid w:val="001B2363"/>
    <w:rsid w:val="001B45A0"/>
    <w:rsid w:val="001B4A7D"/>
    <w:rsid w:val="001B6C15"/>
    <w:rsid w:val="001C027D"/>
    <w:rsid w:val="001C17B3"/>
    <w:rsid w:val="001C1BC0"/>
    <w:rsid w:val="001C2EE8"/>
    <w:rsid w:val="001C6748"/>
    <w:rsid w:val="001D0165"/>
    <w:rsid w:val="001D055E"/>
    <w:rsid w:val="001D0CE3"/>
    <w:rsid w:val="001D5BEB"/>
    <w:rsid w:val="001D60FF"/>
    <w:rsid w:val="001D7698"/>
    <w:rsid w:val="001E01B4"/>
    <w:rsid w:val="001E14C2"/>
    <w:rsid w:val="001E2F01"/>
    <w:rsid w:val="001E4665"/>
    <w:rsid w:val="001E48B3"/>
    <w:rsid w:val="001E5AEE"/>
    <w:rsid w:val="001E6FDD"/>
    <w:rsid w:val="001F03EF"/>
    <w:rsid w:val="001F0EC9"/>
    <w:rsid w:val="001F1B78"/>
    <w:rsid w:val="001F22EE"/>
    <w:rsid w:val="001F2577"/>
    <w:rsid w:val="001F492E"/>
    <w:rsid w:val="001F6DA3"/>
    <w:rsid w:val="001F7575"/>
    <w:rsid w:val="00201136"/>
    <w:rsid w:val="0020132A"/>
    <w:rsid w:val="00203300"/>
    <w:rsid w:val="0020376D"/>
    <w:rsid w:val="0020489F"/>
    <w:rsid w:val="002050F5"/>
    <w:rsid w:val="002072A2"/>
    <w:rsid w:val="0021147E"/>
    <w:rsid w:val="00212D2F"/>
    <w:rsid w:val="00213CF6"/>
    <w:rsid w:val="00214FBA"/>
    <w:rsid w:val="00215E19"/>
    <w:rsid w:val="002164FB"/>
    <w:rsid w:val="00216865"/>
    <w:rsid w:val="002216F5"/>
    <w:rsid w:val="00224DB9"/>
    <w:rsid w:val="00226F1D"/>
    <w:rsid w:val="002276F0"/>
    <w:rsid w:val="00227C97"/>
    <w:rsid w:val="00230D26"/>
    <w:rsid w:val="00232A71"/>
    <w:rsid w:val="00237048"/>
    <w:rsid w:val="00242C25"/>
    <w:rsid w:val="002438D9"/>
    <w:rsid w:val="00247473"/>
    <w:rsid w:val="002515C3"/>
    <w:rsid w:val="00251745"/>
    <w:rsid w:val="00251C37"/>
    <w:rsid w:val="00251D74"/>
    <w:rsid w:val="0025254E"/>
    <w:rsid w:val="00262F65"/>
    <w:rsid w:val="00263AC0"/>
    <w:rsid w:val="002649D2"/>
    <w:rsid w:val="002649D8"/>
    <w:rsid w:val="00265486"/>
    <w:rsid w:val="0026772D"/>
    <w:rsid w:val="00270A51"/>
    <w:rsid w:val="00275002"/>
    <w:rsid w:val="00275927"/>
    <w:rsid w:val="002817AB"/>
    <w:rsid w:val="002828A0"/>
    <w:rsid w:val="0028440E"/>
    <w:rsid w:val="00286874"/>
    <w:rsid w:val="0029246F"/>
    <w:rsid w:val="00294653"/>
    <w:rsid w:val="00296B65"/>
    <w:rsid w:val="002A1B5C"/>
    <w:rsid w:val="002A253C"/>
    <w:rsid w:val="002A3CF2"/>
    <w:rsid w:val="002A4EF8"/>
    <w:rsid w:val="002A7439"/>
    <w:rsid w:val="002A7729"/>
    <w:rsid w:val="002A7C78"/>
    <w:rsid w:val="002A7DEF"/>
    <w:rsid w:val="002B0DAE"/>
    <w:rsid w:val="002B720D"/>
    <w:rsid w:val="002C2278"/>
    <w:rsid w:val="002C581B"/>
    <w:rsid w:val="002C6DD3"/>
    <w:rsid w:val="002D1734"/>
    <w:rsid w:val="002D37FB"/>
    <w:rsid w:val="002D484E"/>
    <w:rsid w:val="002D4A1F"/>
    <w:rsid w:val="002E6254"/>
    <w:rsid w:val="002F02A4"/>
    <w:rsid w:val="002F3D02"/>
    <w:rsid w:val="002F4528"/>
    <w:rsid w:val="002F4F34"/>
    <w:rsid w:val="002F7986"/>
    <w:rsid w:val="00300C0B"/>
    <w:rsid w:val="00302D83"/>
    <w:rsid w:val="003061FA"/>
    <w:rsid w:val="00307F6D"/>
    <w:rsid w:val="003153EB"/>
    <w:rsid w:val="003177A2"/>
    <w:rsid w:val="0031784A"/>
    <w:rsid w:val="00317A81"/>
    <w:rsid w:val="00321853"/>
    <w:rsid w:val="00322300"/>
    <w:rsid w:val="003243B4"/>
    <w:rsid w:val="003271B5"/>
    <w:rsid w:val="00331264"/>
    <w:rsid w:val="00332F5D"/>
    <w:rsid w:val="00334C8D"/>
    <w:rsid w:val="00336D50"/>
    <w:rsid w:val="003401B9"/>
    <w:rsid w:val="00341169"/>
    <w:rsid w:val="00342870"/>
    <w:rsid w:val="003468FE"/>
    <w:rsid w:val="003518B3"/>
    <w:rsid w:val="00352DA8"/>
    <w:rsid w:val="00354887"/>
    <w:rsid w:val="00355CDD"/>
    <w:rsid w:val="00355D2F"/>
    <w:rsid w:val="00356E72"/>
    <w:rsid w:val="00366515"/>
    <w:rsid w:val="00367475"/>
    <w:rsid w:val="00371F3A"/>
    <w:rsid w:val="003749F7"/>
    <w:rsid w:val="00383C6B"/>
    <w:rsid w:val="003846F1"/>
    <w:rsid w:val="00384A55"/>
    <w:rsid w:val="00384B54"/>
    <w:rsid w:val="00386C86"/>
    <w:rsid w:val="00395B4C"/>
    <w:rsid w:val="003A0810"/>
    <w:rsid w:val="003A3E2D"/>
    <w:rsid w:val="003A41E0"/>
    <w:rsid w:val="003A4B6B"/>
    <w:rsid w:val="003A71A1"/>
    <w:rsid w:val="003A7DC0"/>
    <w:rsid w:val="003B0D56"/>
    <w:rsid w:val="003B282E"/>
    <w:rsid w:val="003B40ED"/>
    <w:rsid w:val="003B4804"/>
    <w:rsid w:val="003B6F90"/>
    <w:rsid w:val="003C0710"/>
    <w:rsid w:val="003C24A9"/>
    <w:rsid w:val="003C2B22"/>
    <w:rsid w:val="003C2BC1"/>
    <w:rsid w:val="003C3C98"/>
    <w:rsid w:val="003C62E9"/>
    <w:rsid w:val="003C7EFA"/>
    <w:rsid w:val="003D5258"/>
    <w:rsid w:val="003E1341"/>
    <w:rsid w:val="003E47DC"/>
    <w:rsid w:val="003E521D"/>
    <w:rsid w:val="003E78A9"/>
    <w:rsid w:val="003F0289"/>
    <w:rsid w:val="003F54CB"/>
    <w:rsid w:val="003F57F1"/>
    <w:rsid w:val="003F5F74"/>
    <w:rsid w:val="003F75C8"/>
    <w:rsid w:val="00402142"/>
    <w:rsid w:val="00403473"/>
    <w:rsid w:val="004034C5"/>
    <w:rsid w:val="00404504"/>
    <w:rsid w:val="00405B42"/>
    <w:rsid w:val="00411897"/>
    <w:rsid w:val="00412176"/>
    <w:rsid w:val="00414488"/>
    <w:rsid w:val="00415788"/>
    <w:rsid w:val="004157C0"/>
    <w:rsid w:val="00416641"/>
    <w:rsid w:val="00424809"/>
    <w:rsid w:val="00435596"/>
    <w:rsid w:val="00440D85"/>
    <w:rsid w:val="00444A48"/>
    <w:rsid w:val="00456C20"/>
    <w:rsid w:val="00462CFF"/>
    <w:rsid w:val="00470DFF"/>
    <w:rsid w:val="00471992"/>
    <w:rsid w:val="00471E68"/>
    <w:rsid w:val="0048018F"/>
    <w:rsid w:val="00480B4B"/>
    <w:rsid w:val="004831F8"/>
    <w:rsid w:val="00485752"/>
    <w:rsid w:val="00485DC4"/>
    <w:rsid w:val="00487C10"/>
    <w:rsid w:val="00492A06"/>
    <w:rsid w:val="00493B02"/>
    <w:rsid w:val="00494036"/>
    <w:rsid w:val="00495574"/>
    <w:rsid w:val="004A1184"/>
    <w:rsid w:val="004A2770"/>
    <w:rsid w:val="004A6B8F"/>
    <w:rsid w:val="004B104F"/>
    <w:rsid w:val="004B1708"/>
    <w:rsid w:val="004B231C"/>
    <w:rsid w:val="004B42A7"/>
    <w:rsid w:val="004B4412"/>
    <w:rsid w:val="004C28B2"/>
    <w:rsid w:val="004C348C"/>
    <w:rsid w:val="004C63B9"/>
    <w:rsid w:val="004C6C5B"/>
    <w:rsid w:val="004D4A76"/>
    <w:rsid w:val="004D5447"/>
    <w:rsid w:val="004D55BA"/>
    <w:rsid w:val="004E1B1C"/>
    <w:rsid w:val="004E1E95"/>
    <w:rsid w:val="004E34E7"/>
    <w:rsid w:val="004E4142"/>
    <w:rsid w:val="004E7D10"/>
    <w:rsid w:val="004F18F3"/>
    <w:rsid w:val="004F4E00"/>
    <w:rsid w:val="004F6ED0"/>
    <w:rsid w:val="00501B85"/>
    <w:rsid w:val="00502843"/>
    <w:rsid w:val="00505B5E"/>
    <w:rsid w:val="005177C0"/>
    <w:rsid w:val="00522486"/>
    <w:rsid w:val="00522668"/>
    <w:rsid w:val="005279B6"/>
    <w:rsid w:val="00530128"/>
    <w:rsid w:val="00530657"/>
    <w:rsid w:val="00532467"/>
    <w:rsid w:val="0053491C"/>
    <w:rsid w:val="0053611E"/>
    <w:rsid w:val="0054173F"/>
    <w:rsid w:val="00541904"/>
    <w:rsid w:val="00543945"/>
    <w:rsid w:val="00543BEC"/>
    <w:rsid w:val="00544C6F"/>
    <w:rsid w:val="00547DC4"/>
    <w:rsid w:val="005502E7"/>
    <w:rsid w:val="00555667"/>
    <w:rsid w:val="00556B64"/>
    <w:rsid w:val="005575B9"/>
    <w:rsid w:val="00562CEE"/>
    <w:rsid w:val="00564A4D"/>
    <w:rsid w:val="00565239"/>
    <w:rsid w:val="005656E2"/>
    <w:rsid w:val="0056783F"/>
    <w:rsid w:val="005703C9"/>
    <w:rsid w:val="005707D4"/>
    <w:rsid w:val="00571680"/>
    <w:rsid w:val="00571B35"/>
    <w:rsid w:val="005722FF"/>
    <w:rsid w:val="00572D20"/>
    <w:rsid w:val="00574241"/>
    <w:rsid w:val="00575C43"/>
    <w:rsid w:val="00577A09"/>
    <w:rsid w:val="00577F68"/>
    <w:rsid w:val="005819F3"/>
    <w:rsid w:val="00582446"/>
    <w:rsid w:val="005839B3"/>
    <w:rsid w:val="00584D8F"/>
    <w:rsid w:val="00595ED0"/>
    <w:rsid w:val="005A1339"/>
    <w:rsid w:val="005A3B2C"/>
    <w:rsid w:val="005A404D"/>
    <w:rsid w:val="005A6CB0"/>
    <w:rsid w:val="005A6F22"/>
    <w:rsid w:val="005B0461"/>
    <w:rsid w:val="005B0EF5"/>
    <w:rsid w:val="005B1E3C"/>
    <w:rsid w:val="005B7F8F"/>
    <w:rsid w:val="005C26CC"/>
    <w:rsid w:val="005C3411"/>
    <w:rsid w:val="005C3D54"/>
    <w:rsid w:val="005C3DEC"/>
    <w:rsid w:val="005C53C0"/>
    <w:rsid w:val="005C546A"/>
    <w:rsid w:val="005C592F"/>
    <w:rsid w:val="005C5D2E"/>
    <w:rsid w:val="005C5E72"/>
    <w:rsid w:val="005D2FBD"/>
    <w:rsid w:val="005D69AF"/>
    <w:rsid w:val="005E0B7E"/>
    <w:rsid w:val="005E6FFA"/>
    <w:rsid w:val="005F69C4"/>
    <w:rsid w:val="005F6ADE"/>
    <w:rsid w:val="005F702C"/>
    <w:rsid w:val="005F7247"/>
    <w:rsid w:val="00600B2D"/>
    <w:rsid w:val="00602A58"/>
    <w:rsid w:val="00603914"/>
    <w:rsid w:val="00604DB6"/>
    <w:rsid w:val="00607BA0"/>
    <w:rsid w:val="00612006"/>
    <w:rsid w:val="00613324"/>
    <w:rsid w:val="00613DEC"/>
    <w:rsid w:val="00615619"/>
    <w:rsid w:val="00615C6B"/>
    <w:rsid w:val="00616CEC"/>
    <w:rsid w:val="00620B1B"/>
    <w:rsid w:val="00621545"/>
    <w:rsid w:val="0062525D"/>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567D"/>
    <w:rsid w:val="006569A5"/>
    <w:rsid w:val="006573B5"/>
    <w:rsid w:val="00661F88"/>
    <w:rsid w:val="00663DAD"/>
    <w:rsid w:val="006651E1"/>
    <w:rsid w:val="00665ACC"/>
    <w:rsid w:val="0067180B"/>
    <w:rsid w:val="00673D15"/>
    <w:rsid w:val="00676679"/>
    <w:rsid w:val="006777D7"/>
    <w:rsid w:val="00686411"/>
    <w:rsid w:val="00687AA8"/>
    <w:rsid w:val="00694FD6"/>
    <w:rsid w:val="006956EC"/>
    <w:rsid w:val="006A35B0"/>
    <w:rsid w:val="006A5CB6"/>
    <w:rsid w:val="006A6EDD"/>
    <w:rsid w:val="006B0C7B"/>
    <w:rsid w:val="006B4CF9"/>
    <w:rsid w:val="006B6CC3"/>
    <w:rsid w:val="006B7AC8"/>
    <w:rsid w:val="006C196C"/>
    <w:rsid w:val="006C1E8B"/>
    <w:rsid w:val="006C41C4"/>
    <w:rsid w:val="006C447D"/>
    <w:rsid w:val="006C62B7"/>
    <w:rsid w:val="006D3561"/>
    <w:rsid w:val="006D38CE"/>
    <w:rsid w:val="006D39A8"/>
    <w:rsid w:val="006D550F"/>
    <w:rsid w:val="006D5B9F"/>
    <w:rsid w:val="006D7923"/>
    <w:rsid w:val="006E1E7D"/>
    <w:rsid w:val="006E218F"/>
    <w:rsid w:val="006E5F3E"/>
    <w:rsid w:val="006F3750"/>
    <w:rsid w:val="006F393C"/>
    <w:rsid w:val="006F3FCB"/>
    <w:rsid w:val="006F4C38"/>
    <w:rsid w:val="00700DAB"/>
    <w:rsid w:val="00701CAB"/>
    <w:rsid w:val="00707011"/>
    <w:rsid w:val="00707563"/>
    <w:rsid w:val="00711BF6"/>
    <w:rsid w:val="00712D03"/>
    <w:rsid w:val="0071735A"/>
    <w:rsid w:val="00720AB2"/>
    <w:rsid w:val="0072348C"/>
    <w:rsid w:val="007247EC"/>
    <w:rsid w:val="00724827"/>
    <w:rsid w:val="00724A37"/>
    <w:rsid w:val="00724BF3"/>
    <w:rsid w:val="007303C3"/>
    <w:rsid w:val="00731F13"/>
    <w:rsid w:val="007330F7"/>
    <w:rsid w:val="007417D2"/>
    <w:rsid w:val="00741D03"/>
    <w:rsid w:val="007426D5"/>
    <w:rsid w:val="00743223"/>
    <w:rsid w:val="0074428B"/>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9310A"/>
    <w:rsid w:val="007A1428"/>
    <w:rsid w:val="007A1AB0"/>
    <w:rsid w:val="007A33E8"/>
    <w:rsid w:val="007B1732"/>
    <w:rsid w:val="007B2C72"/>
    <w:rsid w:val="007B3F68"/>
    <w:rsid w:val="007C1C53"/>
    <w:rsid w:val="007C2EE8"/>
    <w:rsid w:val="007C62FE"/>
    <w:rsid w:val="007D2028"/>
    <w:rsid w:val="007D53A8"/>
    <w:rsid w:val="007D6FC9"/>
    <w:rsid w:val="007E1516"/>
    <w:rsid w:val="007E4904"/>
    <w:rsid w:val="007E4CB5"/>
    <w:rsid w:val="007E5597"/>
    <w:rsid w:val="007F066B"/>
    <w:rsid w:val="007F0F77"/>
    <w:rsid w:val="007F2BBD"/>
    <w:rsid w:val="007F475F"/>
    <w:rsid w:val="007F5457"/>
    <w:rsid w:val="008033C4"/>
    <w:rsid w:val="00806C88"/>
    <w:rsid w:val="00807A5C"/>
    <w:rsid w:val="0081034E"/>
    <w:rsid w:val="0081253D"/>
    <w:rsid w:val="00812E7B"/>
    <w:rsid w:val="00813CE4"/>
    <w:rsid w:val="008238B2"/>
    <w:rsid w:val="00831483"/>
    <w:rsid w:val="008344B4"/>
    <w:rsid w:val="008344F6"/>
    <w:rsid w:val="0083510F"/>
    <w:rsid w:val="008366CD"/>
    <w:rsid w:val="00836890"/>
    <w:rsid w:val="00840C6C"/>
    <w:rsid w:val="00847ED9"/>
    <w:rsid w:val="00851209"/>
    <w:rsid w:val="0085188E"/>
    <w:rsid w:val="00852B3D"/>
    <w:rsid w:val="008556A5"/>
    <w:rsid w:val="00857917"/>
    <w:rsid w:val="00861AED"/>
    <w:rsid w:val="00867506"/>
    <w:rsid w:val="00870903"/>
    <w:rsid w:val="0087280A"/>
    <w:rsid w:val="0087308C"/>
    <w:rsid w:val="00873B1F"/>
    <w:rsid w:val="0087440D"/>
    <w:rsid w:val="0087479D"/>
    <w:rsid w:val="00881B7D"/>
    <w:rsid w:val="008837AC"/>
    <w:rsid w:val="00884D30"/>
    <w:rsid w:val="00886BAB"/>
    <w:rsid w:val="00886CEC"/>
    <w:rsid w:val="00887EBF"/>
    <w:rsid w:val="008909FD"/>
    <w:rsid w:val="008934F4"/>
    <w:rsid w:val="008A4DB6"/>
    <w:rsid w:val="008A587D"/>
    <w:rsid w:val="008A6198"/>
    <w:rsid w:val="008A7580"/>
    <w:rsid w:val="008A7E37"/>
    <w:rsid w:val="008B0D4C"/>
    <w:rsid w:val="008B416B"/>
    <w:rsid w:val="008B6DA5"/>
    <w:rsid w:val="008C094A"/>
    <w:rsid w:val="008C1D7C"/>
    <w:rsid w:val="008C1FE0"/>
    <w:rsid w:val="008C4E0D"/>
    <w:rsid w:val="008C5486"/>
    <w:rsid w:val="008C6B16"/>
    <w:rsid w:val="008E1E8E"/>
    <w:rsid w:val="008E535A"/>
    <w:rsid w:val="008E6CAE"/>
    <w:rsid w:val="008E7031"/>
    <w:rsid w:val="008F14C9"/>
    <w:rsid w:val="008F2DE1"/>
    <w:rsid w:val="008F6713"/>
    <w:rsid w:val="008F6FC7"/>
    <w:rsid w:val="009004F5"/>
    <w:rsid w:val="0090239D"/>
    <w:rsid w:val="009057E0"/>
    <w:rsid w:val="00914975"/>
    <w:rsid w:val="00914A87"/>
    <w:rsid w:val="00915BFF"/>
    <w:rsid w:val="00921957"/>
    <w:rsid w:val="00922ACF"/>
    <w:rsid w:val="009233EE"/>
    <w:rsid w:val="0092422F"/>
    <w:rsid w:val="009335AE"/>
    <w:rsid w:val="00933B55"/>
    <w:rsid w:val="00936740"/>
    <w:rsid w:val="009377D8"/>
    <w:rsid w:val="00940393"/>
    <w:rsid w:val="00942863"/>
    <w:rsid w:val="00944863"/>
    <w:rsid w:val="00950B15"/>
    <w:rsid w:val="0095158D"/>
    <w:rsid w:val="00952579"/>
    <w:rsid w:val="00952CF7"/>
    <w:rsid w:val="009540FA"/>
    <w:rsid w:val="00956C19"/>
    <w:rsid w:val="00957591"/>
    <w:rsid w:val="0095772E"/>
    <w:rsid w:val="00960AC5"/>
    <w:rsid w:val="00960C83"/>
    <w:rsid w:val="00964C0A"/>
    <w:rsid w:val="009661DE"/>
    <w:rsid w:val="00972A40"/>
    <w:rsid w:val="00974CDB"/>
    <w:rsid w:val="00981578"/>
    <w:rsid w:val="00981E7F"/>
    <w:rsid w:val="00982FEB"/>
    <w:rsid w:val="009837D1"/>
    <w:rsid w:val="00983EEC"/>
    <w:rsid w:val="009856B7"/>
    <w:rsid w:val="00985A66"/>
    <w:rsid w:val="0098646A"/>
    <w:rsid w:val="009920D2"/>
    <w:rsid w:val="009928BC"/>
    <w:rsid w:val="0099572C"/>
    <w:rsid w:val="009A3D22"/>
    <w:rsid w:val="009A64E8"/>
    <w:rsid w:val="009A6D69"/>
    <w:rsid w:val="009B0884"/>
    <w:rsid w:val="009B1174"/>
    <w:rsid w:val="009B21F2"/>
    <w:rsid w:val="009B4E65"/>
    <w:rsid w:val="009B533B"/>
    <w:rsid w:val="009B5478"/>
    <w:rsid w:val="009B5D28"/>
    <w:rsid w:val="009B69AA"/>
    <w:rsid w:val="009B74B0"/>
    <w:rsid w:val="009C4FB9"/>
    <w:rsid w:val="009C6A83"/>
    <w:rsid w:val="009C77CC"/>
    <w:rsid w:val="009D3016"/>
    <w:rsid w:val="009D6B46"/>
    <w:rsid w:val="009E6668"/>
    <w:rsid w:val="009E7749"/>
    <w:rsid w:val="009E7AC6"/>
    <w:rsid w:val="009E7D2D"/>
    <w:rsid w:val="009F0A79"/>
    <w:rsid w:val="009F1D03"/>
    <w:rsid w:val="009F1E42"/>
    <w:rsid w:val="009F4806"/>
    <w:rsid w:val="009F4940"/>
    <w:rsid w:val="00A041F4"/>
    <w:rsid w:val="00A04F9F"/>
    <w:rsid w:val="00A057D1"/>
    <w:rsid w:val="00A103EF"/>
    <w:rsid w:val="00A159BF"/>
    <w:rsid w:val="00A15E40"/>
    <w:rsid w:val="00A2302C"/>
    <w:rsid w:val="00A26C2F"/>
    <w:rsid w:val="00A3632A"/>
    <w:rsid w:val="00A42006"/>
    <w:rsid w:val="00A4478A"/>
    <w:rsid w:val="00A44852"/>
    <w:rsid w:val="00A47A03"/>
    <w:rsid w:val="00A52A18"/>
    <w:rsid w:val="00A57D04"/>
    <w:rsid w:val="00A57D69"/>
    <w:rsid w:val="00A60A26"/>
    <w:rsid w:val="00A61598"/>
    <w:rsid w:val="00A64EBB"/>
    <w:rsid w:val="00A6730F"/>
    <w:rsid w:val="00A679F2"/>
    <w:rsid w:val="00A71AA6"/>
    <w:rsid w:val="00A75AAA"/>
    <w:rsid w:val="00A81EF8"/>
    <w:rsid w:val="00A84E2D"/>
    <w:rsid w:val="00A84F46"/>
    <w:rsid w:val="00A871F4"/>
    <w:rsid w:val="00A91A4B"/>
    <w:rsid w:val="00A923DD"/>
    <w:rsid w:val="00A9455D"/>
    <w:rsid w:val="00A94D89"/>
    <w:rsid w:val="00AA0CEB"/>
    <w:rsid w:val="00AA476F"/>
    <w:rsid w:val="00AA649A"/>
    <w:rsid w:val="00AB6478"/>
    <w:rsid w:val="00AC0FE9"/>
    <w:rsid w:val="00AC1B2C"/>
    <w:rsid w:val="00AC1CF3"/>
    <w:rsid w:val="00AC242C"/>
    <w:rsid w:val="00AC3264"/>
    <w:rsid w:val="00AD3D69"/>
    <w:rsid w:val="00AD592F"/>
    <w:rsid w:val="00AE0399"/>
    <w:rsid w:val="00AE1BF1"/>
    <w:rsid w:val="00AE2792"/>
    <w:rsid w:val="00AF0DD2"/>
    <w:rsid w:val="00AF3A41"/>
    <w:rsid w:val="00AF46F3"/>
    <w:rsid w:val="00AF4A51"/>
    <w:rsid w:val="00AF66A7"/>
    <w:rsid w:val="00AF7058"/>
    <w:rsid w:val="00B03817"/>
    <w:rsid w:val="00B057C8"/>
    <w:rsid w:val="00B109DD"/>
    <w:rsid w:val="00B11C09"/>
    <w:rsid w:val="00B1285B"/>
    <w:rsid w:val="00B13048"/>
    <w:rsid w:val="00B14CE4"/>
    <w:rsid w:val="00B1716D"/>
    <w:rsid w:val="00B17A1D"/>
    <w:rsid w:val="00B207A0"/>
    <w:rsid w:val="00B211EE"/>
    <w:rsid w:val="00B23484"/>
    <w:rsid w:val="00B25887"/>
    <w:rsid w:val="00B26AAA"/>
    <w:rsid w:val="00B30D82"/>
    <w:rsid w:val="00B31071"/>
    <w:rsid w:val="00B35810"/>
    <w:rsid w:val="00B35937"/>
    <w:rsid w:val="00B4128D"/>
    <w:rsid w:val="00B41686"/>
    <w:rsid w:val="00B44E99"/>
    <w:rsid w:val="00B56E03"/>
    <w:rsid w:val="00B62BB5"/>
    <w:rsid w:val="00B63E2C"/>
    <w:rsid w:val="00B64DF7"/>
    <w:rsid w:val="00B65CAC"/>
    <w:rsid w:val="00B673A4"/>
    <w:rsid w:val="00B70A7F"/>
    <w:rsid w:val="00B70CA5"/>
    <w:rsid w:val="00B732E5"/>
    <w:rsid w:val="00B73C3A"/>
    <w:rsid w:val="00B752C5"/>
    <w:rsid w:val="00B8080B"/>
    <w:rsid w:val="00B85D8A"/>
    <w:rsid w:val="00B87C39"/>
    <w:rsid w:val="00B87DD6"/>
    <w:rsid w:val="00B904FF"/>
    <w:rsid w:val="00B91BE8"/>
    <w:rsid w:val="00B92CD5"/>
    <w:rsid w:val="00B956D7"/>
    <w:rsid w:val="00BA1F27"/>
    <w:rsid w:val="00BA29D3"/>
    <w:rsid w:val="00BA390A"/>
    <w:rsid w:val="00BA3992"/>
    <w:rsid w:val="00BA4665"/>
    <w:rsid w:val="00BB0324"/>
    <w:rsid w:val="00BB20BA"/>
    <w:rsid w:val="00BB2FB2"/>
    <w:rsid w:val="00BB3304"/>
    <w:rsid w:val="00BB4732"/>
    <w:rsid w:val="00BB7780"/>
    <w:rsid w:val="00BC6398"/>
    <w:rsid w:val="00BC675F"/>
    <w:rsid w:val="00BD0BD0"/>
    <w:rsid w:val="00BD10B4"/>
    <w:rsid w:val="00BD3446"/>
    <w:rsid w:val="00BD4E33"/>
    <w:rsid w:val="00BD5467"/>
    <w:rsid w:val="00BD7176"/>
    <w:rsid w:val="00BD71BD"/>
    <w:rsid w:val="00BE1F1B"/>
    <w:rsid w:val="00BE47B5"/>
    <w:rsid w:val="00BE7DBC"/>
    <w:rsid w:val="00BF4639"/>
    <w:rsid w:val="00BF65C1"/>
    <w:rsid w:val="00BF771C"/>
    <w:rsid w:val="00C008E0"/>
    <w:rsid w:val="00C008FE"/>
    <w:rsid w:val="00C01734"/>
    <w:rsid w:val="00C04914"/>
    <w:rsid w:val="00C05C48"/>
    <w:rsid w:val="00C064A7"/>
    <w:rsid w:val="00C075A3"/>
    <w:rsid w:val="00C07A89"/>
    <w:rsid w:val="00C12A83"/>
    <w:rsid w:val="00C154C0"/>
    <w:rsid w:val="00C16B2C"/>
    <w:rsid w:val="00C17CB8"/>
    <w:rsid w:val="00C30BBE"/>
    <w:rsid w:val="00C31F65"/>
    <w:rsid w:val="00C34065"/>
    <w:rsid w:val="00C37AF1"/>
    <w:rsid w:val="00C41237"/>
    <w:rsid w:val="00C4709E"/>
    <w:rsid w:val="00C50EC2"/>
    <w:rsid w:val="00C51484"/>
    <w:rsid w:val="00C538A9"/>
    <w:rsid w:val="00C53B5A"/>
    <w:rsid w:val="00C54F5A"/>
    <w:rsid w:val="00C56506"/>
    <w:rsid w:val="00C565C5"/>
    <w:rsid w:val="00C6191E"/>
    <w:rsid w:val="00C62797"/>
    <w:rsid w:val="00C6290C"/>
    <w:rsid w:val="00C66E74"/>
    <w:rsid w:val="00C672E0"/>
    <w:rsid w:val="00C729B4"/>
    <w:rsid w:val="00C73A47"/>
    <w:rsid w:val="00C73C83"/>
    <w:rsid w:val="00C74A11"/>
    <w:rsid w:val="00C8473D"/>
    <w:rsid w:val="00C86679"/>
    <w:rsid w:val="00C86919"/>
    <w:rsid w:val="00C872DB"/>
    <w:rsid w:val="00C87867"/>
    <w:rsid w:val="00C950AF"/>
    <w:rsid w:val="00C9660A"/>
    <w:rsid w:val="00C96A92"/>
    <w:rsid w:val="00CA04F2"/>
    <w:rsid w:val="00CA0ECB"/>
    <w:rsid w:val="00CA51FE"/>
    <w:rsid w:val="00CB0FA5"/>
    <w:rsid w:val="00CB666B"/>
    <w:rsid w:val="00CB695E"/>
    <w:rsid w:val="00CC1D64"/>
    <w:rsid w:val="00CC2C03"/>
    <w:rsid w:val="00CC2CA1"/>
    <w:rsid w:val="00CD2754"/>
    <w:rsid w:val="00CD40AD"/>
    <w:rsid w:val="00CD4E7F"/>
    <w:rsid w:val="00CE15A5"/>
    <w:rsid w:val="00CE1831"/>
    <w:rsid w:val="00CF0E01"/>
    <w:rsid w:val="00CF455C"/>
    <w:rsid w:val="00CF5382"/>
    <w:rsid w:val="00CF62CA"/>
    <w:rsid w:val="00CF6F3C"/>
    <w:rsid w:val="00D01CF0"/>
    <w:rsid w:val="00D0442A"/>
    <w:rsid w:val="00D07128"/>
    <w:rsid w:val="00D11721"/>
    <w:rsid w:val="00D11CB3"/>
    <w:rsid w:val="00D1516F"/>
    <w:rsid w:val="00D16710"/>
    <w:rsid w:val="00D22BD4"/>
    <w:rsid w:val="00D22E23"/>
    <w:rsid w:val="00D2306D"/>
    <w:rsid w:val="00D250AC"/>
    <w:rsid w:val="00D270E1"/>
    <w:rsid w:val="00D323D0"/>
    <w:rsid w:val="00D32767"/>
    <w:rsid w:val="00D43663"/>
    <w:rsid w:val="00D44037"/>
    <w:rsid w:val="00D4681D"/>
    <w:rsid w:val="00D5111E"/>
    <w:rsid w:val="00D5124C"/>
    <w:rsid w:val="00D61388"/>
    <w:rsid w:val="00D615F9"/>
    <w:rsid w:val="00D61A54"/>
    <w:rsid w:val="00D64DEA"/>
    <w:rsid w:val="00D67D07"/>
    <w:rsid w:val="00D70F71"/>
    <w:rsid w:val="00D71771"/>
    <w:rsid w:val="00D73D17"/>
    <w:rsid w:val="00D74261"/>
    <w:rsid w:val="00D74971"/>
    <w:rsid w:val="00D80893"/>
    <w:rsid w:val="00D839A7"/>
    <w:rsid w:val="00D86899"/>
    <w:rsid w:val="00D87097"/>
    <w:rsid w:val="00D92A31"/>
    <w:rsid w:val="00D92CF1"/>
    <w:rsid w:val="00D92D38"/>
    <w:rsid w:val="00D936B6"/>
    <w:rsid w:val="00D950F5"/>
    <w:rsid w:val="00DA1CA3"/>
    <w:rsid w:val="00DB0F93"/>
    <w:rsid w:val="00DB16A7"/>
    <w:rsid w:val="00DB196A"/>
    <w:rsid w:val="00DB20BF"/>
    <w:rsid w:val="00DB4CC4"/>
    <w:rsid w:val="00DB7FD1"/>
    <w:rsid w:val="00DC153A"/>
    <w:rsid w:val="00DC24BF"/>
    <w:rsid w:val="00DC2907"/>
    <w:rsid w:val="00DC5E54"/>
    <w:rsid w:val="00DC7981"/>
    <w:rsid w:val="00DD15C2"/>
    <w:rsid w:val="00DD27EA"/>
    <w:rsid w:val="00DD33DE"/>
    <w:rsid w:val="00DE4EFA"/>
    <w:rsid w:val="00DE5520"/>
    <w:rsid w:val="00DE6AA6"/>
    <w:rsid w:val="00DE7345"/>
    <w:rsid w:val="00DF02A4"/>
    <w:rsid w:val="00DF0714"/>
    <w:rsid w:val="00DF2EAC"/>
    <w:rsid w:val="00DF7793"/>
    <w:rsid w:val="00E00EC9"/>
    <w:rsid w:val="00E03069"/>
    <w:rsid w:val="00E04818"/>
    <w:rsid w:val="00E06442"/>
    <w:rsid w:val="00E115DE"/>
    <w:rsid w:val="00E135DB"/>
    <w:rsid w:val="00E13C85"/>
    <w:rsid w:val="00E227A4"/>
    <w:rsid w:val="00E23993"/>
    <w:rsid w:val="00E2504E"/>
    <w:rsid w:val="00E25B8C"/>
    <w:rsid w:val="00E32A8C"/>
    <w:rsid w:val="00E35AE8"/>
    <w:rsid w:val="00E3678B"/>
    <w:rsid w:val="00E3724C"/>
    <w:rsid w:val="00E37F0B"/>
    <w:rsid w:val="00E40B9C"/>
    <w:rsid w:val="00E42976"/>
    <w:rsid w:val="00E42DF3"/>
    <w:rsid w:val="00E43848"/>
    <w:rsid w:val="00E4482C"/>
    <w:rsid w:val="00E4680F"/>
    <w:rsid w:val="00E47EAD"/>
    <w:rsid w:val="00E52A27"/>
    <w:rsid w:val="00E55C3C"/>
    <w:rsid w:val="00E61CFF"/>
    <w:rsid w:val="00E65C85"/>
    <w:rsid w:val="00E65CF4"/>
    <w:rsid w:val="00E66199"/>
    <w:rsid w:val="00E715D5"/>
    <w:rsid w:val="00E737E3"/>
    <w:rsid w:val="00E7472E"/>
    <w:rsid w:val="00E755EC"/>
    <w:rsid w:val="00E7624D"/>
    <w:rsid w:val="00E823D9"/>
    <w:rsid w:val="00E8569F"/>
    <w:rsid w:val="00E86851"/>
    <w:rsid w:val="00E91BED"/>
    <w:rsid w:val="00E95CA7"/>
    <w:rsid w:val="00E96EFF"/>
    <w:rsid w:val="00EA1DEE"/>
    <w:rsid w:val="00EA3D42"/>
    <w:rsid w:val="00EA6B1B"/>
    <w:rsid w:val="00EB049F"/>
    <w:rsid w:val="00EB456D"/>
    <w:rsid w:val="00EB540F"/>
    <w:rsid w:val="00EB7D7F"/>
    <w:rsid w:val="00EC24B0"/>
    <w:rsid w:val="00EC317E"/>
    <w:rsid w:val="00EC67D4"/>
    <w:rsid w:val="00EC7EB1"/>
    <w:rsid w:val="00ED3C5B"/>
    <w:rsid w:val="00ED4A25"/>
    <w:rsid w:val="00ED6E24"/>
    <w:rsid w:val="00EE164B"/>
    <w:rsid w:val="00EE28F3"/>
    <w:rsid w:val="00EE347F"/>
    <w:rsid w:val="00EE46CE"/>
    <w:rsid w:val="00EE575A"/>
    <w:rsid w:val="00EF013A"/>
    <w:rsid w:val="00EF0E42"/>
    <w:rsid w:val="00EF1961"/>
    <w:rsid w:val="00EF3FB8"/>
    <w:rsid w:val="00EF5110"/>
    <w:rsid w:val="00EF62CA"/>
    <w:rsid w:val="00F019C5"/>
    <w:rsid w:val="00F0244F"/>
    <w:rsid w:val="00F02D9B"/>
    <w:rsid w:val="00F031FE"/>
    <w:rsid w:val="00F06B5B"/>
    <w:rsid w:val="00F072C7"/>
    <w:rsid w:val="00F113FD"/>
    <w:rsid w:val="00F13EAA"/>
    <w:rsid w:val="00F15882"/>
    <w:rsid w:val="00F15AB9"/>
    <w:rsid w:val="00F167CF"/>
    <w:rsid w:val="00F1785E"/>
    <w:rsid w:val="00F20BD3"/>
    <w:rsid w:val="00F27967"/>
    <w:rsid w:val="00F32D35"/>
    <w:rsid w:val="00F3590E"/>
    <w:rsid w:val="00F373A5"/>
    <w:rsid w:val="00F45B2F"/>
    <w:rsid w:val="00F47559"/>
    <w:rsid w:val="00F50B5A"/>
    <w:rsid w:val="00F5112C"/>
    <w:rsid w:val="00F55548"/>
    <w:rsid w:val="00F6043C"/>
    <w:rsid w:val="00F60561"/>
    <w:rsid w:val="00F61055"/>
    <w:rsid w:val="00F61AA8"/>
    <w:rsid w:val="00F61EEA"/>
    <w:rsid w:val="00F64C7B"/>
    <w:rsid w:val="00F64F82"/>
    <w:rsid w:val="00F662F1"/>
    <w:rsid w:val="00F66967"/>
    <w:rsid w:val="00F676DD"/>
    <w:rsid w:val="00F70811"/>
    <w:rsid w:val="00F71486"/>
    <w:rsid w:val="00F72F41"/>
    <w:rsid w:val="00F75A26"/>
    <w:rsid w:val="00F77D49"/>
    <w:rsid w:val="00F8021A"/>
    <w:rsid w:val="00F83FAD"/>
    <w:rsid w:val="00F87EBA"/>
    <w:rsid w:val="00F952A0"/>
    <w:rsid w:val="00F965FC"/>
    <w:rsid w:val="00FA0364"/>
    <w:rsid w:val="00FA3830"/>
    <w:rsid w:val="00FA3C7F"/>
    <w:rsid w:val="00FB153F"/>
    <w:rsid w:val="00FB265D"/>
    <w:rsid w:val="00FB4068"/>
    <w:rsid w:val="00FB411D"/>
    <w:rsid w:val="00FB41E6"/>
    <w:rsid w:val="00FB6C59"/>
    <w:rsid w:val="00FB74E2"/>
    <w:rsid w:val="00FC447B"/>
    <w:rsid w:val="00FC52AC"/>
    <w:rsid w:val="00FC656F"/>
    <w:rsid w:val="00FC7B0B"/>
    <w:rsid w:val="00FD0763"/>
    <w:rsid w:val="00FD166D"/>
    <w:rsid w:val="00FD2F97"/>
    <w:rsid w:val="00FD5316"/>
    <w:rsid w:val="00FD5614"/>
    <w:rsid w:val="00FD678F"/>
    <w:rsid w:val="00FD72DC"/>
    <w:rsid w:val="00FE0BE1"/>
    <w:rsid w:val="00FE0D57"/>
    <w:rsid w:val="00FE1DE9"/>
    <w:rsid w:val="00FE39C2"/>
    <w:rsid w:val="00FE3E67"/>
    <w:rsid w:val="00FE4B6D"/>
    <w:rsid w:val="00FE64AE"/>
    <w:rsid w:val="00FF2C56"/>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3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2A196F-1EBD-4C9A-A8C4-695482E6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151492C3</Template>
  <TotalTime>0</TotalTime>
  <Pages>12</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2016-01-11T22:52:00Z</dcterms:created>
  <dcterms:modified xsi:type="dcterms:W3CDTF">2016-01-11T22:55:00Z</dcterms:modified>
</cp:coreProperties>
</file>