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60811ADD" wp14:editId="53F070A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4D25D6" w:rsidP="002A4EF8">
      <w:pPr>
        <w:rPr>
          <w:b/>
          <w:sz w:val="36"/>
          <w:szCs w:val="36"/>
        </w:rPr>
      </w:pPr>
      <w:r>
        <w:rPr>
          <w:b/>
          <w:sz w:val="36"/>
          <w:szCs w:val="36"/>
        </w:rPr>
        <w:t>11</w:t>
      </w:r>
      <w:r w:rsidR="002A4EC8">
        <w:rPr>
          <w:b/>
          <w:sz w:val="36"/>
          <w:szCs w:val="36"/>
        </w:rPr>
        <w:t xml:space="preserve"> - </w:t>
      </w:r>
      <w:r>
        <w:rPr>
          <w:b/>
          <w:sz w:val="36"/>
          <w:szCs w:val="36"/>
        </w:rPr>
        <w:t>17</w:t>
      </w:r>
      <w:r w:rsidR="00432A51">
        <w:rPr>
          <w:b/>
          <w:sz w:val="36"/>
          <w:szCs w:val="36"/>
        </w:rPr>
        <w:t> </w:t>
      </w:r>
      <w:r w:rsidR="00D94449">
        <w:rPr>
          <w:b/>
          <w:sz w:val="36"/>
          <w:szCs w:val="36"/>
        </w:rPr>
        <w:t>June</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2E7692" w:rsidRPr="0000255F">
        <w:t xml:space="preserve">Figure </w:t>
      </w:r>
      <w:r w:rsidR="002E7692">
        <w:t>1</w:t>
      </w:r>
      <w:r w:rsidRPr="00F21187">
        <w:fldChar w:fldCharType="end"/>
      </w:r>
      <w:r w:rsidRPr="00F21187">
        <w:t xml:space="preserve"> </w:t>
      </w:r>
      <w:r w:rsidR="00AF7058" w:rsidRPr="00F21187">
        <w:t xml:space="preserve">shows the spot prices that occurred in each region during the week </w:t>
      </w:r>
      <w:r w:rsidR="004D25D6">
        <w:t>11</w:t>
      </w:r>
      <w:r w:rsidR="005D385A">
        <w:t xml:space="preserve"> </w:t>
      </w:r>
      <w:r w:rsidR="006D40F1">
        <w:t xml:space="preserve">– </w:t>
      </w:r>
      <w:r w:rsidR="004D25D6">
        <w:t>17</w:t>
      </w:r>
      <w:r w:rsidR="00D94449">
        <w:t> June</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581EDD">
        <w:fldChar w:fldCharType="begin"/>
      </w:r>
      <w:r w:rsidR="00581EDD">
        <w:instrText xml:space="preserve"> SEQ Figure \* ARABIC </w:instrText>
      </w:r>
      <w:r w:rsidR="00581EDD">
        <w:fldChar w:fldCharType="separate"/>
      </w:r>
      <w:r w:rsidR="002E7692">
        <w:rPr>
          <w:noProof/>
        </w:rPr>
        <w:t>1</w:t>
      </w:r>
      <w:r w:rsidR="00581EDD">
        <w:rPr>
          <w:noProof/>
        </w:rPr>
        <w:fldChar w:fldCharType="end"/>
      </w:r>
      <w:bookmarkEnd w:id="6"/>
      <w:r w:rsidRPr="0000255F">
        <w:t>: Spot price by region ($/MWh)</w:t>
      </w:r>
    </w:p>
    <w:p w:rsidR="00EC05BF" w:rsidRDefault="004D25D6" w:rsidP="00C4712A">
      <w:pPr>
        <w:pStyle w:val="Caption"/>
        <w:rPr>
          <w:bCs w:val="0"/>
          <w:lang w:eastAsia="en-AU"/>
        </w:rPr>
      </w:pPr>
      <w:r w:rsidRPr="004D25D6">
        <w:rPr>
          <w:noProof/>
          <w:lang w:eastAsia="en-AU"/>
        </w:rPr>
        <w:drawing>
          <wp:inline distT="0" distB="0" distL="0" distR="0" wp14:anchorId="4A1E340C" wp14:editId="03BF7C7E">
            <wp:extent cx="5731510" cy="3531916"/>
            <wp:effectExtent l="0" t="0" r="2540" b="0"/>
            <wp:docPr id="10" name="Picture 10"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531916"/>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2E7692" w:rsidRPr="0000255F">
        <w:t xml:space="preserve">Figure </w:t>
      </w:r>
      <w:r w:rsidR="002E7692">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2E7692" w:rsidRPr="00686EDE">
        <w:t xml:space="preserve">Table </w:t>
      </w:r>
      <w:r w:rsidR="002E7692">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581EDD">
        <w:fldChar w:fldCharType="begin"/>
      </w:r>
      <w:r w:rsidR="00581EDD">
        <w:instrText xml:space="preserve"> SEQ Figure \* ARABIC </w:instrText>
      </w:r>
      <w:r w:rsidR="00581EDD">
        <w:fldChar w:fldCharType="separate"/>
      </w:r>
      <w:r w:rsidR="002E7692">
        <w:rPr>
          <w:noProof/>
        </w:rPr>
        <w:t>2</w:t>
      </w:r>
      <w:r w:rsidR="00581EDD">
        <w:rPr>
          <w:noProof/>
        </w:rPr>
        <w:fldChar w:fldCharType="end"/>
      </w:r>
      <w:bookmarkEnd w:id="9"/>
      <w:r w:rsidRPr="0000255F">
        <w:t>: Volume weighted average spot price by region ($/MWh)</w:t>
      </w:r>
    </w:p>
    <w:p w:rsidR="001F22EE" w:rsidRDefault="00B3708D" w:rsidP="00F167CF">
      <w:pPr>
        <w:spacing w:before="0" w:after="120" w:line="240" w:lineRule="auto"/>
      </w:pPr>
      <w:r w:rsidRPr="00B3708D">
        <w:rPr>
          <w:noProof/>
          <w:lang w:eastAsia="en-AU"/>
        </w:rPr>
        <w:drawing>
          <wp:inline distT="0" distB="0" distL="0" distR="0" wp14:anchorId="64178FDD" wp14:editId="76F703EC">
            <wp:extent cx="5731510" cy="2859781"/>
            <wp:effectExtent l="0" t="0" r="2540" b="0"/>
            <wp:docPr id="11" name="Picture 11"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581EDD">
        <w:fldChar w:fldCharType="begin"/>
      </w:r>
      <w:r w:rsidR="00581EDD">
        <w:instrText xml:space="preserve"> SEQ Table \* ARABIC </w:instrText>
      </w:r>
      <w:r w:rsidR="00581EDD">
        <w:fldChar w:fldCharType="separate"/>
      </w:r>
      <w:r w:rsidR="002E7692">
        <w:rPr>
          <w:noProof/>
        </w:rPr>
        <w:t>1</w:t>
      </w:r>
      <w:r w:rsidR="00581EDD">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B3708D"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B3708D" w:rsidRPr="004B59AD" w:rsidRDefault="00B3708D" w:rsidP="001A73EF">
            <w:pPr>
              <w:spacing w:before="60" w:afterLines="120" w:after="288"/>
              <w:rPr>
                <w:rFonts w:cs="Arial"/>
                <w:bCs/>
                <w:szCs w:val="18"/>
              </w:rPr>
            </w:pPr>
            <w:r w:rsidRPr="004B59AD">
              <w:rPr>
                <w:rFonts w:cs="Arial"/>
                <w:bCs/>
                <w:szCs w:val="18"/>
              </w:rPr>
              <w:t>Current week</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78</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85</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101</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113</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116</w:t>
            </w:r>
          </w:p>
        </w:tc>
      </w:tr>
      <w:tr w:rsidR="00B3708D" w:rsidRPr="00C4712A" w:rsidTr="003E25E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B3708D" w:rsidRPr="004B59AD" w:rsidRDefault="00B3708D" w:rsidP="001A73EF">
            <w:pPr>
              <w:spacing w:before="60" w:afterLines="120" w:after="288"/>
              <w:rPr>
                <w:rFonts w:cs="Arial"/>
                <w:bCs/>
                <w:szCs w:val="18"/>
              </w:rPr>
            </w:pPr>
            <w:r w:rsidRPr="004B59AD">
              <w:rPr>
                <w:rFonts w:cs="Arial"/>
                <w:bCs/>
                <w:szCs w:val="18"/>
              </w:rPr>
              <w:t>15-16 financial YTD</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63</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53</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48</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64</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97</w:t>
            </w:r>
          </w:p>
        </w:tc>
      </w:tr>
      <w:tr w:rsidR="00B3708D" w:rsidRPr="00C4712A" w:rsidTr="003E25E9">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B3708D" w:rsidRPr="004B59AD" w:rsidRDefault="00B3708D" w:rsidP="001A73EF">
            <w:pPr>
              <w:spacing w:before="60" w:afterLines="120" w:after="288"/>
              <w:rPr>
                <w:rFonts w:cs="Arial"/>
                <w:bCs/>
                <w:szCs w:val="18"/>
              </w:rPr>
            </w:pPr>
            <w:r w:rsidRPr="004B59AD">
              <w:rPr>
                <w:rFonts w:cs="Arial"/>
                <w:bCs/>
                <w:szCs w:val="18"/>
              </w:rPr>
              <w:t>16-17 financial YTD</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104</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89</w:t>
            </w:r>
          </w:p>
        </w:tc>
        <w:tc>
          <w:tcPr>
            <w:tcW w:w="728" w:type="pct"/>
            <w:noWrap/>
            <w:vAlign w:val="center"/>
          </w:tcPr>
          <w:p w:rsidR="00B3708D" w:rsidRDefault="00B3708D" w:rsidP="00B3708D">
            <w:pPr>
              <w:spacing w:after="100" w:afterAutospacing="1"/>
              <w:jc w:val="center"/>
              <w:rPr>
                <w:rFonts w:cs="Arial"/>
                <w:sz w:val="20"/>
                <w:szCs w:val="20"/>
              </w:rPr>
            </w:pPr>
            <w:r>
              <w:rPr>
                <w:rFonts w:cs="Arial"/>
                <w:sz w:val="20"/>
                <w:szCs w:val="20"/>
              </w:rPr>
              <w:t>68</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124</w:t>
            </w:r>
          </w:p>
        </w:tc>
        <w:tc>
          <w:tcPr>
            <w:tcW w:w="729" w:type="pct"/>
            <w:noWrap/>
            <w:vAlign w:val="center"/>
          </w:tcPr>
          <w:p w:rsidR="00B3708D" w:rsidRDefault="00B3708D" w:rsidP="00B3708D">
            <w:pPr>
              <w:spacing w:after="100" w:afterAutospacing="1"/>
              <w:jc w:val="center"/>
              <w:rPr>
                <w:rFonts w:cs="Arial"/>
                <w:sz w:val="20"/>
                <w:szCs w:val="20"/>
              </w:rPr>
            </w:pPr>
            <w:r>
              <w:rPr>
                <w:rFonts w:cs="Arial"/>
                <w:sz w:val="20"/>
                <w:szCs w:val="20"/>
              </w:rPr>
              <w:t>75</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7C6C59" w:rsidRPr="002240A7">
        <w:t>1</w:t>
      </w:r>
      <w:r w:rsidR="00B3708D">
        <w:t>61</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2E7692" w:rsidRPr="00686EDE">
        <w:t xml:space="preserve">Table </w:t>
      </w:r>
      <w:r w:rsidR="002E7692">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r w:rsidR="00581EDD">
        <w:fldChar w:fldCharType="begin"/>
      </w:r>
      <w:r w:rsidR="00581EDD">
        <w:instrText xml:space="preserve"> SEQ Table \* ARABIC </w:instrText>
      </w:r>
      <w:r w:rsidR="00581EDD">
        <w:fldChar w:fldCharType="separate"/>
      </w:r>
      <w:r w:rsidR="002E7692">
        <w:rPr>
          <w:noProof/>
        </w:rPr>
        <w:t>2</w:t>
      </w:r>
      <w:r w:rsidR="00581EDD">
        <w:rPr>
          <w:noProof/>
        </w:rPr>
        <w:fldChar w:fldCharType="end"/>
      </w:r>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865A94"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865A94" w:rsidRPr="00865A94" w:rsidRDefault="00865A94" w:rsidP="000D05BD">
            <w:pPr>
              <w:spacing w:before="60"/>
              <w:rPr>
                <w:sz w:val="20"/>
                <w:szCs w:val="20"/>
              </w:rPr>
            </w:pPr>
            <w:r w:rsidRPr="00865A94">
              <w:rPr>
                <w:sz w:val="20"/>
                <w:szCs w:val="20"/>
              </w:rPr>
              <w:t>% of total above forecast</w:t>
            </w:r>
          </w:p>
        </w:tc>
        <w:tc>
          <w:tcPr>
            <w:tcW w:w="1571"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3</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21</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0</w:t>
            </w:r>
          </w:p>
        </w:tc>
        <w:tc>
          <w:tcPr>
            <w:tcW w:w="1572" w:type="dxa"/>
            <w:vAlign w:val="center"/>
          </w:tcPr>
          <w:p w:rsidR="00865A94" w:rsidRPr="00865A94" w:rsidRDefault="00865A94" w:rsidP="00865A94">
            <w:pPr>
              <w:spacing w:after="0"/>
              <w:jc w:val="center"/>
              <w:rPr>
                <w:rFonts w:cs="Arial"/>
                <w:sz w:val="20"/>
                <w:szCs w:val="20"/>
              </w:rPr>
            </w:pPr>
            <w:r w:rsidRPr="00865A94">
              <w:rPr>
                <w:rFonts w:cs="Arial"/>
                <w:sz w:val="20"/>
                <w:szCs w:val="20"/>
              </w:rPr>
              <w:t>2</w:t>
            </w:r>
          </w:p>
        </w:tc>
      </w:tr>
      <w:tr w:rsidR="00865A94"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865A94" w:rsidRPr="00865A94" w:rsidRDefault="00865A94" w:rsidP="000D05BD">
            <w:pPr>
              <w:spacing w:before="60"/>
              <w:rPr>
                <w:sz w:val="20"/>
                <w:szCs w:val="20"/>
              </w:rPr>
            </w:pPr>
            <w:r w:rsidRPr="00865A94">
              <w:rPr>
                <w:sz w:val="20"/>
                <w:szCs w:val="20"/>
              </w:rPr>
              <w:t>% of total below forecast</w:t>
            </w:r>
          </w:p>
        </w:tc>
        <w:tc>
          <w:tcPr>
            <w:tcW w:w="1571"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51</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10</w:t>
            </w:r>
          </w:p>
        </w:tc>
        <w:tc>
          <w:tcPr>
            <w:tcW w:w="1572" w:type="dxa"/>
            <w:noWrap/>
            <w:vAlign w:val="center"/>
          </w:tcPr>
          <w:p w:rsidR="00865A94" w:rsidRPr="00865A94" w:rsidRDefault="00865A94" w:rsidP="00865A94">
            <w:pPr>
              <w:spacing w:after="0"/>
              <w:jc w:val="center"/>
              <w:rPr>
                <w:rFonts w:cs="Arial"/>
                <w:sz w:val="20"/>
                <w:szCs w:val="20"/>
              </w:rPr>
            </w:pPr>
            <w:r w:rsidRPr="00865A94">
              <w:rPr>
                <w:rFonts w:cs="Arial"/>
                <w:sz w:val="20"/>
                <w:szCs w:val="20"/>
              </w:rPr>
              <w:t>0</w:t>
            </w:r>
          </w:p>
        </w:tc>
        <w:tc>
          <w:tcPr>
            <w:tcW w:w="1572" w:type="dxa"/>
            <w:vAlign w:val="center"/>
          </w:tcPr>
          <w:p w:rsidR="00865A94" w:rsidRDefault="00865A94" w:rsidP="00865A94">
            <w:pPr>
              <w:spacing w:after="0"/>
              <w:jc w:val="center"/>
              <w:rPr>
                <w:rFonts w:cs="Arial"/>
                <w:sz w:val="20"/>
                <w:szCs w:val="20"/>
              </w:rPr>
            </w:pPr>
            <w:r w:rsidRPr="00865A94">
              <w:rPr>
                <w:rFonts w:cs="Arial"/>
                <w:sz w:val="20"/>
                <w:szCs w:val="20"/>
              </w:rPr>
              <w:t>14</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2E7692" w:rsidRPr="00686EDE">
        <w:t xml:space="preserve">Figure </w:t>
      </w:r>
      <w:r w:rsidR="002E7692">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2E7692" w:rsidRPr="00686EDE">
        <w:t xml:space="preserve">Figure </w:t>
      </w:r>
      <w:r w:rsidR="002E7692" w:rsidRPr="002E7692">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r w:rsidR="00581EDD">
        <w:fldChar w:fldCharType="begin"/>
      </w:r>
      <w:r w:rsidR="00581EDD">
        <w:instrText xml:space="preserve"> SEQ Figure \* ARABIC </w:instrText>
      </w:r>
      <w:r w:rsidR="00581EDD">
        <w:fldChar w:fldCharType="separate"/>
      </w:r>
      <w:r w:rsidR="002E7692">
        <w:rPr>
          <w:noProof/>
        </w:rPr>
        <w:t>3</w:t>
      </w:r>
      <w:r w:rsidR="00581EDD">
        <w:rPr>
          <w:noProof/>
        </w:rPr>
        <w:fldChar w:fldCharType="end"/>
      </w:r>
      <w:bookmarkEnd w:id="13"/>
      <w:r w:rsidRPr="00686EDE">
        <w:t>: Queensland generation and bidding patterns</w:t>
      </w:r>
    </w:p>
    <w:p w:rsidR="007B78AB" w:rsidRPr="008707C1" w:rsidRDefault="00865A94" w:rsidP="00886FA8">
      <w:pPr>
        <w:pStyle w:val="AERbodytext"/>
        <w:rPr>
          <w:bCs w:val="0"/>
        </w:rPr>
      </w:pPr>
      <w:r w:rsidRPr="00865A94">
        <w:rPr>
          <w:noProof/>
        </w:rPr>
        <w:drawing>
          <wp:inline distT="0" distB="0" distL="0" distR="0" wp14:anchorId="7D5E717D" wp14:editId="2B34B2E3">
            <wp:extent cx="5731510" cy="4118538"/>
            <wp:effectExtent l="0" t="0" r="2540" b="0"/>
            <wp:docPr id="14" name="Picture 14"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r w:rsidR="00581EDD">
        <w:fldChar w:fldCharType="begin"/>
      </w:r>
      <w:r w:rsidR="00581EDD">
        <w:instrText xml:space="preserve"> SEQ Figure \* ARABIC </w:instrText>
      </w:r>
      <w:r w:rsidR="00581EDD">
        <w:fldChar w:fldCharType="separate"/>
      </w:r>
      <w:r w:rsidR="002E7692">
        <w:rPr>
          <w:noProof/>
        </w:rPr>
        <w:t>4</w:t>
      </w:r>
      <w:r w:rsidR="00581EDD">
        <w:rPr>
          <w:noProof/>
        </w:rPr>
        <w:fldChar w:fldCharType="end"/>
      </w:r>
      <w:bookmarkEnd w:id="14"/>
      <w:r w:rsidRPr="00BD6509">
        <w:t>: New South</w:t>
      </w:r>
      <w:r w:rsidRPr="00686EDE">
        <w:t xml:space="preserve"> Wales generation and bidding patterns</w:t>
      </w:r>
    </w:p>
    <w:p w:rsidR="00181C46" w:rsidRPr="00C4712A" w:rsidRDefault="00865A94" w:rsidP="00181C46">
      <w:r w:rsidRPr="00865A94">
        <w:rPr>
          <w:noProof/>
          <w:lang w:eastAsia="en-AU"/>
        </w:rPr>
        <w:drawing>
          <wp:inline distT="0" distB="0" distL="0" distR="0" wp14:anchorId="1FBF664A" wp14:editId="0CC3E4BA">
            <wp:extent cx="5731510" cy="4124019"/>
            <wp:effectExtent l="0" t="0" r="2540" b="0"/>
            <wp:docPr id="16" name="Picture 1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581EDD">
        <w:fldChar w:fldCharType="begin"/>
      </w:r>
      <w:r w:rsidR="00581EDD">
        <w:instrText xml:space="preserve"> SEQ Figure \* ARABIC </w:instrText>
      </w:r>
      <w:r w:rsidR="00581EDD">
        <w:fldChar w:fldCharType="separate"/>
      </w:r>
      <w:r w:rsidR="002E7692">
        <w:rPr>
          <w:noProof/>
        </w:rPr>
        <w:t>5</w:t>
      </w:r>
      <w:r w:rsidR="00581EDD">
        <w:rPr>
          <w:noProof/>
        </w:rPr>
        <w:fldChar w:fldCharType="end"/>
      </w:r>
      <w:r w:rsidRPr="00686EDE">
        <w:t>: Victoria generation and bidding patterns</w:t>
      </w:r>
    </w:p>
    <w:p w:rsidR="00FB265D" w:rsidRDefault="00865A94" w:rsidP="00FB265D">
      <w:r w:rsidRPr="00865A94">
        <w:rPr>
          <w:noProof/>
          <w:lang w:eastAsia="en-AU"/>
        </w:rPr>
        <w:drawing>
          <wp:inline distT="0" distB="0" distL="0" distR="0" wp14:anchorId="522A5DC1" wp14:editId="3E5B9911">
            <wp:extent cx="5731510" cy="4118538"/>
            <wp:effectExtent l="0" t="0" r="2540" b="0"/>
            <wp:docPr id="17" name="Picture 1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r w:rsidR="00581EDD">
        <w:fldChar w:fldCharType="begin"/>
      </w:r>
      <w:r w:rsidR="00581EDD">
        <w:instrText xml:space="preserve"> SEQ Figure \* ARABIC </w:instrText>
      </w:r>
      <w:r w:rsidR="00581EDD">
        <w:fldChar w:fldCharType="separate"/>
      </w:r>
      <w:r w:rsidR="002E7692">
        <w:rPr>
          <w:noProof/>
        </w:rPr>
        <w:t>6</w:t>
      </w:r>
      <w:r w:rsidR="00581EDD">
        <w:rPr>
          <w:noProof/>
        </w:rPr>
        <w:fldChar w:fldCharType="end"/>
      </w:r>
      <w:bookmarkEnd w:id="15"/>
      <w:r w:rsidRPr="003370DC">
        <w:t>: South Australia generation and bidding patterns</w:t>
      </w:r>
    </w:p>
    <w:p w:rsidR="002F2481" w:rsidRPr="00686EDE" w:rsidRDefault="007134E5" w:rsidP="00A25353">
      <w:r w:rsidRPr="007134E5">
        <w:rPr>
          <w:noProof/>
          <w:lang w:eastAsia="en-AU"/>
        </w:rPr>
        <w:drawing>
          <wp:inline distT="0" distB="0" distL="0" distR="0" wp14:anchorId="5B0C06DA" wp14:editId="776FC5B0">
            <wp:extent cx="5731510" cy="4202833"/>
            <wp:effectExtent l="0" t="0" r="2540" b="7620"/>
            <wp:docPr id="3" name="Picture 3"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02833"/>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r w:rsidR="00581EDD">
        <w:fldChar w:fldCharType="begin"/>
      </w:r>
      <w:r w:rsidR="00581EDD">
        <w:instrText xml:space="preserve"> SEQ Figure \* ARABIC </w:instrText>
      </w:r>
      <w:r w:rsidR="00581EDD">
        <w:fldChar w:fldCharType="separate"/>
      </w:r>
      <w:r w:rsidR="002E7692">
        <w:rPr>
          <w:noProof/>
        </w:rPr>
        <w:t>7</w:t>
      </w:r>
      <w:r w:rsidR="00581EDD">
        <w:rPr>
          <w:noProof/>
        </w:rPr>
        <w:fldChar w:fldCharType="end"/>
      </w:r>
      <w:bookmarkEnd w:id="16"/>
      <w:r w:rsidRPr="00686EDE">
        <w:t>: Tasmania generation and bidding patterns</w:t>
      </w:r>
    </w:p>
    <w:bookmarkEnd w:id="17"/>
    <w:p w:rsidR="00DB7B59" w:rsidRDefault="00865A94" w:rsidP="00AF7C0E">
      <w:pPr>
        <w:pStyle w:val="AERbodytext"/>
      </w:pPr>
      <w:r w:rsidRPr="00865A94">
        <w:rPr>
          <w:noProof/>
        </w:rPr>
        <w:drawing>
          <wp:inline distT="0" distB="0" distL="0" distR="0" wp14:anchorId="15FFF1BE" wp14:editId="16E9C2CB">
            <wp:extent cx="5731510" cy="4118538"/>
            <wp:effectExtent l="0" t="0" r="2540" b="0"/>
            <wp:docPr id="20" name="Picture 2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w:t>
      </w:r>
      <w:r w:rsidR="007134E5">
        <w:rPr>
          <w:rFonts w:eastAsia="Times New Roman" w:cs="Arial"/>
          <w:bCs/>
          <w:lang w:eastAsia="en-AU"/>
        </w:rPr>
        <w:t>089</w:t>
      </w:r>
      <w:r w:rsidR="00EA447B">
        <w:rPr>
          <w:rFonts w:eastAsia="Times New Roman" w:cs="Arial"/>
          <w:bCs/>
          <w:lang w:eastAsia="en-AU"/>
        </w:rPr>
        <w:t> </w:t>
      </w:r>
      <w:r w:rsidR="00C95562">
        <w:rPr>
          <w:rFonts w:eastAsia="Times New Roman" w:cs="Arial"/>
          <w:bCs/>
          <w:lang w:eastAsia="en-AU"/>
        </w:rPr>
        <w:t>0</w:t>
      </w:r>
      <w:r w:rsidR="006C3CFD">
        <w:rPr>
          <w:rFonts w:eastAsia="Times New Roman" w:cs="Arial"/>
          <w:bCs/>
          <w:lang w:eastAsia="en-AU"/>
        </w:rPr>
        <w:t>00</w:t>
      </w:r>
      <w:r w:rsidRPr="00612013">
        <w:rPr>
          <w:rFonts w:eastAsia="Times New Roman" w:cs="Arial"/>
          <w:bCs/>
          <w:lang w:eastAsia="en-AU"/>
        </w:rPr>
        <w:t xml:space="preserve"> or </w:t>
      </w:r>
      <w:r w:rsidR="00C95562">
        <w:rPr>
          <w:rFonts w:eastAsia="Times New Roman" w:cs="Arial"/>
          <w:bCs/>
          <w:lang w:eastAsia="en-AU"/>
        </w:rPr>
        <w:t>less than</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2E7692" w:rsidRPr="00612013" w:rsidRDefault="005358F4" w:rsidP="002E7692">
      <w:pPr>
        <w:spacing w:line="240" w:lineRule="auto"/>
      </w:pPr>
      <w:r w:rsidRPr="00612013">
        <w:rPr>
          <w:rFonts w:eastAsia="Times New Roman" w:cs="Arial"/>
          <w:bCs/>
          <w:lang w:eastAsia="en-AU"/>
        </w:rPr>
        <w:t>The total cost of FCAS in Tasmania for the week was $</w:t>
      </w:r>
      <w:r w:rsidR="007134E5">
        <w:rPr>
          <w:rFonts w:eastAsia="Times New Roman" w:cs="Arial"/>
          <w:bCs/>
          <w:lang w:eastAsia="en-AU"/>
        </w:rPr>
        <w:t>817 5</w:t>
      </w:r>
      <w:r w:rsidRPr="00612013">
        <w:rPr>
          <w:rFonts w:eastAsia="Times New Roman" w:cs="Arial"/>
          <w:bCs/>
          <w:lang w:eastAsia="en-AU"/>
        </w:rPr>
        <w:t xml:space="preserve">00 or </w:t>
      </w:r>
      <w:r w:rsidR="00B62CAE">
        <w:rPr>
          <w:rFonts w:eastAsia="Times New Roman" w:cs="Arial"/>
          <w:bCs/>
          <w:lang w:eastAsia="en-AU"/>
        </w:rPr>
        <w:t xml:space="preserve">around </w:t>
      </w:r>
      <w:r w:rsidR="002E7692">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per cent of energy turnover in Tasmania</w:t>
      </w:r>
      <w:r w:rsidR="002E7692">
        <w:rPr>
          <w:rFonts w:eastAsia="Times New Roman" w:cs="Arial"/>
          <w:bCs/>
          <w:lang w:eastAsia="en-AU"/>
        </w:rPr>
        <w:t>.</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2E7692"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2E7692">
        <w:rPr>
          <w:noProof/>
        </w:rPr>
        <w:t>8</w:t>
      </w:r>
      <w:r w:rsidR="00DF6E09" w:rsidRPr="00686EDE">
        <w:rPr>
          <w:noProof/>
        </w:rPr>
        <w:fldChar w:fldCharType="end"/>
      </w:r>
      <w:bookmarkEnd w:id="18"/>
      <w:bookmarkEnd w:id="19"/>
      <w:r w:rsidRPr="00686EDE">
        <w:rPr>
          <w:noProof/>
        </w:rPr>
        <w:t>: Daily frequency control ancillary service cost</w:t>
      </w:r>
    </w:p>
    <w:p w:rsidR="006D1A40" w:rsidRDefault="007134E5" w:rsidP="006D1A40">
      <w:pPr>
        <w:spacing w:line="240" w:lineRule="auto"/>
        <w:rPr>
          <w:rStyle w:val="AERbodytextChar"/>
          <w:rFonts w:eastAsiaTheme="minorHAnsi"/>
        </w:rPr>
      </w:pPr>
      <w:r w:rsidRPr="007134E5">
        <w:rPr>
          <w:noProof/>
          <w:lang w:eastAsia="en-AU"/>
        </w:rPr>
        <w:drawing>
          <wp:inline distT="0" distB="0" distL="0" distR="0" wp14:anchorId="20E2A523" wp14:editId="31E5FCD1">
            <wp:extent cx="5731510" cy="2894535"/>
            <wp:effectExtent l="0" t="0" r="2540" b="1270"/>
            <wp:docPr id="6" name="Picture 6"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CA7CA1" w:rsidRDefault="00CA7CA1" w:rsidP="00EB561F">
      <w:pPr>
        <w:jc w:val="both"/>
      </w:pPr>
    </w:p>
    <w:p w:rsidR="00826574" w:rsidRDefault="00826574" w:rsidP="00826574">
      <w:pPr>
        <w:pStyle w:val="AERbodytext"/>
      </w:pPr>
      <w:r w:rsidRPr="00A42C3C">
        <w:t>Since 5 May, AEMO limited the contribution of regulation services from Tasmania to the mainland to 50</w:t>
      </w:r>
      <w:r w:rsidR="00F15342">
        <w:t> </w:t>
      </w:r>
      <w:r w:rsidRPr="00A42C3C">
        <w:t>MW. This has seen prices rise in the mainland and has led to the daily cost being higher than the previous financial year’s average.</w:t>
      </w:r>
      <w:r>
        <w:t xml:space="preserve"> </w:t>
      </w:r>
    </w:p>
    <w:p w:rsidR="00A42C3C" w:rsidRDefault="00A42C3C" w:rsidP="00826574">
      <w:pPr>
        <w:pStyle w:val="AERbodytext"/>
      </w:pPr>
      <w:r w:rsidRPr="002E7692">
        <w:lastRenderedPageBreak/>
        <w:t>The higher than average raise 6 second cost on 16 June was a result of co-optimisation of energy and raise 6 second markets in Tasmania, leading to a dispatch price at the cap at 6.20 am</w:t>
      </w:r>
      <w:r>
        <w:t>.</w:t>
      </w:r>
    </w:p>
    <w:p w:rsidR="003E094C" w:rsidRPr="00805340" w:rsidRDefault="003E094C" w:rsidP="003E094C">
      <w:pPr>
        <w:pStyle w:val="AERHeading1"/>
      </w:pPr>
      <w:r w:rsidRPr="00805340">
        <w:t>Detailed market analysis of significant price events</w:t>
      </w:r>
    </w:p>
    <w:p w:rsidR="003E094C" w:rsidRPr="00964A08" w:rsidRDefault="007134E5" w:rsidP="003E094C">
      <w:pPr>
        <w:pStyle w:val="Heading2"/>
        <w:rPr>
          <w:rFonts w:eastAsia="Times New Roman"/>
          <w:b w:val="0"/>
          <w:bCs w:val="0"/>
          <w:lang w:eastAsia="en-AU"/>
        </w:rPr>
      </w:pPr>
      <w:r w:rsidRPr="00964A08">
        <w:rPr>
          <w:rFonts w:eastAsia="Times New Roman"/>
          <w:b w:val="0"/>
          <w:bCs w:val="0"/>
          <w:lang w:eastAsia="en-AU"/>
        </w:rPr>
        <w:t>Tasmania</w:t>
      </w:r>
    </w:p>
    <w:p w:rsidR="005344B0" w:rsidRPr="007134E5" w:rsidRDefault="007134E5" w:rsidP="007134E5">
      <w:pPr>
        <w:rPr>
          <w:rFonts w:eastAsia="Times New Roman" w:cs="Arial"/>
          <w:bCs/>
          <w:lang w:eastAsia="en-AU"/>
        </w:rPr>
      </w:pPr>
      <w:r w:rsidRPr="007134E5">
        <w:rPr>
          <w:rFonts w:eastAsia="Times New Roman" w:cs="Arial"/>
          <w:bCs/>
          <w:lang w:eastAsia="en-AU"/>
        </w:rPr>
        <w:t>There were three occasions where the spot price in Tasmania was greater than three times the Tasmania weekly average price of $116/MWh and above $250/MWh</w:t>
      </w:r>
      <w:r>
        <w:rPr>
          <w:rFonts w:eastAsia="Times New Roman" w:cs="Arial"/>
          <w:bCs/>
          <w:lang w:eastAsia="en-AU"/>
        </w:rPr>
        <w:t>.</w:t>
      </w:r>
    </w:p>
    <w:p w:rsidR="00805340" w:rsidRPr="00805340" w:rsidRDefault="007134E5" w:rsidP="00805340">
      <w:pPr>
        <w:rPr>
          <w:rFonts w:eastAsia="Times New Roman" w:cstheme="majorBidi"/>
          <w:b/>
          <w:bCs/>
          <w:color w:val="000000" w:themeColor="text1" w:themeShade="BF"/>
          <w:sz w:val="24"/>
        </w:rPr>
      </w:pPr>
      <w:r>
        <w:rPr>
          <w:rFonts w:eastAsia="Times New Roman" w:cstheme="majorBidi"/>
          <w:b/>
          <w:bCs/>
          <w:color w:val="000000" w:themeColor="text1" w:themeShade="BF"/>
          <w:sz w:val="24"/>
        </w:rPr>
        <w:t>Thursday, 15 June</w:t>
      </w:r>
    </w:p>
    <w:p w:rsidR="003E094C" w:rsidRPr="00805340" w:rsidRDefault="003E094C" w:rsidP="003E094C">
      <w:pPr>
        <w:pStyle w:val="Caption"/>
        <w:spacing w:before="120" w:after="60"/>
        <w:rPr>
          <w:rFonts w:asciiTheme="minorHAnsi" w:hAnsiTheme="minorHAnsi" w:cstheme="minorHAnsi"/>
        </w:rPr>
      </w:pPr>
      <w:r w:rsidRPr="00805340">
        <w:rPr>
          <w:rFonts w:asciiTheme="minorHAnsi" w:hAnsiTheme="minorHAnsi" w:cstheme="minorHAnsi"/>
        </w:rPr>
        <w:t xml:space="preserve">Table </w:t>
      </w:r>
      <w:r w:rsidRPr="00805340">
        <w:rPr>
          <w:rFonts w:asciiTheme="minorHAnsi" w:hAnsiTheme="minorHAnsi" w:cstheme="minorHAnsi"/>
        </w:rPr>
        <w:fldChar w:fldCharType="begin"/>
      </w:r>
      <w:r w:rsidRPr="00805340">
        <w:rPr>
          <w:rFonts w:asciiTheme="minorHAnsi" w:hAnsiTheme="minorHAnsi" w:cstheme="minorHAnsi"/>
        </w:rPr>
        <w:instrText xml:space="preserve"> SEQ Table \* ARABIC </w:instrText>
      </w:r>
      <w:r w:rsidRPr="00805340">
        <w:rPr>
          <w:rFonts w:asciiTheme="minorHAnsi" w:hAnsiTheme="minorHAnsi" w:cstheme="minorHAnsi"/>
        </w:rPr>
        <w:fldChar w:fldCharType="separate"/>
      </w:r>
      <w:r w:rsidR="002E7692">
        <w:rPr>
          <w:rFonts w:asciiTheme="minorHAnsi" w:hAnsiTheme="minorHAnsi" w:cstheme="minorHAnsi"/>
          <w:noProof/>
        </w:rPr>
        <w:t>3</w:t>
      </w:r>
      <w:r w:rsidRPr="00805340">
        <w:rPr>
          <w:rFonts w:asciiTheme="minorHAnsi" w:hAnsiTheme="minorHAnsi" w:cstheme="minorHAnsi"/>
          <w:noProof/>
        </w:rPr>
        <w:fldChar w:fldCharType="end"/>
      </w:r>
      <w:r w:rsidRPr="00805340">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3E094C" w:rsidRPr="00805340" w:rsidTr="00A0018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 xml:space="preserve">Time </w:t>
            </w:r>
          </w:p>
        </w:tc>
        <w:tc>
          <w:tcPr>
            <w:tcW w:w="1582"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Price ($/MWh)</w:t>
            </w:r>
          </w:p>
        </w:tc>
        <w:tc>
          <w:tcPr>
            <w:tcW w:w="1445"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Demand (MW)</w:t>
            </w:r>
          </w:p>
        </w:tc>
        <w:tc>
          <w:tcPr>
            <w:tcW w:w="1442" w:type="pct"/>
            <w:gridSpan w:val="3"/>
            <w:hideMark/>
          </w:tcPr>
          <w:p w:rsidR="003E094C" w:rsidRPr="00805340" w:rsidRDefault="003E094C" w:rsidP="00A00180">
            <w:pPr>
              <w:pStyle w:val="TableHeading"/>
              <w:jc w:val="center"/>
              <w:rPr>
                <w:rFonts w:cs="Arial"/>
                <w:b w:val="0"/>
                <w:sz w:val="20"/>
                <w:szCs w:val="20"/>
              </w:rPr>
            </w:pPr>
            <w:r w:rsidRPr="00805340">
              <w:rPr>
                <w:rFonts w:cs="Arial"/>
                <w:b w:val="0"/>
                <w:sz w:val="20"/>
                <w:szCs w:val="20"/>
              </w:rPr>
              <w:t>Availability (MW)</w:t>
            </w:r>
          </w:p>
        </w:tc>
      </w:tr>
      <w:tr w:rsidR="003E094C" w:rsidRPr="00C95562" w:rsidTr="00A0018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w:t>
            </w:r>
          </w:p>
        </w:tc>
        <w:tc>
          <w:tcPr>
            <w:tcW w:w="516"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53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455"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456"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534"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c>
          <w:tcPr>
            <w:tcW w:w="532"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Actual</w:t>
            </w:r>
          </w:p>
        </w:tc>
        <w:tc>
          <w:tcPr>
            <w:tcW w:w="457"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4 </w:t>
            </w:r>
            <w:proofErr w:type="spellStart"/>
            <w:r w:rsidRPr="00805340">
              <w:rPr>
                <w:rFonts w:cs="Arial"/>
                <w:sz w:val="20"/>
                <w:szCs w:val="20"/>
              </w:rPr>
              <w:t>hr</w:t>
            </w:r>
            <w:proofErr w:type="spellEnd"/>
            <w:r w:rsidRPr="00805340">
              <w:rPr>
                <w:rFonts w:cs="Arial"/>
                <w:sz w:val="20"/>
                <w:szCs w:val="20"/>
              </w:rPr>
              <w:t xml:space="preserve"> forecast</w:t>
            </w:r>
          </w:p>
        </w:tc>
        <w:tc>
          <w:tcPr>
            <w:tcW w:w="453" w:type="pct"/>
            <w:tcMar>
              <w:left w:w="57" w:type="dxa"/>
              <w:right w:w="57" w:type="dxa"/>
            </w:tcMar>
            <w:hideMark/>
          </w:tcPr>
          <w:p w:rsidR="003E094C" w:rsidRPr="00805340" w:rsidRDefault="003E094C" w:rsidP="00A00180">
            <w:pPr>
              <w:pStyle w:val="tableheadingline2"/>
              <w:rPr>
                <w:rFonts w:cs="Arial"/>
                <w:sz w:val="20"/>
                <w:szCs w:val="20"/>
              </w:rPr>
            </w:pPr>
            <w:r w:rsidRPr="00805340">
              <w:rPr>
                <w:rFonts w:cs="Arial"/>
                <w:sz w:val="20"/>
                <w:szCs w:val="20"/>
              </w:rPr>
              <w:t xml:space="preserve">12 </w:t>
            </w:r>
            <w:proofErr w:type="spellStart"/>
            <w:r w:rsidRPr="00805340">
              <w:rPr>
                <w:rFonts w:cs="Arial"/>
                <w:sz w:val="20"/>
                <w:szCs w:val="20"/>
              </w:rPr>
              <w:t>hr</w:t>
            </w:r>
            <w:proofErr w:type="spellEnd"/>
            <w:r w:rsidRPr="00805340">
              <w:rPr>
                <w:rFonts w:cs="Arial"/>
                <w:sz w:val="20"/>
                <w:szCs w:val="20"/>
              </w:rPr>
              <w:t xml:space="preserve"> forecast</w:t>
            </w:r>
          </w:p>
        </w:tc>
      </w:tr>
      <w:tr w:rsidR="007134E5" w:rsidRPr="00C95562" w:rsidTr="00A0018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134E5" w:rsidRPr="003F2D7A" w:rsidRDefault="007134E5" w:rsidP="00F15342">
            <w:pPr>
              <w:spacing w:after="0" w:line="240" w:lineRule="auto"/>
              <w:ind w:right="-79"/>
              <w:jc w:val="center"/>
              <w:rPr>
                <w:rFonts w:cs="Arial"/>
                <w:sz w:val="20"/>
                <w:szCs w:val="20"/>
              </w:rPr>
            </w:pPr>
            <w:r>
              <w:rPr>
                <w:rFonts w:cs="Arial"/>
                <w:sz w:val="20"/>
                <w:szCs w:val="20"/>
              </w:rPr>
              <w:t>12.</w:t>
            </w:r>
            <w:r w:rsidRPr="003F2D7A">
              <w:rPr>
                <w:rFonts w:cs="Arial"/>
                <w:sz w:val="20"/>
                <w:szCs w:val="20"/>
              </w:rPr>
              <w:t xml:space="preserve">30 </w:t>
            </w:r>
            <w:r>
              <w:rPr>
                <w:rFonts w:cs="Arial"/>
                <w:sz w:val="20"/>
                <w:szCs w:val="20"/>
              </w:rPr>
              <w:t>p</w:t>
            </w:r>
            <w:r w:rsidRPr="003F2D7A">
              <w:rPr>
                <w:rFonts w:cs="Arial"/>
                <w:sz w:val="20"/>
                <w:szCs w:val="20"/>
              </w:rPr>
              <w:t>m</w:t>
            </w:r>
          </w:p>
        </w:tc>
        <w:tc>
          <w:tcPr>
            <w:tcW w:w="516"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2092.15</w:t>
            </w:r>
          </w:p>
        </w:tc>
        <w:tc>
          <w:tcPr>
            <w:tcW w:w="533"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97.88</w:t>
            </w:r>
          </w:p>
        </w:tc>
        <w:tc>
          <w:tcPr>
            <w:tcW w:w="533"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96.95</w:t>
            </w:r>
          </w:p>
        </w:tc>
        <w:tc>
          <w:tcPr>
            <w:tcW w:w="455"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1200</w:t>
            </w:r>
          </w:p>
        </w:tc>
        <w:tc>
          <w:tcPr>
            <w:tcW w:w="456"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1247</w:t>
            </w:r>
          </w:p>
        </w:tc>
        <w:tc>
          <w:tcPr>
            <w:tcW w:w="534"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1221</w:t>
            </w:r>
          </w:p>
        </w:tc>
        <w:tc>
          <w:tcPr>
            <w:tcW w:w="532"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1957</w:t>
            </w:r>
          </w:p>
        </w:tc>
        <w:tc>
          <w:tcPr>
            <w:tcW w:w="457"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2025</w:t>
            </w:r>
          </w:p>
        </w:tc>
        <w:tc>
          <w:tcPr>
            <w:tcW w:w="453" w:type="pct"/>
            <w:vAlign w:val="center"/>
          </w:tcPr>
          <w:p w:rsidR="007134E5" w:rsidRPr="007134E5" w:rsidRDefault="007134E5" w:rsidP="00F15342">
            <w:pPr>
              <w:spacing w:after="0" w:line="240" w:lineRule="auto"/>
              <w:ind w:right="-79"/>
              <w:jc w:val="center"/>
              <w:rPr>
                <w:rFonts w:cs="Arial"/>
                <w:sz w:val="20"/>
                <w:szCs w:val="20"/>
              </w:rPr>
            </w:pPr>
            <w:r w:rsidRPr="007134E5">
              <w:rPr>
                <w:rFonts w:cs="Arial"/>
                <w:sz w:val="20"/>
                <w:szCs w:val="20"/>
              </w:rPr>
              <w:t>2028</w:t>
            </w:r>
          </w:p>
        </w:tc>
      </w:tr>
    </w:tbl>
    <w:p w:rsidR="004050C8" w:rsidRDefault="00507984" w:rsidP="004050C8">
      <w:pPr>
        <w:pStyle w:val="AERbodytext"/>
      </w:pPr>
      <w:r>
        <w:t xml:space="preserve">Conditions at the time saw demand and availability close to that forecast four hours prior. </w:t>
      </w:r>
    </w:p>
    <w:p w:rsidR="00BD43C4" w:rsidRDefault="00507984" w:rsidP="004050C8">
      <w:pPr>
        <w:pStyle w:val="AERbodytext"/>
      </w:pPr>
      <w:r>
        <w:t xml:space="preserve">At 11.08 am </w:t>
      </w:r>
      <w:proofErr w:type="spellStart"/>
      <w:r>
        <w:t>HydroTas</w:t>
      </w:r>
      <w:proofErr w:type="spellEnd"/>
      <w:r>
        <w:t xml:space="preserve"> rebid around 1</w:t>
      </w:r>
      <w:r w:rsidR="006970B8">
        <w:t>5</w:t>
      </w:r>
      <w:r>
        <w:t xml:space="preserve">0 MW </w:t>
      </w:r>
      <w:r w:rsidR="00F15342">
        <w:t xml:space="preserve">of capacity </w:t>
      </w:r>
      <w:r>
        <w:t xml:space="preserve">priced less than $10/MWh to prices above $12 000/MWh at its Reece and </w:t>
      </w:r>
      <w:r w:rsidR="00697E6D">
        <w:t>John Butters</w:t>
      </w:r>
      <w:r>
        <w:t xml:space="preserve"> power stations. The reason given </w:t>
      </w:r>
      <w:r w:rsidR="00F15342">
        <w:t>was</w:t>
      </w:r>
      <w:r>
        <w:t xml:space="preserve"> </w:t>
      </w:r>
      <w:r w:rsidR="00BD43C4">
        <w:t>“</w:t>
      </w:r>
      <w:r w:rsidR="0090347D" w:rsidRPr="00507984">
        <w:t>1107</w:t>
      </w:r>
      <w:r w:rsidR="0090347D">
        <w:t>P</w:t>
      </w:r>
      <w:r w:rsidR="0090347D" w:rsidRPr="00507984">
        <w:t xml:space="preserve"> </w:t>
      </w:r>
      <w:proofErr w:type="spellStart"/>
      <w:r w:rsidR="0090347D" w:rsidRPr="00507984">
        <w:t>fcas</w:t>
      </w:r>
      <w:proofErr w:type="spellEnd"/>
      <w:r w:rsidR="0090347D" w:rsidRPr="00507984">
        <w:t xml:space="preserve"> requirement different to forecast</w:t>
      </w:r>
      <w:r w:rsidR="00BD43C4">
        <w:t>”</w:t>
      </w:r>
      <w:r>
        <w:t xml:space="preserve">. </w:t>
      </w:r>
      <w:r w:rsidR="00BD43C4">
        <w:t>At 12.05 pm there was a step change in the amount of low priced capacity available which resulted in the price increasing to $12 114/MWh for one dispatch interval.</w:t>
      </w:r>
    </w:p>
    <w:p w:rsidR="00507984" w:rsidRPr="00C95562" w:rsidRDefault="000B6A16" w:rsidP="004050C8">
      <w:pPr>
        <w:pStyle w:val="AERbodytext"/>
      </w:pPr>
      <w:r>
        <w:t>Tasmanian p</w:t>
      </w:r>
      <w:r w:rsidR="00697E6D">
        <w:t xml:space="preserve">articipants rebid over 210 MW of capacity priced </w:t>
      </w:r>
      <w:r w:rsidR="004E7417">
        <w:t>above</w:t>
      </w:r>
      <w:r w:rsidR="00697E6D">
        <w:t xml:space="preserve"> $12 000/MWh to less than $0/MWh for the remainder of the trading interval</w:t>
      </w:r>
      <w:r w:rsidR="00322DEE">
        <w:t>. This result</w:t>
      </w:r>
      <w:r w:rsidR="00C576B4">
        <w:t>ed</w:t>
      </w:r>
      <w:r w:rsidR="00322DEE">
        <w:t xml:space="preserve"> in </w:t>
      </w:r>
      <w:r w:rsidR="00C576B4">
        <w:t xml:space="preserve">the dispatch price </w:t>
      </w:r>
      <w:r w:rsidR="00322DEE">
        <w:t>remain</w:t>
      </w:r>
      <w:r w:rsidR="00C576B4">
        <w:t>ing</w:t>
      </w:r>
      <w:r w:rsidR="00697E6D">
        <w:t xml:space="preserve"> below $100/MWh </w:t>
      </w:r>
      <w:r w:rsidR="00322DEE">
        <w:t>for</w:t>
      </w:r>
      <w:r w:rsidR="00697E6D">
        <w:t xml:space="preserve"> the rest of the trading interval.</w:t>
      </w:r>
    </w:p>
    <w:p w:rsidR="003E094C" w:rsidRPr="003F2D7A" w:rsidRDefault="007134E5" w:rsidP="003E094C">
      <w:pPr>
        <w:pStyle w:val="Heading3"/>
        <w:rPr>
          <w:rFonts w:eastAsia="Times New Roman"/>
        </w:rPr>
      </w:pPr>
      <w:r>
        <w:rPr>
          <w:rFonts w:eastAsia="Times New Roman"/>
        </w:rPr>
        <w:t>Friday, 16 June</w:t>
      </w:r>
    </w:p>
    <w:p w:rsidR="003E094C" w:rsidRPr="003F2D7A" w:rsidRDefault="003E094C" w:rsidP="003E094C">
      <w:pPr>
        <w:pStyle w:val="Caption"/>
        <w:spacing w:before="120" w:after="60"/>
        <w:rPr>
          <w:rFonts w:asciiTheme="minorHAnsi" w:hAnsiTheme="minorHAnsi" w:cstheme="minorHAnsi"/>
        </w:rPr>
      </w:pPr>
      <w:r w:rsidRPr="003F2D7A">
        <w:rPr>
          <w:rFonts w:asciiTheme="minorHAnsi" w:hAnsiTheme="minorHAnsi" w:cstheme="minorHAnsi"/>
        </w:rPr>
        <w:t xml:space="preserve">Table </w:t>
      </w:r>
      <w:r w:rsidRPr="003F2D7A">
        <w:rPr>
          <w:rFonts w:asciiTheme="minorHAnsi" w:hAnsiTheme="minorHAnsi" w:cstheme="minorHAnsi"/>
        </w:rPr>
        <w:fldChar w:fldCharType="begin"/>
      </w:r>
      <w:r w:rsidRPr="003F2D7A">
        <w:rPr>
          <w:rFonts w:asciiTheme="minorHAnsi" w:hAnsiTheme="minorHAnsi" w:cstheme="minorHAnsi"/>
        </w:rPr>
        <w:instrText xml:space="preserve"> SEQ Table \* ARABIC </w:instrText>
      </w:r>
      <w:r w:rsidRPr="003F2D7A">
        <w:rPr>
          <w:rFonts w:asciiTheme="minorHAnsi" w:hAnsiTheme="minorHAnsi" w:cstheme="minorHAnsi"/>
        </w:rPr>
        <w:fldChar w:fldCharType="separate"/>
      </w:r>
      <w:r w:rsidR="002E7692">
        <w:rPr>
          <w:rFonts w:asciiTheme="minorHAnsi" w:hAnsiTheme="minorHAnsi" w:cstheme="minorHAnsi"/>
          <w:noProof/>
        </w:rPr>
        <w:t>4</w:t>
      </w:r>
      <w:r w:rsidRPr="003F2D7A">
        <w:rPr>
          <w:rFonts w:asciiTheme="minorHAnsi" w:hAnsiTheme="minorHAnsi" w:cstheme="minorHAnsi"/>
          <w:noProof/>
        </w:rPr>
        <w:fldChar w:fldCharType="end"/>
      </w:r>
      <w:r w:rsidRPr="003F2D7A">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1132"/>
        <w:gridCol w:w="710"/>
        <w:gridCol w:w="850"/>
        <w:gridCol w:w="995"/>
        <w:gridCol w:w="992"/>
        <w:gridCol w:w="852"/>
        <w:gridCol w:w="844"/>
      </w:tblGrid>
      <w:tr w:rsidR="003E094C" w:rsidRPr="00940EE4" w:rsidTr="00964A08">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 xml:space="preserve">Time </w:t>
            </w:r>
          </w:p>
        </w:tc>
        <w:tc>
          <w:tcPr>
            <w:tcW w:w="1656"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Price ($/MWh)</w:t>
            </w:r>
          </w:p>
        </w:tc>
        <w:tc>
          <w:tcPr>
            <w:tcW w:w="1371"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Demand (MW)</w:t>
            </w:r>
          </w:p>
        </w:tc>
        <w:tc>
          <w:tcPr>
            <w:tcW w:w="1442" w:type="pct"/>
            <w:gridSpan w:val="3"/>
            <w:hideMark/>
          </w:tcPr>
          <w:p w:rsidR="003E094C" w:rsidRPr="00940EE4" w:rsidRDefault="003E094C" w:rsidP="00A00180">
            <w:pPr>
              <w:pStyle w:val="TableHeading"/>
              <w:jc w:val="center"/>
              <w:rPr>
                <w:rFonts w:cs="Arial"/>
                <w:b w:val="0"/>
                <w:sz w:val="20"/>
                <w:szCs w:val="20"/>
              </w:rPr>
            </w:pPr>
            <w:r w:rsidRPr="00940EE4">
              <w:rPr>
                <w:rFonts w:cs="Arial"/>
                <w:b w:val="0"/>
                <w:sz w:val="20"/>
                <w:szCs w:val="20"/>
              </w:rPr>
              <w:t>Availability (MW)</w:t>
            </w:r>
          </w:p>
        </w:tc>
      </w:tr>
      <w:tr w:rsidR="003E094C" w:rsidRPr="00940EE4" w:rsidTr="00964A08">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w:t>
            </w:r>
          </w:p>
        </w:tc>
        <w:tc>
          <w:tcPr>
            <w:tcW w:w="516"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533"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4 </w:t>
            </w:r>
            <w:proofErr w:type="spellStart"/>
            <w:r w:rsidRPr="00940EE4">
              <w:rPr>
                <w:rFonts w:cs="Arial"/>
                <w:sz w:val="20"/>
                <w:szCs w:val="20"/>
              </w:rPr>
              <w:t>hr</w:t>
            </w:r>
            <w:proofErr w:type="spellEnd"/>
            <w:r w:rsidRPr="00940EE4">
              <w:rPr>
                <w:rFonts w:cs="Arial"/>
                <w:sz w:val="20"/>
                <w:szCs w:val="20"/>
              </w:rPr>
              <w:t xml:space="preserve"> forecast</w:t>
            </w:r>
          </w:p>
        </w:tc>
        <w:tc>
          <w:tcPr>
            <w:tcW w:w="607"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12 </w:t>
            </w:r>
            <w:proofErr w:type="spellStart"/>
            <w:r w:rsidRPr="00940EE4">
              <w:rPr>
                <w:rFonts w:cs="Arial"/>
                <w:sz w:val="20"/>
                <w:szCs w:val="20"/>
              </w:rPr>
              <w:t>hr</w:t>
            </w:r>
            <w:proofErr w:type="spellEnd"/>
            <w:r w:rsidRPr="00940EE4">
              <w:rPr>
                <w:rFonts w:cs="Arial"/>
                <w:sz w:val="20"/>
                <w:szCs w:val="20"/>
              </w:rPr>
              <w:t xml:space="preserve"> forecast</w:t>
            </w:r>
          </w:p>
        </w:tc>
        <w:tc>
          <w:tcPr>
            <w:tcW w:w="381"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456"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4 </w:t>
            </w:r>
            <w:proofErr w:type="spellStart"/>
            <w:r w:rsidRPr="00940EE4">
              <w:rPr>
                <w:rFonts w:cs="Arial"/>
                <w:sz w:val="20"/>
                <w:szCs w:val="20"/>
              </w:rPr>
              <w:t>hr</w:t>
            </w:r>
            <w:proofErr w:type="spellEnd"/>
            <w:r w:rsidRPr="00940EE4">
              <w:rPr>
                <w:rFonts w:cs="Arial"/>
                <w:sz w:val="20"/>
                <w:szCs w:val="20"/>
              </w:rPr>
              <w:t xml:space="preserve"> forecast</w:t>
            </w:r>
          </w:p>
        </w:tc>
        <w:tc>
          <w:tcPr>
            <w:tcW w:w="534"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12 </w:t>
            </w:r>
            <w:proofErr w:type="spellStart"/>
            <w:r w:rsidRPr="00940EE4">
              <w:rPr>
                <w:rFonts w:cs="Arial"/>
                <w:sz w:val="20"/>
                <w:szCs w:val="20"/>
              </w:rPr>
              <w:t>hr</w:t>
            </w:r>
            <w:proofErr w:type="spellEnd"/>
            <w:r w:rsidRPr="00940EE4">
              <w:rPr>
                <w:rFonts w:cs="Arial"/>
                <w:sz w:val="20"/>
                <w:szCs w:val="20"/>
              </w:rPr>
              <w:t xml:space="preserve"> forecast</w:t>
            </w:r>
          </w:p>
        </w:tc>
        <w:tc>
          <w:tcPr>
            <w:tcW w:w="532"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Actual</w:t>
            </w:r>
          </w:p>
        </w:tc>
        <w:tc>
          <w:tcPr>
            <w:tcW w:w="457"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4 </w:t>
            </w:r>
            <w:proofErr w:type="spellStart"/>
            <w:r w:rsidRPr="00940EE4">
              <w:rPr>
                <w:rFonts w:cs="Arial"/>
                <w:sz w:val="20"/>
                <w:szCs w:val="20"/>
              </w:rPr>
              <w:t>hr</w:t>
            </w:r>
            <w:proofErr w:type="spellEnd"/>
            <w:r w:rsidRPr="00940EE4">
              <w:rPr>
                <w:rFonts w:cs="Arial"/>
                <w:sz w:val="20"/>
                <w:szCs w:val="20"/>
              </w:rPr>
              <w:t xml:space="preserve"> forecast</w:t>
            </w:r>
          </w:p>
        </w:tc>
        <w:tc>
          <w:tcPr>
            <w:tcW w:w="453" w:type="pct"/>
            <w:tcMar>
              <w:left w:w="57" w:type="dxa"/>
              <w:right w:w="57" w:type="dxa"/>
            </w:tcMar>
            <w:hideMark/>
          </w:tcPr>
          <w:p w:rsidR="003E094C" w:rsidRPr="00940EE4" w:rsidRDefault="003E094C" w:rsidP="00A00180">
            <w:pPr>
              <w:pStyle w:val="tableheadingline2"/>
              <w:rPr>
                <w:rFonts w:cs="Arial"/>
                <w:sz w:val="20"/>
                <w:szCs w:val="20"/>
              </w:rPr>
            </w:pPr>
            <w:r w:rsidRPr="00940EE4">
              <w:rPr>
                <w:rFonts w:cs="Arial"/>
                <w:sz w:val="20"/>
                <w:szCs w:val="20"/>
              </w:rPr>
              <w:t xml:space="preserve">12 </w:t>
            </w:r>
            <w:proofErr w:type="spellStart"/>
            <w:r w:rsidRPr="00940EE4">
              <w:rPr>
                <w:rFonts w:cs="Arial"/>
                <w:sz w:val="20"/>
                <w:szCs w:val="20"/>
              </w:rPr>
              <w:t>hr</w:t>
            </w:r>
            <w:proofErr w:type="spellEnd"/>
            <w:r w:rsidRPr="00940EE4">
              <w:rPr>
                <w:rFonts w:cs="Arial"/>
                <w:sz w:val="20"/>
                <w:szCs w:val="20"/>
              </w:rPr>
              <w:t xml:space="preserve"> forecast</w:t>
            </w:r>
          </w:p>
        </w:tc>
      </w:tr>
      <w:tr w:rsidR="007134E5" w:rsidRPr="00940EE4" w:rsidTr="00964A08">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7134E5" w:rsidRPr="007134E5" w:rsidRDefault="007134E5" w:rsidP="009241BB">
            <w:pPr>
              <w:spacing w:after="0" w:line="240" w:lineRule="auto"/>
              <w:ind w:right="-79"/>
              <w:jc w:val="center"/>
              <w:rPr>
                <w:rFonts w:cs="Arial"/>
                <w:sz w:val="20"/>
                <w:szCs w:val="20"/>
              </w:rPr>
            </w:pPr>
            <w:r>
              <w:rPr>
                <w:rFonts w:cs="Arial"/>
                <w:sz w:val="20"/>
                <w:szCs w:val="20"/>
              </w:rPr>
              <w:t>6.</w:t>
            </w:r>
            <w:r w:rsidRPr="007134E5">
              <w:rPr>
                <w:rFonts w:cs="Arial"/>
                <w:sz w:val="20"/>
                <w:szCs w:val="20"/>
              </w:rPr>
              <w:t xml:space="preserve">30 </w:t>
            </w:r>
            <w:r>
              <w:rPr>
                <w:rFonts w:cs="Arial"/>
                <w:sz w:val="20"/>
                <w:szCs w:val="20"/>
              </w:rPr>
              <w:t>am</w:t>
            </w:r>
          </w:p>
        </w:tc>
        <w:tc>
          <w:tcPr>
            <w:tcW w:w="516"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2132.69</w:t>
            </w:r>
          </w:p>
        </w:tc>
        <w:tc>
          <w:tcPr>
            <w:tcW w:w="533"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113.39</w:t>
            </w:r>
          </w:p>
        </w:tc>
        <w:tc>
          <w:tcPr>
            <w:tcW w:w="607"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12 114.40</w:t>
            </w:r>
          </w:p>
        </w:tc>
        <w:tc>
          <w:tcPr>
            <w:tcW w:w="381"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1190</w:t>
            </w:r>
          </w:p>
        </w:tc>
        <w:tc>
          <w:tcPr>
            <w:tcW w:w="456"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1175</w:t>
            </w:r>
          </w:p>
        </w:tc>
        <w:tc>
          <w:tcPr>
            <w:tcW w:w="534"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1180</w:t>
            </w:r>
          </w:p>
        </w:tc>
        <w:tc>
          <w:tcPr>
            <w:tcW w:w="532"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2024</w:t>
            </w:r>
          </w:p>
        </w:tc>
        <w:tc>
          <w:tcPr>
            <w:tcW w:w="457"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2006</w:t>
            </w:r>
          </w:p>
        </w:tc>
        <w:tc>
          <w:tcPr>
            <w:tcW w:w="453"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2007</w:t>
            </w:r>
          </w:p>
        </w:tc>
      </w:tr>
      <w:tr w:rsidR="007134E5" w:rsidRPr="00940EE4" w:rsidTr="00964A08">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7134E5" w:rsidRPr="007134E5" w:rsidRDefault="007134E5" w:rsidP="009241BB">
            <w:pPr>
              <w:spacing w:after="0" w:line="240" w:lineRule="auto"/>
              <w:ind w:right="-79"/>
              <w:jc w:val="center"/>
              <w:rPr>
                <w:rFonts w:cs="Arial"/>
                <w:sz w:val="20"/>
                <w:szCs w:val="20"/>
              </w:rPr>
            </w:pPr>
            <w:r>
              <w:rPr>
                <w:rFonts w:cs="Arial"/>
                <w:sz w:val="20"/>
                <w:szCs w:val="20"/>
              </w:rPr>
              <w:t>9.</w:t>
            </w:r>
            <w:r w:rsidRPr="007134E5">
              <w:rPr>
                <w:rFonts w:cs="Arial"/>
                <w:sz w:val="20"/>
                <w:szCs w:val="20"/>
              </w:rPr>
              <w:t xml:space="preserve">30 </w:t>
            </w:r>
            <w:r>
              <w:rPr>
                <w:rFonts w:cs="Arial"/>
                <w:sz w:val="20"/>
                <w:szCs w:val="20"/>
              </w:rPr>
              <w:t>pm</w:t>
            </w:r>
          </w:p>
        </w:tc>
        <w:tc>
          <w:tcPr>
            <w:tcW w:w="516"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2100.28</w:t>
            </w:r>
          </w:p>
        </w:tc>
        <w:tc>
          <w:tcPr>
            <w:tcW w:w="533"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98.92</w:t>
            </w:r>
          </w:p>
        </w:tc>
        <w:tc>
          <w:tcPr>
            <w:tcW w:w="607"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96.27</w:t>
            </w:r>
          </w:p>
        </w:tc>
        <w:tc>
          <w:tcPr>
            <w:tcW w:w="381"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1240</w:t>
            </w:r>
          </w:p>
        </w:tc>
        <w:tc>
          <w:tcPr>
            <w:tcW w:w="456"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1266</w:t>
            </w:r>
          </w:p>
        </w:tc>
        <w:tc>
          <w:tcPr>
            <w:tcW w:w="534"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1283</w:t>
            </w:r>
          </w:p>
        </w:tc>
        <w:tc>
          <w:tcPr>
            <w:tcW w:w="532"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2084</w:t>
            </w:r>
          </w:p>
        </w:tc>
        <w:tc>
          <w:tcPr>
            <w:tcW w:w="457"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2049</w:t>
            </w:r>
          </w:p>
        </w:tc>
        <w:tc>
          <w:tcPr>
            <w:tcW w:w="453" w:type="pct"/>
            <w:vAlign w:val="center"/>
          </w:tcPr>
          <w:p w:rsidR="007134E5" w:rsidRPr="007134E5" w:rsidRDefault="007134E5" w:rsidP="009241BB">
            <w:pPr>
              <w:spacing w:after="0" w:line="240" w:lineRule="auto"/>
              <w:ind w:right="-79"/>
              <w:jc w:val="center"/>
              <w:rPr>
                <w:rFonts w:cs="Arial"/>
                <w:sz w:val="20"/>
                <w:szCs w:val="20"/>
              </w:rPr>
            </w:pPr>
            <w:r w:rsidRPr="007134E5">
              <w:rPr>
                <w:rFonts w:cs="Arial"/>
                <w:sz w:val="20"/>
                <w:szCs w:val="20"/>
              </w:rPr>
              <w:t>2111</w:t>
            </w:r>
          </w:p>
        </w:tc>
      </w:tr>
    </w:tbl>
    <w:bookmarkEnd w:id="0"/>
    <w:bookmarkEnd w:id="1"/>
    <w:bookmarkEnd w:id="2"/>
    <w:bookmarkEnd w:id="3"/>
    <w:bookmarkEnd w:id="4"/>
    <w:bookmarkEnd w:id="5"/>
    <w:p w:rsidR="009B484D" w:rsidRDefault="0067305B" w:rsidP="009B484D">
      <w:pPr>
        <w:pStyle w:val="AERbodytext"/>
      </w:pPr>
      <w:r>
        <w:t xml:space="preserve">For both trading intervals, </w:t>
      </w:r>
      <w:r w:rsidR="009B484D">
        <w:t>demand and availability</w:t>
      </w:r>
      <w:r>
        <w:t xml:space="preserve"> were</w:t>
      </w:r>
      <w:r w:rsidR="009B484D">
        <w:t xml:space="preserve"> close to that forecast four hours </w:t>
      </w:r>
      <w:r>
        <w:t>ahead</w:t>
      </w:r>
      <w:r w:rsidR="009B484D">
        <w:t xml:space="preserve">. </w:t>
      </w:r>
    </w:p>
    <w:p w:rsidR="000B6A16" w:rsidRPr="000B6A16" w:rsidRDefault="006B28F3" w:rsidP="000B6A16">
      <w:pPr>
        <w:textAlignment w:val="center"/>
      </w:pPr>
      <w:r>
        <w:t xml:space="preserve">For the 6.30 am trading interval, there was </w:t>
      </w:r>
      <w:r w:rsidR="007E4CEA">
        <w:t>no capacity priced between $108/MWh and $12 114/MWh</w:t>
      </w:r>
      <w:r>
        <w:t>.</w:t>
      </w:r>
      <w:r w:rsidR="007E4CEA">
        <w:t xml:space="preserve"> </w:t>
      </w:r>
      <w:r w:rsidR="000B6A16">
        <w:t>Over two rebids from</w:t>
      </w:r>
      <w:r w:rsidR="00322DEE">
        <w:t xml:space="preserve"> 6.</w:t>
      </w:r>
      <w:r w:rsidR="009A3BD6">
        <w:t>02</w:t>
      </w:r>
      <w:r w:rsidR="00322DEE">
        <w:t> am</w:t>
      </w:r>
      <w:r w:rsidR="0067305B">
        <w:t>,</w:t>
      </w:r>
      <w:r w:rsidR="00322DEE">
        <w:t xml:space="preserve"> </w:t>
      </w:r>
      <w:r w:rsidR="009A3BD6">
        <w:t xml:space="preserve">Hydro Tasmania rebid 33 MW of capacity </w:t>
      </w:r>
      <w:r w:rsidR="000B6A16">
        <w:t xml:space="preserve">at </w:t>
      </w:r>
      <w:proofErr w:type="spellStart"/>
      <w:r w:rsidR="000B6A16">
        <w:t>Liap</w:t>
      </w:r>
      <w:proofErr w:type="spellEnd"/>
      <w:r w:rsidR="000B6A16">
        <w:t xml:space="preserve">, </w:t>
      </w:r>
      <w:proofErr w:type="spellStart"/>
      <w:r w:rsidR="000B6A16">
        <w:t>Cata</w:t>
      </w:r>
      <w:proofErr w:type="spellEnd"/>
      <w:r w:rsidR="000B6A16">
        <w:t xml:space="preserve">, </w:t>
      </w:r>
      <w:proofErr w:type="spellStart"/>
      <w:r w:rsidR="000B6A16">
        <w:t>Waya</w:t>
      </w:r>
      <w:proofErr w:type="spellEnd"/>
      <w:r w:rsidR="000B6A16">
        <w:t xml:space="preserve"> power station </w:t>
      </w:r>
      <w:r w:rsidR="009A3BD6">
        <w:t>from -$75/MWh to $12 114/MWh.</w:t>
      </w:r>
      <w:r w:rsidR="000B6A16">
        <w:t xml:space="preserve"> The reasons given were “</w:t>
      </w:r>
      <w:r w:rsidR="000B6A16" w:rsidRPr="000B6A16">
        <w:t xml:space="preserve">0601P </w:t>
      </w:r>
      <w:proofErr w:type="spellStart"/>
      <w:proofErr w:type="gramStart"/>
      <w:r w:rsidR="000B6A16" w:rsidRPr="000B6A16">
        <w:t>lk</w:t>
      </w:r>
      <w:proofErr w:type="spellEnd"/>
      <w:proofErr w:type="gramEnd"/>
      <w:r w:rsidR="000B6A16" w:rsidRPr="000B6A16">
        <w:t xml:space="preserve"> </w:t>
      </w:r>
      <w:proofErr w:type="spellStart"/>
      <w:r w:rsidR="000B6A16" w:rsidRPr="000B6A16">
        <w:t>lvl</w:t>
      </w:r>
      <w:proofErr w:type="spellEnd"/>
      <w:r w:rsidR="000B6A16" w:rsidRPr="000B6A16">
        <w:t xml:space="preserve"> &lt; </w:t>
      </w:r>
      <w:proofErr w:type="spellStart"/>
      <w:r w:rsidR="000B6A16" w:rsidRPr="000B6A16">
        <w:t>fcast</w:t>
      </w:r>
      <w:proofErr w:type="spellEnd"/>
      <w:r w:rsidR="000B6A16" w:rsidRPr="000B6A16">
        <w:t>” and “0606P plant late to start”</w:t>
      </w:r>
      <w:r w:rsidR="000B6A16">
        <w:t>.</w:t>
      </w:r>
    </w:p>
    <w:p w:rsidR="00105383" w:rsidRDefault="00105383" w:rsidP="009B484D">
      <w:pPr>
        <w:pStyle w:val="AERbodytext"/>
      </w:pPr>
      <w:r>
        <w:t xml:space="preserve">The rebids coupled with the </w:t>
      </w:r>
      <w:r w:rsidR="007E4CEA">
        <w:t xml:space="preserve">increases in </w:t>
      </w:r>
      <w:r>
        <w:t xml:space="preserve">morning peak </w:t>
      </w:r>
      <w:r w:rsidR="007E4CEA">
        <w:t xml:space="preserve">demand </w:t>
      </w:r>
      <w:r>
        <w:t>resulted in the price increasing to $12 114/MWh a</w:t>
      </w:r>
      <w:r w:rsidR="006B28F3">
        <w:t>t 6.20 am</w:t>
      </w:r>
      <w:r>
        <w:t>.</w:t>
      </w:r>
    </w:p>
    <w:p w:rsidR="009B484D" w:rsidRDefault="009A3BD6" w:rsidP="009B484D">
      <w:pPr>
        <w:pStyle w:val="AERbodytext"/>
      </w:pPr>
      <w:r>
        <w:lastRenderedPageBreak/>
        <w:t>Rebidding 336 MW of capacity priced above $12 114/MWh to less than $0/MWh caused the price to remain below $100</w:t>
      </w:r>
      <w:r w:rsidR="00A156C8">
        <w:t>/</w:t>
      </w:r>
      <w:r>
        <w:t>MWh for the remainder of the trading interval.</w:t>
      </w:r>
    </w:p>
    <w:p w:rsidR="00B05F34" w:rsidRDefault="0067305B" w:rsidP="009B484D">
      <w:pPr>
        <w:pStyle w:val="AERbodytext"/>
      </w:pPr>
      <w:r>
        <w:t xml:space="preserve">Leading up to the 9.30 pm trading interval: </w:t>
      </w:r>
      <w:bookmarkStart w:id="20" w:name="_GoBack"/>
      <w:bookmarkEnd w:id="20"/>
      <w:r w:rsidR="00A538AC">
        <w:t>At 7.24 pm, Hydro</w:t>
      </w:r>
      <w:r w:rsidR="00914082">
        <w:t> </w:t>
      </w:r>
      <w:r w:rsidR="00A538AC">
        <w:t>Tas</w:t>
      </w:r>
      <w:r w:rsidR="00914082">
        <w:t>mania</w:t>
      </w:r>
      <w:r w:rsidR="00A538AC">
        <w:t xml:space="preserve"> rebid 132 MW </w:t>
      </w:r>
      <w:r w:rsidR="00134146">
        <w:t xml:space="preserve">of capacity </w:t>
      </w:r>
      <w:r w:rsidR="00A538AC">
        <w:t xml:space="preserve">from </w:t>
      </w:r>
      <w:r w:rsidR="00914082">
        <w:t>-</w:t>
      </w:r>
      <w:r w:rsidR="00A538AC">
        <w:t xml:space="preserve">$1/MWh to $12 115/MWh at its John Butters and </w:t>
      </w:r>
      <w:proofErr w:type="spellStart"/>
      <w:r w:rsidR="00A538AC">
        <w:t>Tungatin</w:t>
      </w:r>
      <w:proofErr w:type="spellEnd"/>
      <w:r w:rsidR="00A538AC">
        <w:t xml:space="preserve"> power stations, with the </w:t>
      </w:r>
      <w:r w:rsidR="00134146">
        <w:t>reason “</w:t>
      </w:r>
      <w:r w:rsidR="00A538AC" w:rsidRPr="00A538AC">
        <w:t>1922P machine target different to expectation</w:t>
      </w:r>
      <w:r w:rsidR="00134146">
        <w:t>”</w:t>
      </w:r>
      <w:r w:rsidR="00A538AC">
        <w:t xml:space="preserve">. </w:t>
      </w:r>
      <w:r w:rsidR="00B05F34">
        <w:t>At 9.05 pm there was a step change in the amount of low priced capacity available which resulted in</w:t>
      </w:r>
      <w:r w:rsidR="00B24F9C">
        <w:t xml:space="preserve"> the price increas</w:t>
      </w:r>
      <w:r w:rsidR="00B05F34">
        <w:t>ing</w:t>
      </w:r>
      <w:r w:rsidR="00B24F9C">
        <w:t xml:space="preserve"> to $12 115/MWh for one dispatch interval.</w:t>
      </w:r>
    </w:p>
    <w:p w:rsidR="0059433E" w:rsidRDefault="00B24F9C" w:rsidP="009B484D">
      <w:pPr>
        <w:pStyle w:val="AERbodytext"/>
      </w:pPr>
      <w:r>
        <w:t xml:space="preserve">The price then dropped to around $100/MWh for the remainder of the trading interval due to </w:t>
      </w:r>
      <w:proofErr w:type="gramStart"/>
      <w:r>
        <w:t>a</w:t>
      </w:r>
      <w:proofErr w:type="gramEnd"/>
      <w:r>
        <w:t xml:space="preserve"> </w:t>
      </w:r>
      <w:r w:rsidR="00BD43C4">
        <w:t xml:space="preserve">80 MW </w:t>
      </w:r>
      <w:r>
        <w:t>decrease in demand.</w:t>
      </w:r>
    </w:p>
    <w:p w:rsidR="00275002" w:rsidRDefault="00275002" w:rsidP="002E01BF">
      <w:pPr>
        <w:pStyle w:val="Heading2"/>
        <w:spacing w:after="120"/>
      </w:pPr>
      <w:r w:rsidRPr="00686EDE">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2E7692">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581EDD">
        <w:fldChar w:fldCharType="begin"/>
      </w:r>
      <w:r w:rsidR="00581EDD">
        <w:instrText xml:space="preserve"> SEQ Figure \* ARABIC </w:instrText>
      </w:r>
      <w:r w:rsidR="00581EDD">
        <w:fldChar w:fldCharType="separate"/>
      </w:r>
      <w:r w:rsidR="002E7692">
        <w:rPr>
          <w:noProof/>
        </w:rPr>
        <w:t>9</w:t>
      </w:r>
      <w:r w:rsidR="00581EDD">
        <w:rPr>
          <w:noProof/>
        </w:rPr>
        <w:fldChar w:fldCharType="end"/>
      </w:r>
      <w:bookmarkEnd w:id="21"/>
      <w:r w:rsidR="002515C3">
        <w:t>:</w:t>
      </w:r>
      <w:r>
        <w:t xml:space="preserve"> </w:t>
      </w:r>
      <w:r w:rsidRPr="007A6ACB">
        <w:t>Quarterly base future prices Q</w:t>
      </w:r>
      <w:r w:rsidR="0032785B">
        <w:t>2</w:t>
      </w:r>
      <w:r w:rsidR="00C4712A">
        <w:t xml:space="preserve"> 201</w:t>
      </w:r>
      <w:r w:rsidR="00345595">
        <w:t>7</w:t>
      </w:r>
      <w:r w:rsidRPr="007A6ACB">
        <w:t xml:space="preserve"> – Q</w:t>
      </w:r>
      <w:r w:rsidR="0032785B">
        <w:t>1</w:t>
      </w:r>
      <w:r w:rsidR="0069547C">
        <w:t xml:space="preserve"> 202</w:t>
      </w:r>
      <w:r w:rsidR="0032785B">
        <w:t>1</w:t>
      </w:r>
      <w:r w:rsidR="003A585C" w:rsidRPr="003A585C">
        <w:rPr>
          <w:b w:val="0"/>
          <w:bCs w:val="0"/>
        </w:rPr>
        <w:t xml:space="preserve"> </w:t>
      </w:r>
    </w:p>
    <w:p w:rsidR="00CA0ECB" w:rsidRPr="00037EB9" w:rsidRDefault="007134E5" w:rsidP="00783D4E">
      <w:pPr>
        <w:spacing w:before="0" w:after="120" w:line="240" w:lineRule="auto"/>
        <w:rPr>
          <w:sz w:val="16"/>
          <w:szCs w:val="16"/>
        </w:rPr>
      </w:pPr>
      <w:r w:rsidRPr="007134E5">
        <w:rPr>
          <w:noProof/>
          <w:lang w:eastAsia="en-AU"/>
        </w:rPr>
        <w:drawing>
          <wp:inline distT="0" distB="0" distL="0" distR="0" wp14:anchorId="73FDB7C2" wp14:editId="677F8476">
            <wp:extent cx="5731510" cy="2885766"/>
            <wp:effectExtent l="0" t="0" r="2540" b="0"/>
            <wp:docPr id="8" name="Picture 8"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2E7692" w:rsidRPr="00491631">
        <w:t xml:space="preserve">Figure </w:t>
      </w:r>
      <w:r w:rsidR="002E7692">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C764D8">
        <w:t>8</w:t>
      </w:r>
      <w:r w:rsidRPr="000048ED">
        <w:t xml:space="preserve"> base contract has changed over the last 10 weeks (as well as the total number of trades each week). The closing quarter 1 201</w:t>
      </w:r>
      <w:r w:rsidR="0084030A">
        <w:t>6</w:t>
      </w:r>
      <w:r w:rsidRPr="000048ED">
        <w:t xml:space="preserve"> and quarter 1 201</w:t>
      </w:r>
      <w:r w:rsidR="0084030A">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r w:rsidR="0084030A">
        <w:t>The high volumes for the week staring 14 May were a result of the conversion of 2017/18 financial year base load options to base future contracts.</w:t>
      </w:r>
    </w:p>
    <w:p w:rsidR="00275002" w:rsidRDefault="00275002" w:rsidP="00783D4E">
      <w:pPr>
        <w:pStyle w:val="Caption"/>
        <w:spacing w:before="0" w:line="240" w:lineRule="auto"/>
      </w:pPr>
      <w:bookmarkStart w:id="22" w:name="_Ref410380382"/>
      <w:r w:rsidRPr="00491631">
        <w:lastRenderedPageBreak/>
        <w:t xml:space="preserve">Figure </w:t>
      </w:r>
      <w:r w:rsidR="00581EDD">
        <w:fldChar w:fldCharType="begin"/>
      </w:r>
      <w:r w:rsidR="00581EDD">
        <w:instrText xml:space="preserve"> SEQ Figure \* ARABIC </w:instrText>
      </w:r>
      <w:r w:rsidR="00581EDD">
        <w:fldChar w:fldCharType="separate"/>
      </w:r>
      <w:r w:rsidR="002E7692">
        <w:rPr>
          <w:noProof/>
        </w:rPr>
        <w:t>10</w:t>
      </w:r>
      <w:r w:rsidR="00581EDD">
        <w:rPr>
          <w:noProof/>
        </w:rPr>
        <w:fldChar w:fldCharType="end"/>
      </w:r>
      <w:bookmarkEnd w:id="22"/>
      <w:r w:rsidR="002515C3" w:rsidRPr="00491631">
        <w:t>:</w:t>
      </w:r>
      <w:r w:rsidRPr="00491631">
        <w:t xml:space="preserve"> Price of Q1 201</w:t>
      </w:r>
      <w:r w:rsidR="0032785B">
        <w:t>8</w:t>
      </w:r>
      <w:r w:rsidRPr="00491631">
        <w:t xml:space="preserve"> base contracts over the past 10 weeks (and the past 2 years)</w:t>
      </w:r>
    </w:p>
    <w:p w:rsidR="007C26D6" w:rsidRDefault="00191EF0" w:rsidP="00C466B4">
      <w:pPr>
        <w:pStyle w:val="Source"/>
        <w:spacing w:before="0" w:after="120" w:line="240" w:lineRule="auto"/>
        <w:jc w:val="both"/>
      </w:pPr>
      <w:r w:rsidRPr="00191EF0">
        <w:rPr>
          <w:noProof/>
          <w:lang w:eastAsia="en-AU"/>
        </w:rPr>
        <w:drawing>
          <wp:inline distT="0" distB="0" distL="0" distR="0" wp14:anchorId="69F03B20" wp14:editId="4019362F">
            <wp:extent cx="5731510" cy="2900199"/>
            <wp:effectExtent l="0" t="0" r="2540" b="0"/>
            <wp:docPr id="9" name="Picture 9"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2E7692">
        <w:t xml:space="preserve">Figure </w:t>
      </w:r>
      <w:r w:rsidR="002E7692">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581EDD">
        <w:fldChar w:fldCharType="begin"/>
      </w:r>
      <w:r w:rsidR="00581EDD">
        <w:instrText xml:space="preserve"> SEQ Figure \* ARABIC </w:instrText>
      </w:r>
      <w:r w:rsidR="00581EDD">
        <w:fldChar w:fldCharType="separate"/>
      </w:r>
      <w:r w:rsidR="002E7692">
        <w:rPr>
          <w:noProof/>
        </w:rPr>
        <w:t>11</w:t>
      </w:r>
      <w:r w:rsidR="00581EDD">
        <w:rPr>
          <w:noProof/>
        </w:rPr>
        <w:fldChar w:fldCharType="end"/>
      </w:r>
      <w:bookmarkEnd w:id="23"/>
      <w:r w:rsidR="002515C3">
        <w:t>:</w:t>
      </w:r>
      <w:r w:rsidRPr="0074419D">
        <w:t xml:space="preserve"> Price of Q1 201</w:t>
      </w:r>
      <w:r w:rsidR="0032785B">
        <w:t>8</w:t>
      </w:r>
      <w:r w:rsidRPr="0074419D">
        <w:t xml:space="preserve"> cap contracts over the past 10 weeks (and the past 2 years)</w:t>
      </w:r>
      <w:bookmarkEnd w:id="24"/>
    </w:p>
    <w:p w:rsidR="008E0420" w:rsidRPr="008E0420" w:rsidRDefault="00191EF0" w:rsidP="008E0420">
      <w:r w:rsidRPr="00191EF0">
        <w:rPr>
          <w:noProof/>
          <w:lang w:eastAsia="en-AU"/>
        </w:rPr>
        <w:drawing>
          <wp:inline distT="0" distB="0" distL="0" distR="0" wp14:anchorId="64651349" wp14:editId="14A1BC27">
            <wp:extent cx="5731510" cy="2874232"/>
            <wp:effectExtent l="0" t="0" r="2540" b="2540"/>
            <wp:docPr id="12" name="Picture 12" descr="Figure 11 shows how the price for each regional Quarter 1 2018 cap contract has changed over the last 10 weeks (as well as the total number of trades each week). The closing quarter 1 2016 and quarter 1 2017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84030A">
        <w:t xml:space="preserve">June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1B" w:rsidRDefault="000F021B" w:rsidP="004B4412">
      <w:pPr>
        <w:spacing w:before="0"/>
      </w:pPr>
      <w:r>
        <w:separator/>
      </w:r>
    </w:p>
  </w:endnote>
  <w:endnote w:type="continuationSeparator" w:id="0">
    <w:p w:rsidR="000F021B" w:rsidRDefault="000F021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1A9E" w:rsidRDefault="000F021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F021B" w:rsidRDefault="000F021B"/>
  <w:p w:rsidR="000F021B" w:rsidRDefault="000F02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37933">
      <w:rPr>
        <w:rFonts w:cs="Arial"/>
        <w:i/>
        <w:noProof/>
      </w:rPr>
      <w:t>5</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21B" w:rsidRPr="00A94D89" w:rsidRDefault="000F021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B37933">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00C764D8" w:rsidRPr="00C764D8">
      <w:rPr>
        <w:rFonts w:cs="Arial"/>
        <w:i/>
        <w:szCs w:val="18"/>
      </w:rPr>
      <w:t>D17/</w:t>
    </w:r>
    <w:r w:rsidR="007134E5">
      <w:rPr>
        <w:rFonts w:cs="Arial"/>
        <w:i/>
        <w:szCs w:val="18"/>
      </w:rPr>
      <w:t>83068</w:t>
    </w:r>
  </w:p>
  <w:p w:rsidR="000F021B" w:rsidRDefault="000F0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1B" w:rsidRDefault="000F021B" w:rsidP="004B4412">
      <w:pPr>
        <w:spacing w:before="0"/>
      </w:pPr>
      <w:r>
        <w:separator/>
      </w:r>
    </w:p>
  </w:footnote>
  <w:footnote w:type="continuationSeparator" w:id="0">
    <w:p w:rsidR="000F021B" w:rsidRDefault="000F021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10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20170611 - 20171617 electricity report (D2017-00083068).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147E"/>
    <w:rsid w:val="00212D2F"/>
    <w:rsid w:val="00213CF6"/>
    <w:rsid w:val="00214274"/>
    <w:rsid w:val="0021431B"/>
    <w:rsid w:val="00214FBA"/>
    <w:rsid w:val="00215E19"/>
    <w:rsid w:val="002164FB"/>
    <w:rsid w:val="00216865"/>
    <w:rsid w:val="00216A04"/>
    <w:rsid w:val="00217221"/>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9AF"/>
    <w:rsid w:val="00386C86"/>
    <w:rsid w:val="003874F8"/>
    <w:rsid w:val="00387CDE"/>
    <w:rsid w:val="003904D2"/>
    <w:rsid w:val="00394B85"/>
    <w:rsid w:val="003953A0"/>
    <w:rsid w:val="00395B4C"/>
    <w:rsid w:val="00397EB2"/>
    <w:rsid w:val="00397FF5"/>
    <w:rsid w:val="003A0810"/>
    <w:rsid w:val="003A0A64"/>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277A"/>
    <w:rsid w:val="0079310A"/>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0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Ind w:w="0" w:type="dxa"/>
      <w:tblCellMar>
        <w:top w:w="0" w:type="dxa"/>
        <w:left w:w="108" w:type="dxa"/>
        <w:bottom w:w="0" w:type="dxa"/>
        <w:right w:w="108" w:type="dxa"/>
      </w:tblCellMa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C81BED</Template>
  <TotalTime>0</TotalTime>
  <Pages>9</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2017-06-26T03:00:00Z</dcterms:created>
  <dcterms:modified xsi:type="dcterms:W3CDTF">2017-06-26T03:00:00Z</dcterms:modified>
</cp:coreProperties>
</file>