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8791B86" wp14:editId="29218CF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02B48" w:rsidP="002A4EF8">
      <w:pPr>
        <w:rPr>
          <w:b/>
          <w:sz w:val="36"/>
          <w:szCs w:val="36"/>
        </w:rPr>
      </w:pPr>
      <w:r>
        <w:rPr>
          <w:b/>
          <w:sz w:val="36"/>
          <w:szCs w:val="36"/>
        </w:rPr>
        <w:t>11</w:t>
      </w:r>
      <w:r w:rsidR="00366713">
        <w:rPr>
          <w:b/>
          <w:sz w:val="36"/>
          <w:szCs w:val="36"/>
        </w:rPr>
        <w:t xml:space="preserve"> </w:t>
      </w:r>
      <w:r w:rsidR="001761FF">
        <w:rPr>
          <w:b/>
          <w:sz w:val="36"/>
          <w:szCs w:val="36"/>
        </w:rPr>
        <w:t>–</w:t>
      </w:r>
      <w:r w:rsidR="00B04808">
        <w:rPr>
          <w:b/>
          <w:sz w:val="36"/>
          <w:szCs w:val="36"/>
        </w:rPr>
        <w:t> </w:t>
      </w:r>
      <w:r>
        <w:rPr>
          <w:b/>
          <w:sz w:val="36"/>
          <w:szCs w:val="36"/>
        </w:rPr>
        <w:t>17</w:t>
      </w:r>
      <w:r w:rsidR="002F7B3F">
        <w:rPr>
          <w:b/>
          <w:sz w:val="36"/>
          <w:szCs w:val="36"/>
        </w:rPr>
        <w:t xml:space="preserve"> December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w:t>
      </w:r>
      <w:bookmarkStart w:id="6" w:name="_GoBack"/>
      <w:bookmarkEnd w:id="6"/>
      <w:r w:rsidRPr="00BE6087">
        <w:t xml:space="preserve">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BA2FAC" w:rsidRPr="0000255F">
        <w:t xml:space="preserve">Figure </w:t>
      </w:r>
      <w:r w:rsidR="00BA2FAC">
        <w:t>1</w:t>
      </w:r>
      <w:r w:rsidRPr="00F21187">
        <w:fldChar w:fldCharType="end"/>
      </w:r>
      <w:r w:rsidRPr="00F21187">
        <w:t xml:space="preserve"> </w:t>
      </w:r>
      <w:r w:rsidR="00AF7058" w:rsidRPr="00F21187">
        <w:t xml:space="preserve">shows the spot prices that occurred in each region during the week </w:t>
      </w:r>
      <w:r w:rsidR="00102B48">
        <w:t>11</w:t>
      </w:r>
      <w:r w:rsidR="006D40F1">
        <w:t xml:space="preserve"> – </w:t>
      </w:r>
      <w:r w:rsidR="00102B48">
        <w:t>17</w:t>
      </w:r>
      <w:r w:rsidR="006D40F1">
        <w:t> </w:t>
      </w:r>
      <w:r w:rsidR="002F7B3F">
        <w:t xml:space="preserve">December </w:t>
      </w:r>
      <w:r w:rsidR="00FA25D4" w:rsidRPr="00F21187">
        <w:t>2016</w:t>
      </w:r>
      <w:r w:rsidR="00AF7058" w:rsidRPr="00F21187">
        <w:t>.</w:t>
      </w:r>
      <w:r w:rsidR="00E03725" w:rsidRPr="00F21187">
        <w:t xml:space="preserve"> </w:t>
      </w:r>
      <w:r w:rsidR="00ED42EC">
        <w:t xml:space="preserve">  </w:t>
      </w:r>
    </w:p>
    <w:p w:rsidR="00BF4639" w:rsidRPr="00C4712A" w:rsidRDefault="00275002" w:rsidP="00405B42">
      <w:pPr>
        <w:pStyle w:val="Caption"/>
      </w:pPr>
      <w:bookmarkStart w:id="7" w:name="_Ref410382491"/>
      <w:bookmarkStart w:id="8" w:name="OLE_LINK28"/>
      <w:bookmarkStart w:id="9" w:name="OLE_LINK29"/>
      <w:r w:rsidRPr="0000255F">
        <w:t xml:space="preserve">Figure </w:t>
      </w:r>
      <w:fldSimple w:instr=" SEQ Figure \* ARABIC ">
        <w:r w:rsidR="00BA2FAC">
          <w:rPr>
            <w:noProof/>
          </w:rPr>
          <w:t>1</w:t>
        </w:r>
      </w:fldSimple>
      <w:bookmarkEnd w:id="7"/>
      <w:r w:rsidRPr="0000255F">
        <w:t>: Spot price by region ($/MWh)</w:t>
      </w:r>
    </w:p>
    <w:p w:rsidR="00EC05BF" w:rsidRDefault="00E60C20" w:rsidP="00C4712A">
      <w:pPr>
        <w:pStyle w:val="Caption"/>
        <w:rPr>
          <w:bCs w:val="0"/>
          <w:lang w:eastAsia="en-AU"/>
        </w:rPr>
      </w:pPr>
      <w:r w:rsidRPr="00E60C20">
        <w:rPr>
          <w:noProof/>
          <w:lang w:eastAsia="en-AU"/>
        </w:rPr>
        <w:drawing>
          <wp:inline distT="0" distB="0" distL="0" distR="0" wp14:anchorId="0729BCCC" wp14:editId="673C8226">
            <wp:extent cx="5731510" cy="2764482"/>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64482"/>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BA2FAC" w:rsidRPr="0000255F">
        <w:t xml:space="preserve">Figure </w:t>
      </w:r>
      <w:r w:rsidR="00BA2FAC">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BA2FAC" w:rsidRPr="00686EDE">
        <w:t xml:space="preserve">Table </w:t>
      </w:r>
      <w:r w:rsidR="00BA2FAC">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fldSimple w:instr=" SEQ Figure \* ARABIC ">
        <w:r w:rsidR="00BA2FAC">
          <w:rPr>
            <w:noProof/>
          </w:rPr>
          <w:t>2</w:t>
        </w:r>
      </w:fldSimple>
      <w:bookmarkEnd w:id="10"/>
      <w:r w:rsidRPr="0000255F">
        <w:t>: Volume weighted average spot price by region ($/MWh)</w:t>
      </w:r>
    </w:p>
    <w:p w:rsidR="001F22EE" w:rsidRDefault="0000255F" w:rsidP="00F167CF">
      <w:pPr>
        <w:spacing w:before="0" w:after="120" w:line="240" w:lineRule="auto"/>
      </w:pPr>
      <w:r w:rsidRPr="0000255F">
        <w:rPr>
          <w:noProof/>
          <w:lang w:eastAsia="en-AU"/>
        </w:rPr>
        <w:drawing>
          <wp:inline distT="0" distB="0" distL="0" distR="0" wp14:anchorId="1759D3CF" wp14:editId="6C1F642B">
            <wp:extent cx="5731510" cy="2703442"/>
            <wp:effectExtent l="0" t="0" r="2540" b="1905"/>
            <wp:docPr id="5" name="Picture 5"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03442"/>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fldSimple w:instr=" SEQ Table \* ARABIC ">
        <w:r w:rsidR="00BA2FAC">
          <w:rPr>
            <w:noProof/>
          </w:rPr>
          <w:t>1</w:t>
        </w:r>
      </w:fldSimple>
      <w:bookmarkEnd w:id="11"/>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686EDE" w:rsidRPr="00C4712A" w:rsidTr="00C944D6">
        <w:trPr>
          <w:trHeight w:hRule="exact" w:val="340"/>
        </w:trPr>
        <w:tc>
          <w:tcPr>
            <w:tcW w:w="1357" w:type="pct"/>
            <w:noWrap/>
            <w:hideMark/>
          </w:tcPr>
          <w:p w:rsidR="00686EDE" w:rsidRPr="00B95B0D" w:rsidRDefault="00686EDE"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79</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52</w:t>
            </w:r>
          </w:p>
        </w:tc>
        <w:tc>
          <w:tcPr>
            <w:tcW w:w="728"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34</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76</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38</w:t>
            </w:r>
          </w:p>
        </w:tc>
      </w:tr>
      <w:tr w:rsidR="00686EDE"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686EDE" w:rsidRPr="00B95B0D" w:rsidRDefault="00686EDE"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686EDE" w:rsidRPr="00686EDE" w:rsidRDefault="00686EDE" w:rsidP="00686EDE">
            <w:pPr>
              <w:spacing w:before="60" w:afterLines="120" w:after="288"/>
              <w:jc w:val="center"/>
              <w:rPr>
                <w:rFonts w:eastAsia="Times New Roman" w:cs="Arial"/>
                <w:szCs w:val="20"/>
                <w:lang w:eastAsia="en-AU"/>
              </w:rPr>
            </w:pPr>
            <w:r w:rsidRPr="00686EDE">
              <w:rPr>
                <w:rFonts w:eastAsia="Times New Roman" w:cs="Arial"/>
                <w:szCs w:val="20"/>
                <w:lang w:eastAsia="en-AU"/>
              </w:rPr>
              <w:t>44</w:t>
            </w:r>
          </w:p>
        </w:tc>
        <w:tc>
          <w:tcPr>
            <w:tcW w:w="729" w:type="pct"/>
            <w:noWrap/>
            <w:vAlign w:val="center"/>
          </w:tcPr>
          <w:p w:rsidR="00686EDE" w:rsidRPr="00686EDE" w:rsidRDefault="00686EDE" w:rsidP="00686EDE">
            <w:pPr>
              <w:spacing w:before="60" w:afterLines="120" w:after="288"/>
              <w:jc w:val="center"/>
              <w:rPr>
                <w:rFonts w:eastAsia="Times New Roman" w:cs="Arial"/>
                <w:szCs w:val="20"/>
                <w:lang w:eastAsia="en-AU"/>
              </w:rPr>
            </w:pPr>
            <w:r w:rsidRPr="00686EDE">
              <w:rPr>
                <w:rFonts w:eastAsia="Times New Roman" w:cs="Arial"/>
                <w:szCs w:val="20"/>
                <w:lang w:eastAsia="en-AU"/>
              </w:rPr>
              <w:t>45</w:t>
            </w:r>
          </w:p>
        </w:tc>
        <w:tc>
          <w:tcPr>
            <w:tcW w:w="728" w:type="pct"/>
            <w:noWrap/>
            <w:vAlign w:val="center"/>
          </w:tcPr>
          <w:p w:rsidR="00686EDE" w:rsidRPr="00686EDE" w:rsidRDefault="00686EDE" w:rsidP="00686EDE">
            <w:pPr>
              <w:spacing w:before="60" w:afterLines="120" w:after="288"/>
              <w:jc w:val="center"/>
              <w:rPr>
                <w:rFonts w:eastAsia="Times New Roman" w:cs="Arial"/>
                <w:szCs w:val="20"/>
                <w:lang w:eastAsia="en-AU"/>
              </w:rPr>
            </w:pPr>
            <w:r w:rsidRPr="00686EDE">
              <w:rPr>
                <w:rFonts w:eastAsia="Times New Roman" w:cs="Arial"/>
                <w:szCs w:val="20"/>
                <w:lang w:eastAsia="en-AU"/>
              </w:rPr>
              <w:t>40</w:t>
            </w:r>
          </w:p>
        </w:tc>
        <w:tc>
          <w:tcPr>
            <w:tcW w:w="729" w:type="pct"/>
            <w:noWrap/>
            <w:vAlign w:val="center"/>
          </w:tcPr>
          <w:p w:rsidR="00686EDE" w:rsidRPr="00686EDE" w:rsidRDefault="00686EDE" w:rsidP="00686EDE">
            <w:pPr>
              <w:spacing w:before="60" w:afterLines="120" w:after="288"/>
              <w:jc w:val="center"/>
              <w:rPr>
                <w:rFonts w:eastAsia="Times New Roman" w:cs="Arial"/>
                <w:szCs w:val="20"/>
                <w:lang w:eastAsia="en-AU"/>
              </w:rPr>
            </w:pPr>
            <w:r w:rsidRPr="00686EDE">
              <w:rPr>
                <w:rFonts w:eastAsia="Times New Roman" w:cs="Arial"/>
                <w:szCs w:val="20"/>
                <w:lang w:eastAsia="en-AU"/>
              </w:rPr>
              <w:t>63</w:t>
            </w:r>
          </w:p>
        </w:tc>
        <w:tc>
          <w:tcPr>
            <w:tcW w:w="729" w:type="pct"/>
            <w:noWrap/>
            <w:vAlign w:val="center"/>
          </w:tcPr>
          <w:p w:rsidR="00686EDE" w:rsidRPr="00686EDE" w:rsidRDefault="00686EDE" w:rsidP="00686EDE">
            <w:pPr>
              <w:spacing w:before="60" w:afterLines="120" w:after="288"/>
              <w:jc w:val="center"/>
              <w:rPr>
                <w:rFonts w:eastAsia="Times New Roman" w:cs="Arial"/>
                <w:szCs w:val="20"/>
                <w:lang w:eastAsia="en-AU"/>
              </w:rPr>
            </w:pPr>
            <w:r w:rsidRPr="00686EDE">
              <w:rPr>
                <w:rFonts w:eastAsia="Times New Roman" w:cs="Arial"/>
                <w:szCs w:val="20"/>
                <w:lang w:eastAsia="en-AU"/>
              </w:rPr>
              <w:t>54</w:t>
            </w:r>
          </w:p>
        </w:tc>
      </w:tr>
      <w:tr w:rsidR="00686EDE" w:rsidRPr="00C4712A" w:rsidTr="003077EF">
        <w:trPr>
          <w:trHeight w:hRule="exact" w:val="340"/>
        </w:trPr>
        <w:tc>
          <w:tcPr>
            <w:tcW w:w="1357" w:type="pct"/>
            <w:noWrap/>
            <w:hideMark/>
          </w:tcPr>
          <w:p w:rsidR="00686EDE" w:rsidRPr="00B95B0D" w:rsidRDefault="00686EDE"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59</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62</w:t>
            </w:r>
          </w:p>
        </w:tc>
        <w:tc>
          <w:tcPr>
            <w:tcW w:w="728"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45</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110</w:t>
            </w:r>
          </w:p>
        </w:tc>
        <w:tc>
          <w:tcPr>
            <w:tcW w:w="729" w:type="pct"/>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48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3A4136" w:rsidRPr="00C944D6">
        <w:t>2</w:t>
      </w:r>
      <w:r w:rsidR="00CF5C08">
        <w:t>88</w:t>
      </w:r>
      <w:r w:rsidR="00FD34BC" w:rsidRPr="00C944D6">
        <w:t xml:space="preserve"> trading</w:t>
      </w:r>
      <w:r w:rsidR="00FD34BC" w:rsidRPr="003A4136">
        <w:t xml:space="preserve"> intervals throughout the week where actual prices varied significantly from forecasts. This compares to the weekly average in 2015 of 133 counts and the average in 2014 of 71.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BA2FAC" w:rsidRPr="00686EDE">
        <w:t xml:space="preserve">Table </w:t>
      </w:r>
      <w:r w:rsidR="00BA2FAC">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686EDE">
        <w:lastRenderedPageBreak/>
        <w:t xml:space="preserve">Table </w:t>
      </w:r>
      <w:fldSimple w:instr=" SEQ Table \* ARABIC ">
        <w:r w:rsidR="00BA2FAC">
          <w:rPr>
            <w:noProof/>
          </w:rPr>
          <w:t>2</w:t>
        </w:r>
      </w:fldSimple>
      <w:bookmarkEnd w:id="12"/>
      <w:r w:rsidRPr="00686EDE">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686EDE"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86EDE" w:rsidRPr="00C4712A" w:rsidRDefault="00686EDE" w:rsidP="000D05BD">
            <w:pPr>
              <w:spacing w:before="60"/>
              <w:rPr>
                <w:sz w:val="20"/>
                <w:szCs w:val="20"/>
              </w:rPr>
            </w:pPr>
            <w:r w:rsidRPr="00C4712A">
              <w:rPr>
                <w:sz w:val="20"/>
                <w:szCs w:val="20"/>
              </w:rPr>
              <w:t>% of total above forecast</w:t>
            </w:r>
          </w:p>
        </w:tc>
        <w:tc>
          <w:tcPr>
            <w:tcW w:w="1571"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4</w:t>
            </w:r>
          </w:p>
        </w:tc>
        <w:tc>
          <w:tcPr>
            <w:tcW w:w="1572"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22</w:t>
            </w:r>
          </w:p>
        </w:tc>
        <w:tc>
          <w:tcPr>
            <w:tcW w:w="1572"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0</w:t>
            </w:r>
          </w:p>
        </w:tc>
        <w:tc>
          <w:tcPr>
            <w:tcW w:w="1572" w:type="dxa"/>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3</w:t>
            </w:r>
          </w:p>
        </w:tc>
      </w:tr>
      <w:tr w:rsidR="00686EDE"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86EDE" w:rsidRPr="00C4712A" w:rsidRDefault="00686EDE" w:rsidP="000D05BD">
            <w:pPr>
              <w:spacing w:before="60"/>
              <w:rPr>
                <w:sz w:val="20"/>
                <w:szCs w:val="20"/>
              </w:rPr>
            </w:pPr>
            <w:r w:rsidRPr="00C4712A">
              <w:rPr>
                <w:sz w:val="20"/>
                <w:szCs w:val="20"/>
              </w:rPr>
              <w:t>% of total below forecast</w:t>
            </w:r>
          </w:p>
        </w:tc>
        <w:tc>
          <w:tcPr>
            <w:tcW w:w="1571"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45</w:t>
            </w:r>
          </w:p>
        </w:tc>
        <w:tc>
          <w:tcPr>
            <w:tcW w:w="1572"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23</w:t>
            </w:r>
          </w:p>
        </w:tc>
        <w:tc>
          <w:tcPr>
            <w:tcW w:w="1572" w:type="dxa"/>
            <w:noWrap/>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0</w:t>
            </w:r>
          </w:p>
        </w:tc>
        <w:tc>
          <w:tcPr>
            <w:tcW w:w="1572" w:type="dxa"/>
            <w:vAlign w:val="center"/>
          </w:tcPr>
          <w:p w:rsidR="00686EDE" w:rsidRPr="00686EDE" w:rsidRDefault="00686EDE" w:rsidP="00686EDE">
            <w:pPr>
              <w:spacing w:before="60" w:afterLines="120" w:after="288"/>
              <w:jc w:val="center"/>
              <w:rPr>
                <w:rFonts w:eastAsia="Times New Roman" w:cs="Arial"/>
                <w:sz w:val="20"/>
                <w:szCs w:val="20"/>
                <w:lang w:eastAsia="en-AU"/>
              </w:rPr>
            </w:pPr>
            <w:r w:rsidRPr="00686EDE">
              <w:rPr>
                <w:rFonts w:eastAsia="Times New Roman" w:cs="Arial"/>
                <w:sz w:val="20"/>
                <w:szCs w:val="20"/>
                <w:lang w:eastAsia="en-AU"/>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BA2FAC" w:rsidRPr="00686EDE">
        <w:t xml:space="preserve">Figure </w:t>
      </w:r>
      <w:r w:rsidR="00BA2FAC">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BA2FAC" w:rsidRPr="00686EDE">
        <w:t xml:space="preserve">Figure </w:t>
      </w:r>
      <w:r w:rsidR="00BA2FAC" w:rsidRPr="00BA2FAC">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fldSimple w:instr=" SEQ Figure \* ARABIC ">
        <w:r w:rsidR="00BA2FAC">
          <w:rPr>
            <w:noProof/>
          </w:rPr>
          <w:t>3</w:t>
        </w:r>
      </w:fldSimple>
      <w:bookmarkEnd w:id="14"/>
      <w:r w:rsidRPr="00686EDE">
        <w:t>: Queensland generation and bidding patterns</w:t>
      </w:r>
    </w:p>
    <w:p w:rsidR="007B78AB" w:rsidRPr="008707C1" w:rsidRDefault="00686EDE" w:rsidP="00886FA8">
      <w:pPr>
        <w:pStyle w:val="AERbodytext"/>
        <w:rPr>
          <w:bCs w:val="0"/>
        </w:rPr>
      </w:pPr>
      <w:r w:rsidRPr="00686EDE">
        <w:rPr>
          <w:noProof/>
        </w:rPr>
        <w:drawing>
          <wp:inline distT="0" distB="0" distL="0" distR="0" wp14:anchorId="0B52B9C3" wp14:editId="7FAD3624">
            <wp:extent cx="5731510" cy="4137094"/>
            <wp:effectExtent l="0" t="0" r="2540" b="0"/>
            <wp:docPr id="3" name="Picture 3"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37094"/>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fldSimple w:instr=" SEQ Figure \* ARABIC ">
        <w:r w:rsidR="00BA2FAC">
          <w:rPr>
            <w:noProof/>
          </w:rPr>
          <w:t>4</w:t>
        </w:r>
      </w:fldSimple>
      <w:bookmarkEnd w:id="15"/>
      <w:r w:rsidRPr="00686EDE">
        <w:t>: New South Wales generation and bidding patterns</w:t>
      </w:r>
    </w:p>
    <w:p w:rsidR="00181C46" w:rsidRPr="00C4712A" w:rsidRDefault="00686EDE" w:rsidP="00181C46">
      <w:r w:rsidRPr="00686EDE">
        <w:rPr>
          <w:noProof/>
          <w:lang w:eastAsia="en-AU"/>
        </w:rPr>
        <w:drawing>
          <wp:inline distT="0" distB="0" distL="0" distR="0" wp14:anchorId="33030E25" wp14:editId="17428014">
            <wp:extent cx="5731510" cy="4145126"/>
            <wp:effectExtent l="0" t="0" r="2540" b="8255"/>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45126"/>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BA2FAC">
          <w:rPr>
            <w:noProof/>
          </w:rPr>
          <w:t>5</w:t>
        </w:r>
      </w:fldSimple>
      <w:r w:rsidRPr="00686EDE">
        <w:t>: Victoria generation and bidding patterns</w:t>
      </w:r>
    </w:p>
    <w:p w:rsidR="00FB265D" w:rsidRDefault="00686EDE" w:rsidP="00FB265D">
      <w:r w:rsidRPr="00686EDE">
        <w:rPr>
          <w:noProof/>
          <w:lang w:eastAsia="en-AU"/>
        </w:rPr>
        <w:drawing>
          <wp:inline distT="0" distB="0" distL="0" distR="0" wp14:anchorId="6D38428C" wp14:editId="225DF969">
            <wp:extent cx="5731510" cy="4137094"/>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37094"/>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686EDE">
        <w:lastRenderedPageBreak/>
        <w:t xml:space="preserve">Figure </w:t>
      </w:r>
      <w:fldSimple w:instr=" SEQ Figure \* ARABIC ">
        <w:r w:rsidR="00BA2FAC">
          <w:rPr>
            <w:noProof/>
          </w:rPr>
          <w:t>6</w:t>
        </w:r>
      </w:fldSimple>
      <w:bookmarkEnd w:id="16"/>
      <w:r w:rsidRPr="00686EDE">
        <w:t>: South Australia generation and bidding patterns</w:t>
      </w:r>
    </w:p>
    <w:p w:rsidR="002F2481" w:rsidRPr="00686EDE" w:rsidRDefault="00EE4D16" w:rsidP="00A25353">
      <w:r w:rsidRPr="00EE4D16">
        <w:rPr>
          <w:noProof/>
          <w:lang w:eastAsia="en-AU"/>
        </w:rPr>
        <w:drawing>
          <wp:inline distT="0" distB="0" distL="0" distR="0" wp14:anchorId="0A35F110" wp14:editId="526DA3F7">
            <wp:extent cx="5731510" cy="4171554"/>
            <wp:effectExtent l="0" t="0" r="2540" b="635"/>
            <wp:docPr id="14" name="Picture 14"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71554"/>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fldSimple w:instr=" SEQ Figure \* ARABIC ">
        <w:r w:rsidR="00BA2FAC">
          <w:rPr>
            <w:noProof/>
          </w:rPr>
          <w:t>7</w:t>
        </w:r>
      </w:fldSimple>
      <w:bookmarkEnd w:id="17"/>
      <w:r w:rsidRPr="00686EDE">
        <w:t>: Tasmania generation and bidding patterns</w:t>
      </w:r>
    </w:p>
    <w:bookmarkEnd w:id="18"/>
    <w:p w:rsidR="00DB7B59" w:rsidRDefault="00686EDE" w:rsidP="00AF7C0E">
      <w:pPr>
        <w:pStyle w:val="AERbodytext"/>
      </w:pPr>
      <w:r w:rsidRPr="00686EDE">
        <w:rPr>
          <w:noProof/>
        </w:rPr>
        <w:drawing>
          <wp:inline distT="0" distB="0" distL="0" distR="0" wp14:anchorId="53381A90" wp14:editId="2A5FEC5E">
            <wp:extent cx="5731510" cy="4137094"/>
            <wp:effectExtent l="0" t="0" r="2540" b="0"/>
            <wp:docPr id="8" name="Picture 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37094"/>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5358F4">
      <w:pPr>
        <w:spacing w:line="240" w:lineRule="auto"/>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AA1BC1">
        <w:rPr>
          <w:rFonts w:eastAsia="Times New Roman" w:cs="Arial"/>
          <w:bCs/>
          <w:lang w:eastAsia="en-AU"/>
        </w:rPr>
        <w:t>1 525</w:t>
      </w:r>
      <w:r w:rsidR="001761FF" w:rsidRPr="00612013">
        <w:rPr>
          <w:rFonts w:eastAsia="Times New Roman" w:cs="Arial"/>
          <w:bCs/>
          <w:lang w:eastAsia="en-AU"/>
        </w:rPr>
        <w:t> </w:t>
      </w:r>
      <w:r w:rsidR="00A11E6C">
        <w:rPr>
          <w:rFonts w:eastAsia="Times New Roman" w:cs="Arial"/>
          <w:bCs/>
          <w:lang w:eastAsia="en-AU"/>
        </w:rPr>
        <w:t>5</w:t>
      </w:r>
      <w:r w:rsidR="001761FF" w:rsidRPr="00612013">
        <w:rPr>
          <w:rFonts w:eastAsia="Times New Roman" w:cs="Arial"/>
          <w:bCs/>
          <w:lang w:eastAsia="en-AU"/>
        </w:rPr>
        <w:t>00</w:t>
      </w:r>
      <w:r w:rsidRPr="00612013">
        <w:rPr>
          <w:rFonts w:eastAsia="Times New Roman" w:cs="Arial"/>
          <w:bCs/>
          <w:lang w:eastAsia="en-AU"/>
        </w:rPr>
        <w:t xml:space="preserve"> or </w:t>
      </w:r>
      <w:r w:rsidR="00AA1BC1">
        <w:rPr>
          <w:rFonts w:eastAsia="Times New Roman" w:cs="Arial"/>
          <w:bCs/>
          <w:lang w:eastAsia="en-AU"/>
        </w:rPr>
        <w:t>less than one</w:t>
      </w:r>
      <w:r w:rsidR="002069B7">
        <w:rPr>
          <w:rFonts w:eastAsia="Times New Roman" w:cs="Arial"/>
          <w:bCs/>
          <w:lang w:eastAsia="en-AU"/>
        </w:rPr>
        <w:t xml:space="preserve"> </w:t>
      </w:r>
      <w:r w:rsidRPr="00612013">
        <w:rPr>
          <w:rFonts w:eastAsia="Times New Roman" w:cs="Arial"/>
          <w:bCs/>
          <w:lang w:eastAsia="en-AU"/>
        </w:rPr>
        <w:t>per cent of energy turnover on the mainland.</w:t>
      </w:r>
    </w:p>
    <w:p w:rsidR="00BA2FAC" w:rsidRPr="00612013" w:rsidRDefault="005358F4" w:rsidP="00BA2FAC">
      <w:pPr>
        <w:spacing w:line="240" w:lineRule="auto"/>
      </w:pPr>
      <w:r w:rsidRPr="00612013">
        <w:rPr>
          <w:rFonts w:eastAsia="Times New Roman" w:cs="Arial"/>
          <w:bCs/>
          <w:lang w:eastAsia="en-AU"/>
        </w:rPr>
        <w:t>The total cost of FCAS in Tasmania for the week was $</w:t>
      </w:r>
      <w:r w:rsidR="00AA1BC1">
        <w:rPr>
          <w:rFonts w:eastAsia="Times New Roman" w:cs="Arial"/>
          <w:bCs/>
          <w:lang w:eastAsia="en-AU"/>
        </w:rPr>
        <w:t>528</w:t>
      </w:r>
      <w:r w:rsidR="00685A1B">
        <w:rPr>
          <w:rFonts w:eastAsia="Times New Roman" w:cs="Arial"/>
          <w:bCs/>
          <w:lang w:eastAsia="en-AU"/>
        </w:rPr>
        <w:t> </w:t>
      </w:r>
      <w:r w:rsidR="00AA1BC1">
        <w:rPr>
          <w:rFonts w:eastAsia="Times New Roman" w:cs="Arial"/>
          <w:bCs/>
          <w:lang w:eastAsia="en-AU"/>
        </w:rPr>
        <w:t>5</w:t>
      </w:r>
      <w:r w:rsidRPr="00612013">
        <w:rPr>
          <w:rFonts w:eastAsia="Times New Roman" w:cs="Arial"/>
          <w:bCs/>
          <w:lang w:eastAsia="en-AU"/>
        </w:rPr>
        <w:t xml:space="preserve">00 or </w:t>
      </w:r>
      <w:r w:rsidR="00436F28" w:rsidRPr="00612013">
        <w:rPr>
          <w:rFonts w:eastAsia="Times New Roman" w:cs="Arial"/>
          <w:bCs/>
          <w:lang w:eastAsia="en-AU"/>
        </w:rPr>
        <w:t xml:space="preserve">around </w:t>
      </w:r>
      <w:r w:rsidR="002069B7">
        <w:rPr>
          <w:rFonts w:eastAsia="Times New Roman" w:cs="Arial"/>
          <w:bCs/>
          <w:lang w:eastAsia="en-AU"/>
        </w:rPr>
        <w:t>eight</w:t>
      </w:r>
      <w:r w:rsidR="00862283" w:rsidRPr="00612013">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BA2FAC"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BA2FAC">
        <w:rPr>
          <w:noProof/>
        </w:rPr>
        <w:t>8</w:t>
      </w:r>
      <w:r w:rsidR="00DF6E09" w:rsidRPr="00686EDE">
        <w:rPr>
          <w:noProof/>
        </w:rPr>
        <w:fldChar w:fldCharType="end"/>
      </w:r>
      <w:bookmarkEnd w:id="19"/>
      <w:bookmarkEnd w:id="20"/>
      <w:r w:rsidRPr="00686EDE">
        <w:rPr>
          <w:noProof/>
        </w:rPr>
        <w:t>: Daily frequency control ancillary service cost</w:t>
      </w:r>
    </w:p>
    <w:p w:rsidR="006D1A40" w:rsidRDefault="00CF5C08" w:rsidP="006D1A40">
      <w:pPr>
        <w:spacing w:line="240" w:lineRule="auto"/>
        <w:rPr>
          <w:rStyle w:val="AERbodytextChar"/>
          <w:rFonts w:eastAsiaTheme="minorHAnsi"/>
        </w:rPr>
      </w:pPr>
      <w:r w:rsidRPr="00CF5C08">
        <w:rPr>
          <w:noProof/>
          <w:lang w:eastAsia="en-AU"/>
        </w:rPr>
        <w:drawing>
          <wp:inline distT="0" distB="0" distL="0" distR="0" wp14:anchorId="3CFB94C3" wp14:editId="1A86C2AD">
            <wp:extent cx="5732610" cy="278130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694"/>
                    <a:stretch/>
                  </pic:blipFill>
                  <pic:spPr bwMode="auto">
                    <a:xfrm>
                      <a:off x="0" y="0"/>
                      <a:ext cx="5731510" cy="2780766"/>
                    </a:xfrm>
                    <a:prstGeom prst="rect">
                      <a:avLst/>
                    </a:prstGeom>
                    <a:noFill/>
                    <a:ln>
                      <a:noFill/>
                    </a:ln>
                    <a:extLst>
                      <a:ext uri="{53640926-AAD7-44D8-BBD7-CCE9431645EC}">
                        <a14:shadowObscured xmlns:a14="http://schemas.microsoft.com/office/drawing/2010/main"/>
                      </a:ext>
                    </a:extLst>
                  </pic:spPr>
                </pic:pic>
              </a:graphicData>
            </a:graphic>
          </wp:inline>
        </w:drawing>
      </w:r>
    </w:p>
    <w:p w:rsidR="00012FF2" w:rsidRPr="00012FF2" w:rsidRDefault="00485611" w:rsidP="00F92C0A">
      <w:pPr>
        <w:pStyle w:val="AERbodytext"/>
        <w:rPr>
          <w:rFonts w:eastAsiaTheme="minorHAnsi"/>
        </w:rPr>
      </w:pPr>
      <w:r>
        <w:rPr>
          <w:rFonts w:eastAsiaTheme="minorHAnsi"/>
        </w:rPr>
        <w:t>On 14 December a</w:t>
      </w:r>
      <w:r w:rsidR="00012FF2">
        <w:rPr>
          <w:rFonts w:eastAsiaTheme="minorHAnsi"/>
        </w:rPr>
        <w:t xml:space="preserve"> </w:t>
      </w:r>
      <w:r>
        <w:rPr>
          <w:rFonts w:eastAsiaTheme="minorHAnsi"/>
        </w:rPr>
        <w:t xml:space="preserve">two day </w:t>
      </w:r>
      <w:r w:rsidR="00012FF2" w:rsidRPr="00012FF2">
        <w:rPr>
          <w:rFonts w:eastAsiaTheme="minorHAnsi"/>
        </w:rPr>
        <w:t>planned outage of the Heywood No.1 busbar</w:t>
      </w:r>
      <w:r w:rsidR="00337D6C">
        <w:rPr>
          <w:rFonts w:eastAsiaTheme="minorHAnsi"/>
        </w:rPr>
        <w:t xml:space="preserve"> </w:t>
      </w:r>
      <w:r>
        <w:rPr>
          <w:rFonts w:eastAsiaTheme="minorHAnsi"/>
        </w:rPr>
        <w:t xml:space="preserve">commenced putting the Heywood interconnector on a single contingency. AEMO invoked </w:t>
      </w:r>
      <w:r w:rsidR="00012FF2">
        <w:rPr>
          <w:rFonts w:eastAsiaTheme="minorHAnsi"/>
        </w:rPr>
        <w:t xml:space="preserve">a 35 MW requirement for raise and lower regulation </w:t>
      </w:r>
      <w:r>
        <w:rPr>
          <w:rFonts w:eastAsiaTheme="minorHAnsi"/>
        </w:rPr>
        <w:t xml:space="preserve">services </w:t>
      </w:r>
      <w:r w:rsidR="00012FF2">
        <w:rPr>
          <w:rFonts w:eastAsiaTheme="minorHAnsi"/>
        </w:rPr>
        <w:t>in South Australia.</w:t>
      </w:r>
      <w:r w:rsidR="00155733">
        <w:rPr>
          <w:rFonts w:eastAsiaTheme="minorHAnsi"/>
        </w:rPr>
        <w:t xml:space="preserve"> </w:t>
      </w:r>
      <w:r w:rsidR="00012FF2">
        <w:rPr>
          <w:rFonts w:eastAsiaTheme="minorHAnsi"/>
        </w:rPr>
        <w:t>This led to increase</w:t>
      </w:r>
      <w:r w:rsidR="00155733">
        <w:rPr>
          <w:rFonts w:eastAsiaTheme="minorHAnsi"/>
        </w:rPr>
        <w:t>d FCAS costs</w:t>
      </w:r>
      <w:r w:rsidR="00012FF2">
        <w:rPr>
          <w:rFonts w:eastAsiaTheme="minorHAnsi"/>
        </w:rPr>
        <w:t xml:space="preserve"> </w:t>
      </w:r>
      <w:r w:rsidR="00155733">
        <w:rPr>
          <w:rFonts w:eastAsiaTheme="minorHAnsi"/>
        </w:rPr>
        <w:t>during these days.</w:t>
      </w:r>
      <w:r w:rsidR="00012FF2">
        <w:rPr>
          <w:rFonts w:eastAsiaTheme="minorHAnsi"/>
        </w:rPr>
        <w:t xml:space="preserve"> </w:t>
      </w:r>
    </w:p>
    <w:p w:rsidR="00CA0B2E" w:rsidRPr="00C4712A" w:rsidRDefault="00CA0B2E" w:rsidP="00CA0B2E">
      <w:pPr>
        <w:pStyle w:val="AERHeading1"/>
      </w:pPr>
      <w:r w:rsidRPr="00686EDE">
        <w:lastRenderedPageBreak/>
        <w:t>Detailed market analysis of significant price events</w:t>
      </w:r>
    </w:p>
    <w:p w:rsidR="00CA0B2E" w:rsidRPr="007C7E4A" w:rsidRDefault="00C67D8C" w:rsidP="00CA0B2E">
      <w:pPr>
        <w:pStyle w:val="Heading2"/>
        <w:rPr>
          <w:rFonts w:eastAsia="Times New Roman"/>
          <w:b w:val="0"/>
          <w:bCs w:val="0"/>
          <w:lang w:eastAsia="en-AU"/>
        </w:rPr>
      </w:pPr>
      <w:r w:rsidRPr="007C7E4A">
        <w:rPr>
          <w:rFonts w:eastAsia="Times New Roman"/>
          <w:b w:val="0"/>
          <w:bCs w:val="0"/>
          <w:lang w:eastAsia="en-AU"/>
        </w:rPr>
        <w:t>Queensland</w:t>
      </w:r>
    </w:p>
    <w:p w:rsidR="005B4C28" w:rsidRPr="007C7E4A" w:rsidRDefault="002F7B3F" w:rsidP="002F7B3F">
      <w:pPr>
        <w:pStyle w:val="AERbodytext"/>
      </w:pPr>
      <w:r w:rsidRPr="007C7E4A">
        <w:t xml:space="preserve">There were </w:t>
      </w:r>
      <w:r w:rsidR="007C7E4A" w:rsidRPr="007C7E4A">
        <w:t>five</w:t>
      </w:r>
      <w:r w:rsidRPr="007C7E4A">
        <w:t xml:space="preserve"> occasions where the spot price in Queensland was greater than three times the Queens</w:t>
      </w:r>
      <w:r w:rsidR="007C7E4A" w:rsidRPr="007C7E4A">
        <w:t>land weekly average price of $79</w:t>
      </w:r>
      <w:r w:rsidRPr="007C7E4A">
        <w:t>/MWh and above $250/MWh</w:t>
      </w:r>
      <w:r w:rsidR="005B4C28" w:rsidRPr="007C7E4A">
        <w:t>.</w:t>
      </w:r>
    </w:p>
    <w:p w:rsidR="00CA0B2E" w:rsidRPr="007C7E4A" w:rsidRDefault="007C7E4A" w:rsidP="00CA0B2E">
      <w:pPr>
        <w:pStyle w:val="Heading3"/>
        <w:rPr>
          <w:rFonts w:eastAsia="Times New Roman"/>
        </w:rPr>
      </w:pPr>
      <w:r w:rsidRPr="007C7E4A">
        <w:rPr>
          <w:rFonts w:eastAsia="Times New Roman"/>
        </w:rPr>
        <w:t>Thursday</w:t>
      </w:r>
      <w:r w:rsidR="003605DF" w:rsidRPr="007C7E4A">
        <w:rPr>
          <w:rFonts w:eastAsia="Times New Roman"/>
        </w:rPr>
        <w:t xml:space="preserve">, </w:t>
      </w:r>
      <w:r w:rsidRPr="007C7E4A">
        <w:rPr>
          <w:rFonts w:eastAsia="Times New Roman"/>
        </w:rPr>
        <w:t>1</w:t>
      </w:r>
      <w:r w:rsidR="002F7B3F" w:rsidRPr="007C7E4A">
        <w:rPr>
          <w:rFonts w:eastAsia="Times New Roman"/>
        </w:rPr>
        <w:t>5</w:t>
      </w:r>
      <w:r w:rsidR="00CA0B2E" w:rsidRPr="007C7E4A">
        <w:rPr>
          <w:rFonts w:eastAsia="Times New Roman"/>
        </w:rPr>
        <w:t xml:space="preserve"> </w:t>
      </w:r>
      <w:r w:rsidR="002F7B3F" w:rsidRPr="007C7E4A">
        <w:rPr>
          <w:rFonts w:eastAsia="Times New Roman"/>
        </w:rPr>
        <w:t>December</w:t>
      </w:r>
    </w:p>
    <w:p w:rsidR="00CA0B2E" w:rsidRPr="007C7E4A" w:rsidRDefault="00CA0B2E" w:rsidP="00CA0B2E">
      <w:pPr>
        <w:pStyle w:val="Caption"/>
        <w:spacing w:before="120" w:after="60"/>
        <w:rPr>
          <w:rFonts w:asciiTheme="minorHAnsi" w:hAnsiTheme="minorHAnsi" w:cstheme="minorHAnsi"/>
        </w:rPr>
      </w:pPr>
      <w:r w:rsidRPr="007C7E4A">
        <w:rPr>
          <w:rFonts w:asciiTheme="minorHAnsi" w:hAnsiTheme="minorHAnsi" w:cstheme="minorHAnsi"/>
        </w:rPr>
        <w:t xml:space="preserve">Table </w:t>
      </w:r>
      <w:r w:rsidRPr="007C7E4A">
        <w:rPr>
          <w:rFonts w:asciiTheme="minorHAnsi" w:hAnsiTheme="minorHAnsi" w:cstheme="minorHAnsi"/>
        </w:rPr>
        <w:fldChar w:fldCharType="begin"/>
      </w:r>
      <w:r w:rsidRPr="007C7E4A">
        <w:rPr>
          <w:rFonts w:asciiTheme="minorHAnsi" w:hAnsiTheme="minorHAnsi" w:cstheme="minorHAnsi"/>
        </w:rPr>
        <w:instrText xml:space="preserve"> SEQ Table \* ARABIC </w:instrText>
      </w:r>
      <w:r w:rsidRPr="007C7E4A">
        <w:rPr>
          <w:rFonts w:asciiTheme="minorHAnsi" w:hAnsiTheme="minorHAnsi" w:cstheme="minorHAnsi"/>
        </w:rPr>
        <w:fldChar w:fldCharType="separate"/>
      </w:r>
      <w:r w:rsidR="00BA2FAC">
        <w:rPr>
          <w:rFonts w:asciiTheme="minorHAnsi" w:hAnsiTheme="minorHAnsi" w:cstheme="minorHAnsi"/>
          <w:noProof/>
        </w:rPr>
        <w:t>3</w:t>
      </w:r>
      <w:r w:rsidRPr="007C7E4A">
        <w:rPr>
          <w:rFonts w:asciiTheme="minorHAnsi" w:hAnsiTheme="minorHAnsi" w:cstheme="minorHAnsi"/>
          <w:noProof/>
        </w:rPr>
        <w:fldChar w:fldCharType="end"/>
      </w:r>
      <w:r w:rsidRPr="007C7E4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C7E4A"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C7E4A" w:rsidRDefault="00CA0B2E" w:rsidP="003077EF">
            <w:pPr>
              <w:pStyle w:val="TableHeading"/>
              <w:jc w:val="center"/>
              <w:rPr>
                <w:rFonts w:cs="Arial"/>
                <w:b w:val="0"/>
                <w:sz w:val="20"/>
                <w:szCs w:val="20"/>
              </w:rPr>
            </w:pPr>
            <w:r w:rsidRPr="007C7E4A">
              <w:rPr>
                <w:rFonts w:cs="Arial"/>
                <w:b w:val="0"/>
                <w:sz w:val="20"/>
                <w:szCs w:val="20"/>
              </w:rPr>
              <w:t xml:space="preserve">Time </w:t>
            </w:r>
          </w:p>
        </w:tc>
        <w:tc>
          <w:tcPr>
            <w:tcW w:w="1582" w:type="pct"/>
            <w:gridSpan w:val="3"/>
            <w:hideMark/>
          </w:tcPr>
          <w:p w:rsidR="00CA0B2E" w:rsidRPr="007C7E4A" w:rsidRDefault="00CA0B2E" w:rsidP="003077EF">
            <w:pPr>
              <w:pStyle w:val="TableHeading"/>
              <w:jc w:val="center"/>
              <w:rPr>
                <w:rFonts w:cs="Arial"/>
                <w:b w:val="0"/>
                <w:sz w:val="20"/>
                <w:szCs w:val="20"/>
              </w:rPr>
            </w:pPr>
            <w:r w:rsidRPr="007C7E4A">
              <w:rPr>
                <w:rFonts w:cs="Arial"/>
                <w:b w:val="0"/>
                <w:sz w:val="20"/>
                <w:szCs w:val="20"/>
              </w:rPr>
              <w:t>Price ($/MWh)</w:t>
            </w:r>
          </w:p>
        </w:tc>
        <w:tc>
          <w:tcPr>
            <w:tcW w:w="1445" w:type="pct"/>
            <w:gridSpan w:val="3"/>
            <w:hideMark/>
          </w:tcPr>
          <w:p w:rsidR="00CA0B2E" w:rsidRPr="007C7E4A" w:rsidRDefault="00CA0B2E" w:rsidP="003077EF">
            <w:pPr>
              <w:pStyle w:val="TableHeading"/>
              <w:jc w:val="center"/>
              <w:rPr>
                <w:rFonts w:cs="Arial"/>
                <w:b w:val="0"/>
                <w:sz w:val="20"/>
                <w:szCs w:val="20"/>
              </w:rPr>
            </w:pPr>
            <w:r w:rsidRPr="007C7E4A">
              <w:rPr>
                <w:rFonts w:cs="Arial"/>
                <w:b w:val="0"/>
                <w:sz w:val="20"/>
                <w:szCs w:val="20"/>
              </w:rPr>
              <w:t>Demand (MW)</w:t>
            </w:r>
          </w:p>
        </w:tc>
        <w:tc>
          <w:tcPr>
            <w:tcW w:w="1442" w:type="pct"/>
            <w:gridSpan w:val="3"/>
            <w:hideMark/>
          </w:tcPr>
          <w:p w:rsidR="00CA0B2E" w:rsidRPr="007C7E4A" w:rsidRDefault="00CA0B2E" w:rsidP="003077EF">
            <w:pPr>
              <w:pStyle w:val="TableHeading"/>
              <w:jc w:val="center"/>
              <w:rPr>
                <w:rFonts w:cs="Arial"/>
                <w:b w:val="0"/>
                <w:sz w:val="20"/>
                <w:szCs w:val="20"/>
              </w:rPr>
            </w:pPr>
            <w:r w:rsidRPr="007C7E4A">
              <w:rPr>
                <w:rFonts w:cs="Arial"/>
                <w:b w:val="0"/>
                <w:sz w:val="20"/>
                <w:szCs w:val="20"/>
              </w:rPr>
              <w:t>Availability (MW)</w:t>
            </w:r>
          </w:p>
        </w:tc>
      </w:tr>
      <w:tr w:rsidR="00CA0B2E" w:rsidRPr="007C7E4A"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 </w:t>
            </w:r>
          </w:p>
        </w:tc>
        <w:tc>
          <w:tcPr>
            <w:tcW w:w="516"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Actual</w:t>
            </w:r>
          </w:p>
        </w:tc>
        <w:tc>
          <w:tcPr>
            <w:tcW w:w="533"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4 hr forecast</w:t>
            </w:r>
          </w:p>
        </w:tc>
        <w:tc>
          <w:tcPr>
            <w:tcW w:w="533"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12 hr forecast</w:t>
            </w:r>
          </w:p>
        </w:tc>
        <w:tc>
          <w:tcPr>
            <w:tcW w:w="455"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Actual</w:t>
            </w:r>
          </w:p>
        </w:tc>
        <w:tc>
          <w:tcPr>
            <w:tcW w:w="456"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4 hr forecast</w:t>
            </w:r>
          </w:p>
        </w:tc>
        <w:tc>
          <w:tcPr>
            <w:tcW w:w="534"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12 hr forecast</w:t>
            </w:r>
          </w:p>
        </w:tc>
        <w:tc>
          <w:tcPr>
            <w:tcW w:w="532"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Actual</w:t>
            </w:r>
          </w:p>
        </w:tc>
        <w:tc>
          <w:tcPr>
            <w:tcW w:w="457"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4 hr forecast</w:t>
            </w:r>
          </w:p>
        </w:tc>
        <w:tc>
          <w:tcPr>
            <w:tcW w:w="453" w:type="pct"/>
            <w:tcMar>
              <w:left w:w="57" w:type="dxa"/>
              <w:right w:w="57" w:type="dxa"/>
            </w:tcMar>
            <w:hideMark/>
          </w:tcPr>
          <w:p w:rsidR="00CA0B2E" w:rsidRPr="007C7E4A" w:rsidRDefault="00CA0B2E" w:rsidP="003077EF">
            <w:pPr>
              <w:pStyle w:val="tableheadingline2"/>
              <w:rPr>
                <w:rFonts w:cs="Arial"/>
                <w:sz w:val="20"/>
                <w:szCs w:val="20"/>
              </w:rPr>
            </w:pPr>
            <w:r w:rsidRPr="007C7E4A">
              <w:rPr>
                <w:rFonts w:cs="Arial"/>
                <w:sz w:val="20"/>
                <w:szCs w:val="20"/>
              </w:rPr>
              <w:t>12 hr forecast</w:t>
            </w:r>
          </w:p>
        </w:tc>
      </w:tr>
      <w:tr w:rsidR="007C7E4A" w:rsidRPr="007C7E4A"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D30505">
            <w:pPr>
              <w:spacing w:after="0" w:line="240" w:lineRule="auto"/>
              <w:jc w:val="center"/>
              <w:rPr>
                <w:rFonts w:cs="Arial"/>
                <w:sz w:val="20"/>
                <w:szCs w:val="20"/>
              </w:rPr>
            </w:pPr>
            <w:r>
              <w:rPr>
                <w:rFonts w:cs="Arial"/>
                <w:sz w:val="20"/>
                <w:szCs w:val="20"/>
              </w:rPr>
              <w:t>5</w:t>
            </w:r>
            <w:r w:rsidRPr="007C7E4A">
              <w:rPr>
                <w:rFonts w:cs="Arial"/>
                <w:sz w:val="20"/>
                <w:szCs w:val="20"/>
              </w:rPr>
              <w:t> pm</w:t>
            </w:r>
          </w:p>
        </w:tc>
        <w:tc>
          <w:tcPr>
            <w:tcW w:w="516"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254.46</w:t>
            </w:r>
          </w:p>
        </w:tc>
        <w:tc>
          <w:tcPr>
            <w:tcW w:w="533"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266.03</w:t>
            </w:r>
          </w:p>
        </w:tc>
        <w:tc>
          <w:tcPr>
            <w:tcW w:w="533"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200.01</w:t>
            </w:r>
          </w:p>
        </w:tc>
        <w:tc>
          <w:tcPr>
            <w:tcW w:w="455"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8028</w:t>
            </w:r>
          </w:p>
        </w:tc>
        <w:tc>
          <w:tcPr>
            <w:tcW w:w="456"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7903</w:t>
            </w:r>
          </w:p>
        </w:tc>
        <w:tc>
          <w:tcPr>
            <w:tcW w:w="534"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7704</w:t>
            </w:r>
          </w:p>
        </w:tc>
        <w:tc>
          <w:tcPr>
            <w:tcW w:w="532"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9834</w:t>
            </w:r>
          </w:p>
        </w:tc>
        <w:tc>
          <w:tcPr>
            <w:tcW w:w="457"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9950</w:t>
            </w:r>
          </w:p>
        </w:tc>
        <w:tc>
          <w:tcPr>
            <w:tcW w:w="453" w:type="pct"/>
            <w:vAlign w:val="center"/>
          </w:tcPr>
          <w:p w:rsidR="007C7E4A" w:rsidRPr="007C7E4A" w:rsidRDefault="007C7E4A" w:rsidP="00AE65E0">
            <w:pPr>
              <w:spacing w:after="0" w:line="240" w:lineRule="auto"/>
              <w:jc w:val="center"/>
              <w:rPr>
                <w:rFonts w:cs="Arial"/>
                <w:sz w:val="20"/>
                <w:szCs w:val="20"/>
              </w:rPr>
            </w:pPr>
            <w:r w:rsidRPr="007C7E4A">
              <w:rPr>
                <w:rFonts w:cs="Arial"/>
                <w:sz w:val="20"/>
                <w:szCs w:val="20"/>
              </w:rPr>
              <w:t>10 421</w:t>
            </w:r>
          </w:p>
        </w:tc>
      </w:tr>
    </w:tbl>
    <w:p w:rsidR="002F7B3F" w:rsidRPr="007C7E4A" w:rsidRDefault="00014045" w:rsidP="002F7B3F">
      <w:pPr>
        <w:pStyle w:val="AERbodytext"/>
      </w:pPr>
      <w:r w:rsidRPr="007C7E4A">
        <w:t xml:space="preserve">Conditions at the time saw </w:t>
      </w:r>
      <w:r w:rsidR="007C7E4A">
        <w:t>the price close to forecast.</w:t>
      </w:r>
    </w:p>
    <w:p w:rsidR="002F7B3F" w:rsidRPr="007C7E4A" w:rsidRDefault="007C7E4A" w:rsidP="002F7B3F">
      <w:pPr>
        <w:pStyle w:val="Heading3"/>
        <w:rPr>
          <w:rFonts w:eastAsia="Times New Roman"/>
        </w:rPr>
      </w:pPr>
      <w:r>
        <w:rPr>
          <w:rFonts w:eastAsia="Times New Roman"/>
        </w:rPr>
        <w:t>Friday</w:t>
      </w:r>
      <w:r w:rsidR="002F7B3F" w:rsidRPr="007C7E4A">
        <w:rPr>
          <w:rFonts w:eastAsia="Times New Roman"/>
        </w:rPr>
        <w:t xml:space="preserve">, </w:t>
      </w:r>
      <w:r>
        <w:rPr>
          <w:rFonts w:eastAsia="Times New Roman"/>
        </w:rPr>
        <w:t>1</w:t>
      </w:r>
      <w:r w:rsidR="002F7B3F" w:rsidRPr="007C7E4A">
        <w:rPr>
          <w:rFonts w:eastAsia="Times New Roman"/>
        </w:rPr>
        <w:t>6 December</w:t>
      </w:r>
    </w:p>
    <w:p w:rsidR="002F7B3F" w:rsidRPr="007C7E4A" w:rsidRDefault="002F7B3F" w:rsidP="002F7B3F">
      <w:pPr>
        <w:pStyle w:val="Caption"/>
        <w:spacing w:before="120" w:after="60"/>
        <w:rPr>
          <w:rFonts w:asciiTheme="minorHAnsi" w:hAnsiTheme="minorHAnsi" w:cstheme="minorHAnsi"/>
        </w:rPr>
      </w:pPr>
      <w:r w:rsidRPr="007C7E4A">
        <w:rPr>
          <w:rFonts w:asciiTheme="minorHAnsi" w:hAnsiTheme="minorHAnsi" w:cstheme="minorHAnsi"/>
        </w:rPr>
        <w:t xml:space="preserve">Table </w:t>
      </w:r>
      <w:r w:rsidRPr="007C7E4A">
        <w:rPr>
          <w:rFonts w:asciiTheme="minorHAnsi" w:hAnsiTheme="minorHAnsi" w:cstheme="minorHAnsi"/>
        </w:rPr>
        <w:fldChar w:fldCharType="begin"/>
      </w:r>
      <w:r w:rsidRPr="007C7E4A">
        <w:rPr>
          <w:rFonts w:asciiTheme="minorHAnsi" w:hAnsiTheme="minorHAnsi" w:cstheme="minorHAnsi"/>
        </w:rPr>
        <w:instrText xml:space="preserve"> SEQ Table \* ARABIC </w:instrText>
      </w:r>
      <w:r w:rsidRPr="007C7E4A">
        <w:rPr>
          <w:rFonts w:asciiTheme="minorHAnsi" w:hAnsiTheme="minorHAnsi" w:cstheme="minorHAnsi"/>
        </w:rPr>
        <w:fldChar w:fldCharType="separate"/>
      </w:r>
      <w:r w:rsidR="00BA2FAC">
        <w:rPr>
          <w:rFonts w:asciiTheme="minorHAnsi" w:hAnsiTheme="minorHAnsi" w:cstheme="minorHAnsi"/>
          <w:noProof/>
        </w:rPr>
        <w:t>4</w:t>
      </w:r>
      <w:r w:rsidRPr="007C7E4A">
        <w:rPr>
          <w:rFonts w:asciiTheme="minorHAnsi" w:hAnsiTheme="minorHAnsi" w:cstheme="minorHAnsi"/>
          <w:noProof/>
        </w:rPr>
        <w:fldChar w:fldCharType="end"/>
      </w:r>
      <w:r w:rsidRPr="007C7E4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2F7B3F" w:rsidRPr="007C7E4A"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2F7B3F" w:rsidRPr="007C7E4A" w:rsidRDefault="002F7B3F" w:rsidP="006D7BAE">
            <w:pPr>
              <w:pStyle w:val="TableHeading"/>
              <w:jc w:val="center"/>
              <w:rPr>
                <w:rFonts w:cs="Arial"/>
                <w:b w:val="0"/>
                <w:sz w:val="20"/>
                <w:szCs w:val="20"/>
              </w:rPr>
            </w:pPr>
            <w:r w:rsidRPr="007C7E4A">
              <w:rPr>
                <w:rFonts w:cs="Arial"/>
                <w:b w:val="0"/>
                <w:sz w:val="20"/>
                <w:szCs w:val="20"/>
              </w:rPr>
              <w:t xml:space="preserve">Time </w:t>
            </w:r>
          </w:p>
        </w:tc>
        <w:tc>
          <w:tcPr>
            <w:tcW w:w="1582" w:type="pct"/>
            <w:gridSpan w:val="3"/>
            <w:hideMark/>
          </w:tcPr>
          <w:p w:rsidR="002F7B3F" w:rsidRPr="007C7E4A" w:rsidRDefault="002F7B3F" w:rsidP="006D7BAE">
            <w:pPr>
              <w:pStyle w:val="TableHeading"/>
              <w:jc w:val="center"/>
              <w:rPr>
                <w:rFonts w:cs="Arial"/>
                <w:b w:val="0"/>
                <w:sz w:val="20"/>
                <w:szCs w:val="20"/>
              </w:rPr>
            </w:pPr>
            <w:r w:rsidRPr="007C7E4A">
              <w:rPr>
                <w:rFonts w:cs="Arial"/>
                <w:b w:val="0"/>
                <w:sz w:val="20"/>
                <w:szCs w:val="20"/>
              </w:rPr>
              <w:t>Price ($/MWh)</w:t>
            </w:r>
          </w:p>
        </w:tc>
        <w:tc>
          <w:tcPr>
            <w:tcW w:w="1445" w:type="pct"/>
            <w:gridSpan w:val="3"/>
            <w:hideMark/>
          </w:tcPr>
          <w:p w:rsidR="002F7B3F" w:rsidRPr="007C7E4A" w:rsidRDefault="002F7B3F" w:rsidP="006D7BAE">
            <w:pPr>
              <w:pStyle w:val="TableHeading"/>
              <w:jc w:val="center"/>
              <w:rPr>
                <w:rFonts w:cs="Arial"/>
                <w:b w:val="0"/>
                <w:sz w:val="20"/>
                <w:szCs w:val="20"/>
              </w:rPr>
            </w:pPr>
            <w:r w:rsidRPr="007C7E4A">
              <w:rPr>
                <w:rFonts w:cs="Arial"/>
                <w:b w:val="0"/>
                <w:sz w:val="20"/>
                <w:szCs w:val="20"/>
              </w:rPr>
              <w:t>Demand (MW)</w:t>
            </w:r>
          </w:p>
        </w:tc>
        <w:tc>
          <w:tcPr>
            <w:tcW w:w="1442" w:type="pct"/>
            <w:gridSpan w:val="3"/>
            <w:hideMark/>
          </w:tcPr>
          <w:p w:rsidR="002F7B3F" w:rsidRPr="007C7E4A" w:rsidRDefault="002F7B3F" w:rsidP="006D7BAE">
            <w:pPr>
              <w:pStyle w:val="TableHeading"/>
              <w:jc w:val="center"/>
              <w:rPr>
                <w:rFonts w:cs="Arial"/>
                <w:b w:val="0"/>
                <w:sz w:val="20"/>
                <w:szCs w:val="20"/>
              </w:rPr>
            </w:pPr>
            <w:r w:rsidRPr="007C7E4A">
              <w:rPr>
                <w:rFonts w:cs="Arial"/>
                <w:b w:val="0"/>
                <w:sz w:val="20"/>
                <w:szCs w:val="20"/>
              </w:rPr>
              <w:t>Availability (MW)</w:t>
            </w:r>
          </w:p>
        </w:tc>
      </w:tr>
      <w:tr w:rsidR="002F7B3F" w:rsidRPr="007C7E4A"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 </w:t>
            </w:r>
          </w:p>
        </w:tc>
        <w:tc>
          <w:tcPr>
            <w:tcW w:w="516"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Actual</w:t>
            </w:r>
          </w:p>
        </w:tc>
        <w:tc>
          <w:tcPr>
            <w:tcW w:w="533"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4 hr forecast</w:t>
            </w:r>
          </w:p>
        </w:tc>
        <w:tc>
          <w:tcPr>
            <w:tcW w:w="533"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12 hr forecast</w:t>
            </w:r>
          </w:p>
        </w:tc>
        <w:tc>
          <w:tcPr>
            <w:tcW w:w="455"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Actual</w:t>
            </w:r>
          </w:p>
        </w:tc>
        <w:tc>
          <w:tcPr>
            <w:tcW w:w="456"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4 hr forecast</w:t>
            </w:r>
          </w:p>
        </w:tc>
        <w:tc>
          <w:tcPr>
            <w:tcW w:w="534"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12 hr forecast</w:t>
            </w:r>
          </w:p>
        </w:tc>
        <w:tc>
          <w:tcPr>
            <w:tcW w:w="532"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Actual</w:t>
            </w:r>
          </w:p>
        </w:tc>
        <w:tc>
          <w:tcPr>
            <w:tcW w:w="457"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4 hr forecast</w:t>
            </w:r>
          </w:p>
        </w:tc>
        <w:tc>
          <w:tcPr>
            <w:tcW w:w="453" w:type="pct"/>
            <w:tcMar>
              <w:left w:w="57" w:type="dxa"/>
              <w:right w:w="57" w:type="dxa"/>
            </w:tcMar>
            <w:hideMark/>
          </w:tcPr>
          <w:p w:rsidR="002F7B3F" w:rsidRPr="007C7E4A" w:rsidRDefault="002F7B3F" w:rsidP="006D7BAE">
            <w:pPr>
              <w:pStyle w:val="tableheadingline2"/>
              <w:rPr>
                <w:rFonts w:cs="Arial"/>
                <w:sz w:val="20"/>
                <w:szCs w:val="20"/>
              </w:rPr>
            </w:pPr>
            <w:r w:rsidRPr="007C7E4A">
              <w:rPr>
                <w:rFonts w:cs="Arial"/>
                <w:sz w:val="20"/>
                <w:szCs w:val="20"/>
              </w:rPr>
              <w:t>12 hr forecast</w:t>
            </w:r>
          </w:p>
        </w:tc>
      </w:tr>
      <w:tr w:rsidR="007C7E4A" w:rsidRPr="007C7E4A" w:rsidTr="0048561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485611">
            <w:pPr>
              <w:spacing w:after="0" w:line="240" w:lineRule="auto"/>
              <w:jc w:val="center"/>
              <w:rPr>
                <w:rFonts w:cs="Arial"/>
                <w:sz w:val="20"/>
                <w:szCs w:val="20"/>
              </w:rPr>
            </w:pPr>
            <w:r>
              <w:rPr>
                <w:rFonts w:cs="Arial"/>
                <w:sz w:val="20"/>
                <w:szCs w:val="20"/>
              </w:rPr>
              <w:t>6.</w:t>
            </w:r>
            <w:r w:rsidRPr="007C7E4A">
              <w:rPr>
                <w:rFonts w:cs="Arial"/>
                <w:sz w:val="20"/>
                <w:szCs w:val="20"/>
              </w:rPr>
              <w:t>30 am</w:t>
            </w:r>
          </w:p>
        </w:tc>
        <w:tc>
          <w:tcPr>
            <w:tcW w:w="51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2434.05</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61.12</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75.91</w:t>
            </w:r>
          </w:p>
        </w:tc>
        <w:tc>
          <w:tcPr>
            <w:tcW w:w="455"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6255</w:t>
            </w:r>
          </w:p>
        </w:tc>
        <w:tc>
          <w:tcPr>
            <w:tcW w:w="45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6182</w:t>
            </w:r>
          </w:p>
        </w:tc>
        <w:tc>
          <w:tcPr>
            <w:tcW w:w="534"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6091</w:t>
            </w:r>
          </w:p>
        </w:tc>
        <w:tc>
          <w:tcPr>
            <w:tcW w:w="532"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9757</w:t>
            </w:r>
          </w:p>
        </w:tc>
        <w:tc>
          <w:tcPr>
            <w:tcW w:w="457"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9965</w:t>
            </w:r>
          </w:p>
        </w:tc>
        <w:tc>
          <w:tcPr>
            <w:tcW w:w="45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9965</w:t>
            </w:r>
          </w:p>
        </w:tc>
      </w:tr>
      <w:tr w:rsidR="007C7E4A" w:rsidRPr="007C7E4A" w:rsidTr="00485611">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7C7E4A" w:rsidP="00485611">
            <w:pPr>
              <w:spacing w:after="0" w:line="240" w:lineRule="auto"/>
              <w:jc w:val="center"/>
              <w:rPr>
                <w:rFonts w:cs="Arial"/>
                <w:sz w:val="20"/>
                <w:szCs w:val="20"/>
              </w:rPr>
            </w:pPr>
            <w:r>
              <w:rPr>
                <w:rFonts w:cs="Arial"/>
                <w:sz w:val="20"/>
                <w:szCs w:val="20"/>
              </w:rPr>
              <w:t>8.30 am</w:t>
            </w:r>
          </w:p>
        </w:tc>
        <w:tc>
          <w:tcPr>
            <w:tcW w:w="51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274.56</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262.00</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149.99</w:t>
            </w:r>
          </w:p>
        </w:tc>
        <w:tc>
          <w:tcPr>
            <w:tcW w:w="455"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6823</w:t>
            </w:r>
          </w:p>
        </w:tc>
        <w:tc>
          <w:tcPr>
            <w:tcW w:w="45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7033</w:t>
            </w:r>
          </w:p>
        </w:tc>
        <w:tc>
          <w:tcPr>
            <w:tcW w:w="534"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6851</w:t>
            </w:r>
          </w:p>
        </w:tc>
        <w:tc>
          <w:tcPr>
            <w:tcW w:w="532"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9482</w:t>
            </w:r>
          </w:p>
        </w:tc>
        <w:tc>
          <w:tcPr>
            <w:tcW w:w="457"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9734</w:t>
            </w:r>
          </w:p>
        </w:tc>
        <w:tc>
          <w:tcPr>
            <w:tcW w:w="45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9759</w:t>
            </w:r>
          </w:p>
        </w:tc>
      </w:tr>
      <w:tr w:rsidR="007C7E4A" w:rsidRPr="007C7E4A" w:rsidTr="0048561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485611">
            <w:pPr>
              <w:spacing w:after="0" w:line="240" w:lineRule="auto"/>
              <w:jc w:val="center"/>
              <w:rPr>
                <w:rFonts w:cs="Arial"/>
                <w:sz w:val="20"/>
                <w:szCs w:val="20"/>
              </w:rPr>
            </w:pPr>
            <w:r>
              <w:rPr>
                <w:rFonts w:cs="Arial"/>
                <w:sz w:val="20"/>
                <w:szCs w:val="20"/>
              </w:rPr>
              <w:t>8 pm</w:t>
            </w:r>
          </w:p>
        </w:tc>
        <w:tc>
          <w:tcPr>
            <w:tcW w:w="51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285.07</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96.66</w:t>
            </w:r>
          </w:p>
        </w:tc>
        <w:tc>
          <w:tcPr>
            <w:tcW w:w="53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265.71</w:t>
            </w:r>
          </w:p>
        </w:tc>
        <w:tc>
          <w:tcPr>
            <w:tcW w:w="455"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7398</w:t>
            </w:r>
          </w:p>
        </w:tc>
        <w:tc>
          <w:tcPr>
            <w:tcW w:w="456"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7425</w:t>
            </w:r>
          </w:p>
        </w:tc>
        <w:tc>
          <w:tcPr>
            <w:tcW w:w="534"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7514</w:t>
            </w:r>
          </w:p>
        </w:tc>
        <w:tc>
          <w:tcPr>
            <w:tcW w:w="532"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9628</w:t>
            </w:r>
          </w:p>
        </w:tc>
        <w:tc>
          <w:tcPr>
            <w:tcW w:w="457"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9725</w:t>
            </w:r>
          </w:p>
        </w:tc>
        <w:tc>
          <w:tcPr>
            <w:tcW w:w="453" w:type="pct"/>
            <w:vAlign w:val="center"/>
          </w:tcPr>
          <w:p w:rsidR="007C7E4A" w:rsidRPr="007C7E4A" w:rsidRDefault="007C7E4A" w:rsidP="00485611">
            <w:pPr>
              <w:spacing w:after="0" w:line="240" w:lineRule="auto"/>
              <w:jc w:val="center"/>
              <w:rPr>
                <w:rFonts w:cs="Arial"/>
                <w:sz w:val="20"/>
                <w:szCs w:val="20"/>
              </w:rPr>
            </w:pPr>
            <w:r w:rsidRPr="007C7E4A">
              <w:rPr>
                <w:rFonts w:cs="Arial"/>
                <w:sz w:val="20"/>
                <w:szCs w:val="20"/>
              </w:rPr>
              <w:t>10 044</w:t>
            </w:r>
          </w:p>
        </w:tc>
      </w:tr>
    </w:tbl>
    <w:p w:rsidR="001668BF" w:rsidRDefault="001668BF" w:rsidP="009519EB">
      <w:pPr>
        <w:pStyle w:val="AERbodytext"/>
      </w:pPr>
      <w:r>
        <w:t xml:space="preserve">Conditions on the day saw </w:t>
      </w:r>
      <w:r w:rsidR="002C1097">
        <w:t>demand higher than forecast for the 6.30 pm trading interval but lower than forecast for the 8.30 am and 8 pm trading intervals</w:t>
      </w:r>
      <w:r>
        <w:t>.</w:t>
      </w:r>
      <w:r w:rsidR="00B52A02">
        <w:t xml:space="preserve"> Available capacity was lower than forecast for all three trading intervals.</w:t>
      </w:r>
    </w:p>
    <w:p w:rsidR="00EB66DC" w:rsidRDefault="00535C37" w:rsidP="009519EB">
      <w:pPr>
        <w:pStyle w:val="AERbodytext"/>
      </w:pPr>
      <w:r>
        <w:t xml:space="preserve">The 6.30 am </w:t>
      </w:r>
      <w:r w:rsidR="002C1097">
        <w:t>spot price</w:t>
      </w:r>
      <w:r>
        <w:t xml:space="preserve"> was significantly higher than forecast. </w:t>
      </w:r>
      <w:r w:rsidR="002C1097">
        <w:t>At 5.11 am CS Energy reduced the availability of Gladstone unit 2 by 149 MW</w:t>
      </w:r>
      <w:r w:rsidR="00CE65C9">
        <w:t>, the majority of this capacity was priced below $32/MWh. The reason given was “0511P technical issues-id fan limit –</w:t>
      </w:r>
      <w:proofErr w:type="spellStart"/>
      <w:r w:rsidR="00CE65C9">
        <w:t>sl</w:t>
      </w:r>
      <w:proofErr w:type="spellEnd"/>
      <w:r w:rsidR="00CE65C9">
        <w:t>”. At 6.30 am there was a</w:t>
      </w:r>
      <w:r>
        <w:t xml:space="preserve"> </w:t>
      </w:r>
      <w:r w:rsidR="00CE65C9" w:rsidRPr="003859BD">
        <w:t>120 MW increase</w:t>
      </w:r>
      <w:r w:rsidR="00CE65C9">
        <w:t xml:space="preserve"> in</w:t>
      </w:r>
      <w:r w:rsidR="00CE65C9" w:rsidRPr="003859BD">
        <w:t xml:space="preserve"> </w:t>
      </w:r>
      <w:r w:rsidR="00EB66DC" w:rsidRPr="003859BD">
        <w:t>demand</w:t>
      </w:r>
      <w:r w:rsidR="003859BD" w:rsidRPr="00CC0792">
        <w:t>.</w:t>
      </w:r>
      <w:r w:rsidR="00EB66DC">
        <w:t xml:space="preserve"> </w:t>
      </w:r>
      <w:r w:rsidR="00CE65C9">
        <w:t>With low priced capacity ramp rate limited or taking more than five minutes to start the dispatch price went to the price cap.</w:t>
      </w:r>
      <w:r w:rsidR="00CC0792">
        <w:t xml:space="preserve"> </w:t>
      </w:r>
    </w:p>
    <w:p w:rsidR="007C7E4A" w:rsidRDefault="007C7E4A" w:rsidP="009519EB">
      <w:pPr>
        <w:pStyle w:val="AERbodytext"/>
      </w:pPr>
      <w:r>
        <w:t xml:space="preserve">The 8.30 am </w:t>
      </w:r>
      <w:r w:rsidR="00B52A02">
        <w:t xml:space="preserve">spot </w:t>
      </w:r>
      <w:r>
        <w:t>price was close to forecast.</w:t>
      </w:r>
    </w:p>
    <w:p w:rsidR="004B0F5E" w:rsidRDefault="00B52A02" w:rsidP="009519EB">
      <w:pPr>
        <w:pStyle w:val="AERbodytext"/>
      </w:pPr>
      <w:r>
        <w:t>The 8 pm spot price</w:t>
      </w:r>
      <w:r w:rsidR="00BE053E">
        <w:t xml:space="preserve"> was higher than forecast because a</w:t>
      </w:r>
      <w:r w:rsidR="0084750E">
        <w:t>t 7.50 pm, Tarong North tripped</w:t>
      </w:r>
      <w:r w:rsidR="00D17AFC">
        <w:t xml:space="preserve"> </w:t>
      </w:r>
      <w:r w:rsidR="0084750E">
        <w:t xml:space="preserve">and </w:t>
      </w:r>
      <w:r w:rsidR="00D17AFC">
        <w:t>34</w:t>
      </w:r>
      <w:r w:rsidR="0038739A">
        <w:t xml:space="preserve">0 MW of capacity priced at </w:t>
      </w:r>
      <w:r w:rsidR="0084750E">
        <w:t>the floor</w:t>
      </w:r>
      <w:r w:rsidR="0084750E" w:rsidRPr="0084750E">
        <w:t xml:space="preserve"> </w:t>
      </w:r>
      <w:r w:rsidR="0084750E">
        <w:t>was lost.</w:t>
      </w:r>
      <w:r w:rsidR="0038739A">
        <w:t xml:space="preserve"> </w:t>
      </w:r>
      <w:r w:rsidR="0084750E">
        <w:t>H</w:t>
      </w:r>
      <w:r w:rsidR="0038739A">
        <w:t>igher price</w:t>
      </w:r>
      <w:r w:rsidR="00BD2803">
        <w:t xml:space="preserve">d capacity </w:t>
      </w:r>
      <w:r w:rsidR="0084750E">
        <w:t>was then dispatched</w:t>
      </w:r>
      <w:r>
        <w:t xml:space="preserve"> resulting in the dispatch prices reaching $1400/MWh.</w:t>
      </w:r>
    </w:p>
    <w:p w:rsidR="004B0F5E" w:rsidRDefault="004B0F5E" w:rsidP="004B0F5E">
      <w:pPr>
        <w:rPr>
          <w:rFonts w:eastAsia="Times New Roman" w:cs="Arial"/>
          <w:lang w:eastAsia="en-AU"/>
        </w:rPr>
      </w:pPr>
      <w:r>
        <w:br w:type="page"/>
      </w:r>
    </w:p>
    <w:p w:rsidR="007C7E4A" w:rsidRPr="007C7E4A" w:rsidRDefault="007C7E4A" w:rsidP="007C7E4A">
      <w:pPr>
        <w:pStyle w:val="Heading3"/>
        <w:rPr>
          <w:rFonts w:eastAsia="Times New Roman"/>
        </w:rPr>
      </w:pPr>
      <w:r>
        <w:rPr>
          <w:rFonts w:eastAsia="Times New Roman"/>
        </w:rPr>
        <w:lastRenderedPageBreak/>
        <w:t>Saturday</w:t>
      </w:r>
      <w:r w:rsidRPr="007C7E4A">
        <w:rPr>
          <w:rFonts w:eastAsia="Times New Roman"/>
        </w:rPr>
        <w:t xml:space="preserve">, </w:t>
      </w:r>
      <w:r>
        <w:rPr>
          <w:rFonts w:eastAsia="Times New Roman"/>
        </w:rPr>
        <w:t>17</w:t>
      </w:r>
      <w:r w:rsidRPr="007C7E4A">
        <w:rPr>
          <w:rFonts w:eastAsia="Times New Roman"/>
        </w:rPr>
        <w:t xml:space="preserve"> December</w:t>
      </w:r>
    </w:p>
    <w:p w:rsidR="007C7E4A" w:rsidRPr="007C7E4A" w:rsidRDefault="007C7E4A" w:rsidP="007C7E4A">
      <w:pPr>
        <w:pStyle w:val="Caption"/>
        <w:spacing w:before="120" w:after="60"/>
        <w:rPr>
          <w:rFonts w:asciiTheme="minorHAnsi" w:hAnsiTheme="minorHAnsi" w:cstheme="minorHAnsi"/>
        </w:rPr>
      </w:pPr>
      <w:r w:rsidRPr="007C7E4A">
        <w:rPr>
          <w:rFonts w:asciiTheme="minorHAnsi" w:hAnsiTheme="minorHAnsi" w:cstheme="minorHAnsi"/>
        </w:rPr>
        <w:t xml:space="preserve">Table </w:t>
      </w:r>
      <w:r w:rsidRPr="007C7E4A">
        <w:rPr>
          <w:rFonts w:asciiTheme="minorHAnsi" w:hAnsiTheme="minorHAnsi" w:cstheme="minorHAnsi"/>
        </w:rPr>
        <w:fldChar w:fldCharType="begin"/>
      </w:r>
      <w:r w:rsidRPr="007C7E4A">
        <w:rPr>
          <w:rFonts w:asciiTheme="minorHAnsi" w:hAnsiTheme="minorHAnsi" w:cstheme="minorHAnsi"/>
        </w:rPr>
        <w:instrText xml:space="preserve"> SEQ Table \* ARABIC </w:instrText>
      </w:r>
      <w:r w:rsidRPr="007C7E4A">
        <w:rPr>
          <w:rFonts w:asciiTheme="minorHAnsi" w:hAnsiTheme="minorHAnsi" w:cstheme="minorHAnsi"/>
        </w:rPr>
        <w:fldChar w:fldCharType="separate"/>
      </w:r>
      <w:r w:rsidR="00BA2FAC">
        <w:rPr>
          <w:rFonts w:asciiTheme="minorHAnsi" w:hAnsiTheme="minorHAnsi" w:cstheme="minorHAnsi"/>
          <w:noProof/>
        </w:rPr>
        <w:t>5</w:t>
      </w:r>
      <w:r w:rsidRPr="007C7E4A">
        <w:rPr>
          <w:rFonts w:asciiTheme="minorHAnsi" w:hAnsiTheme="minorHAnsi" w:cstheme="minorHAnsi"/>
          <w:noProof/>
        </w:rPr>
        <w:fldChar w:fldCharType="end"/>
      </w:r>
      <w:r w:rsidRPr="007C7E4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850"/>
        <w:gridCol w:w="994"/>
        <w:gridCol w:w="995"/>
        <w:gridCol w:w="848"/>
        <w:gridCol w:w="850"/>
        <w:gridCol w:w="995"/>
        <w:gridCol w:w="992"/>
        <w:gridCol w:w="852"/>
        <w:gridCol w:w="843"/>
      </w:tblGrid>
      <w:tr w:rsidR="007C7E4A" w:rsidRPr="007C7E4A" w:rsidTr="007C7E4A">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7C7E4A" w:rsidRPr="007C7E4A" w:rsidRDefault="007C7E4A" w:rsidP="007C7E4A">
            <w:pPr>
              <w:pStyle w:val="TableHeading"/>
              <w:jc w:val="center"/>
              <w:rPr>
                <w:rFonts w:cs="Arial"/>
                <w:b w:val="0"/>
                <w:sz w:val="20"/>
                <w:szCs w:val="20"/>
              </w:rPr>
            </w:pPr>
            <w:r w:rsidRPr="007C7E4A">
              <w:rPr>
                <w:rFonts w:cs="Arial"/>
                <w:b w:val="0"/>
                <w:sz w:val="20"/>
                <w:szCs w:val="20"/>
              </w:rPr>
              <w:t xml:space="preserve">Time </w:t>
            </w:r>
          </w:p>
        </w:tc>
        <w:tc>
          <w:tcPr>
            <w:tcW w:w="1523" w:type="pct"/>
            <w:gridSpan w:val="3"/>
            <w:hideMark/>
          </w:tcPr>
          <w:p w:rsidR="007C7E4A" w:rsidRPr="007C7E4A" w:rsidRDefault="007C7E4A" w:rsidP="007C7E4A">
            <w:pPr>
              <w:pStyle w:val="TableHeading"/>
              <w:jc w:val="center"/>
              <w:rPr>
                <w:rFonts w:cs="Arial"/>
                <w:b w:val="0"/>
                <w:sz w:val="20"/>
                <w:szCs w:val="20"/>
              </w:rPr>
            </w:pPr>
            <w:r w:rsidRPr="007C7E4A">
              <w:rPr>
                <w:rFonts w:cs="Arial"/>
                <w:b w:val="0"/>
                <w:sz w:val="20"/>
                <w:szCs w:val="20"/>
              </w:rPr>
              <w:t>Price ($/MWh)</w:t>
            </w:r>
          </w:p>
        </w:tc>
        <w:tc>
          <w:tcPr>
            <w:tcW w:w="1445" w:type="pct"/>
            <w:gridSpan w:val="3"/>
            <w:hideMark/>
          </w:tcPr>
          <w:p w:rsidR="007C7E4A" w:rsidRPr="007C7E4A" w:rsidRDefault="007C7E4A" w:rsidP="007C7E4A">
            <w:pPr>
              <w:pStyle w:val="TableHeading"/>
              <w:jc w:val="center"/>
              <w:rPr>
                <w:rFonts w:cs="Arial"/>
                <w:b w:val="0"/>
                <w:sz w:val="20"/>
                <w:szCs w:val="20"/>
              </w:rPr>
            </w:pPr>
            <w:r w:rsidRPr="007C7E4A">
              <w:rPr>
                <w:rFonts w:cs="Arial"/>
                <w:b w:val="0"/>
                <w:sz w:val="20"/>
                <w:szCs w:val="20"/>
              </w:rPr>
              <w:t>Demand (MW)</w:t>
            </w:r>
          </w:p>
        </w:tc>
        <w:tc>
          <w:tcPr>
            <w:tcW w:w="1442" w:type="pct"/>
            <w:gridSpan w:val="3"/>
            <w:hideMark/>
          </w:tcPr>
          <w:p w:rsidR="007C7E4A" w:rsidRPr="007C7E4A" w:rsidRDefault="007C7E4A" w:rsidP="007C7E4A">
            <w:pPr>
              <w:pStyle w:val="TableHeading"/>
              <w:jc w:val="center"/>
              <w:rPr>
                <w:rFonts w:cs="Arial"/>
                <w:b w:val="0"/>
                <w:sz w:val="20"/>
                <w:szCs w:val="20"/>
              </w:rPr>
            </w:pPr>
            <w:r w:rsidRPr="007C7E4A">
              <w:rPr>
                <w:rFonts w:cs="Arial"/>
                <w:b w:val="0"/>
                <w:sz w:val="20"/>
                <w:szCs w:val="20"/>
              </w:rPr>
              <w:t>Availability (MW)</w:t>
            </w:r>
          </w:p>
        </w:tc>
      </w:tr>
      <w:tr w:rsidR="007C7E4A" w:rsidRPr="007C7E4A" w:rsidTr="006F5F6B">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7C7E4A" w:rsidRPr="007C7E4A" w:rsidRDefault="007C7E4A" w:rsidP="007C7E4A">
            <w:pPr>
              <w:pStyle w:val="tableheadingline2"/>
              <w:rPr>
                <w:rFonts w:cs="Arial"/>
                <w:sz w:val="20"/>
                <w:szCs w:val="20"/>
              </w:rPr>
            </w:pPr>
            <w:r w:rsidRPr="007C7E4A">
              <w:rPr>
                <w:rFonts w:cs="Arial"/>
                <w:sz w:val="20"/>
                <w:szCs w:val="20"/>
              </w:rPr>
              <w:t> </w:t>
            </w:r>
          </w:p>
        </w:tc>
        <w:tc>
          <w:tcPr>
            <w:tcW w:w="456"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Actual</w:t>
            </w:r>
          </w:p>
        </w:tc>
        <w:tc>
          <w:tcPr>
            <w:tcW w:w="533"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4 hr forecast</w:t>
            </w:r>
          </w:p>
        </w:tc>
        <w:tc>
          <w:tcPr>
            <w:tcW w:w="533"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12 hr forecast</w:t>
            </w:r>
          </w:p>
        </w:tc>
        <w:tc>
          <w:tcPr>
            <w:tcW w:w="455"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Actual</w:t>
            </w:r>
          </w:p>
        </w:tc>
        <w:tc>
          <w:tcPr>
            <w:tcW w:w="456"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4 hr forecast</w:t>
            </w:r>
          </w:p>
        </w:tc>
        <w:tc>
          <w:tcPr>
            <w:tcW w:w="534"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12 hr forecast</w:t>
            </w:r>
          </w:p>
        </w:tc>
        <w:tc>
          <w:tcPr>
            <w:tcW w:w="532"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Actual</w:t>
            </w:r>
          </w:p>
        </w:tc>
        <w:tc>
          <w:tcPr>
            <w:tcW w:w="457"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4 hr forecast</w:t>
            </w:r>
          </w:p>
        </w:tc>
        <w:tc>
          <w:tcPr>
            <w:tcW w:w="453" w:type="pct"/>
            <w:tcMar>
              <w:left w:w="57" w:type="dxa"/>
              <w:right w:w="57" w:type="dxa"/>
            </w:tcMar>
            <w:vAlign w:val="bottom"/>
            <w:hideMark/>
          </w:tcPr>
          <w:p w:rsidR="007C7E4A" w:rsidRPr="007C7E4A" w:rsidRDefault="007C7E4A" w:rsidP="006F5F6B">
            <w:pPr>
              <w:pStyle w:val="tableheadingline2"/>
              <w:rPr>
                <w:rFonts w:cs="Arial"/>
                <w:sz w:val="20"/>
                <w:szCs w:val="20"/>
              </w:rPr>
            </w:pPr>
            <w:r w:rsidRPr="007C7E4A">
              <w:rPr>
                <w:rFonts w:cs="Arial"/>
                <w:sz w:val="20"/>
                <w:szCs w:val="20"/>
              </w:rPr>
              <w:t>12 hr forecast</w:t>
            </w:r>
          </w:p>
        </w:tc>
      </w:tr>
      <w:tr w:rsidR="007C7E4A" w:rsidRPr="007C7E4A" w:rsidTr="006F5F6B">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7C7E4A" w:rsidRDefault="007C7E4A">
            <w:pPr>
              <w:pStyle w:val="NormalWeb"/>
              <w:jc w:val="center"/>
              <w:rPr>
                <w:rFonts w:ascii="Arial" w:hAnsi="Arial" w:cs="Arial"/>
              </w:rPr>
            </w:pPr>
            <w:r>
              <w:rPr>
                <w:rFonts w:ascii="Arial" w:eastAsiaTheme="minorHAnsi" w:hAnsi="Arial" w:cs="Arial"/>
                <w:sz w:val="20"/>
                <w:szCs w:val="20"/>
                <w:lang w:eastAsia="en-US"/>
              </w:rPr>
              <w:t>10.</w:t>
            </w:r>
            <w:r w:rsidRPr="007C7E4A">
              <w:rPr>
                <w:rFonts w:ascii="Arial" w:eastAsiaTheme="minorHAnsi" w:hAnsi="Arial" w:cs="Arial"/>
                <w:sz w:val="20"/>
                <w:szCs w:val="20"/>
                <w:lang w:eastAsia="en-US"/>
              </w:rPr>
              <w:t>30</w:t>
            </w:r>
            <w:r>
              <w:rPr>
                <w:rFonts w:ascii="Arial" w:eastAsiaTheme="minorHAnsi" w:hAnsi="Arial" w:cs="Arial"/>
                <w:sz w:val="20"/>
                <w:szCs w:val="20"/>
                <w:lang w:eastAsia="en-US"/>
              </w:rPr>
              <w:t> pm</w:t>
            </w:r>
          </w:p>
        </w:tc>
        <w:tc>
          <w:tcPr>
            <w:tcW w:w="456"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273.89</w:t>
            </w:r>
          </w:p>
        </w:tc>
        <w:tc>
          <w:tcPr>
            <w:tcW w:w="533"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423.12</w:t>
            </w:r>
          </w:p>
        </w:tc>
        <w:tc>
          <w:tcPr>
            <w:tcW w:w="533"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423.13</w:t>
            </w:r>
          </w:p>
        </w:tc>
        <w:tc>
          <w:tcPr>
            <w:tcW w:w="455"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6582</w:t>
            </w:r>
          </w:p>
        </w:tc>
        <w:tc>
          <w:tcPr>
            <w:tcW w:w="456"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6804</w:t>
            </w:r>
          </w:p>
        </w:tc>
        <w:tc>
          <w:tcPr>
            <w:tcW w:w="534"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6831</w:t>
            </w:r>
          </w:p>
        </w:tc>
        <w:tc>
          <w:tcPr>
            <w:tcW w:w="532"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10 046</w:t>
            </w:r>
          </w:p>
        </w:tc>
        <w:tc>
          <w:tcPr>
            <w:tcW w:w="457"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10 011</w:t>
            </w:r>
          </w:p>
        </w:tc>
        <w:tc>
          <w:tcPr>
            <w:tcW w:w="453" w:type="pct"/>
            <w:vAlign w:val="bottom"/>
          </w:tcPr>
          <w:p w:rsidR="007C7E4A" w:rsidRPr="007C7E4A" w:rsidRDefault="007C7E4A" w:rsidP="006F5F6B">
            <w:pPr>
              <w:spacing w:line="240" w:lineRule="auto"/>
              <w:jc w:val="center"/>
              <w:rPr>
                <w:rFonts w:cs="Arial"/>
                <w:sz w:val="20"/>
                <w:szCs w:val="20"/>
              </w:rPr>
            </w:pPr>
            <w:r w:rsidRPr="007C7E4A">
              <w:rPr>
                <w:rFonts w:cs="Arial"/>
                <w:sz w:val="20"/>
                <w:szCs w:val="20"/>
              </w:rPr>
              <w:t>10 016</w:t>
            </w:r>
          </w:p>
        </w:tc>
      </w:tr>
    </w:tbl>
    <w:p w:rsidR="000D16AF" w:rsidRDefault="00BB13A3" w:rsidP="007C7E4A">
      <w:pPr>
        <w:pStyle w:val="AERbodytext"/>
      </w:pPr>
      <w:r>
        <w:t>The spot price was lower than forecast as demand was</w:t>
      </w:r>
      <w:r w:rsidR="000D16AF">
        <w:t xml:space="preserve"> around 200 MW lower than forecast.</w:t>
      </w:r>
    </w:p>
    <w:p w:rsidR="002F7B3F" w:rsidRPr="007C7E4A" w:rsidRDefault="007C7E4A" w:rsidP="002F7B3F">
      <w:pPr>
        <w:pStyle w:val="Heading2"/>
        <w:rPr>
          <w:rFonts w:eastAsia="Times New Roman"/>
          <w:b w:val="0"/>
          <w:bCs w:val="0"/>
          <w:lang w:eastAsia="en-AU"/>
        </w:rPr>
      </w:pPr>
      <w:r>
        <w:rPr>
          <w:rFonts w:eastAsia="Times New Roman"/>
          <w:b w:val="0"/>
          <w:bCs w:val="0"/>
          <w:lang w:eastAsia="en-AU"/>
        </w:rPr>
        <w:t>South Australia</w:t>
      </w:r>
    </w:p>
    <w:p w:rsidR="00014045" w:rsidRPr="007C7E4A" w:rsidRDefault="002F7B3F" w:rsidP="002F7B3F">
      <w:pPr>
        <w:pStyle w:val="AERbodytext"/>
      </w:pPr>
      <w:r w:rsidRPr="007C7E4A">
        <w:t xml:space="preserve">There was </w:t>
      </w:r>
      <w:r w:rsidR="007C7E4A">
        <w:t>eleven</w:t>
      </w:r>
      <w:r w:rsidRPr="007C7E4A">
        <w:t xml:space="preserve"> occasion</w:t>
      </w:r>
      <w:r w:rsidR="007C7E4A">
        <w:t>s</w:t>
      </w:r>
      <w:r w:rsidRPr="007C7E4A">
        <w:t xml:space="preserve"> where the spot price in </w:t>
      </w:r>
      <w:r w:rsidR="007C7E4A">
        <w:t xml:space="preserve">South Australia </w:t>
      </w:r>
      <w:r w:rsidRPr="007C7E4A">
        <w:t xml:space="preserve">was greater than three times the </w:t>
      </w:r>
      <w:r w:rsidR="007C7E4A">
        <w:t>South Australia weekly average price of $76</w:t>
      </w:r>
      <w:r w:rsidRPr="007C7E4A">
        <w:t>/MWh and above $250/MWh.</w:t>
      </w:r>
    </w:p>
    <w:p w:rsidR="00BB7D8C" w:rsidRPr="007C7E4A" w:rsidRDefault="007C7E4A" w:rsidP="00BB7D8C">
      <w:pPr>
        <w:pStyle w:val="Heading3"/>
        <w:rPr>
          <w:rFonts w:eastAsia="Times New Roman"/>
        </w:rPr>
      </w:pPr>
      <w:r>
        <w:rPr>
          <w:rFonts w:eastAsia="Times New Roman"/>
        </w:rPr>
        <w:t>Monday, 12</w:t>
      </w:r>
      <w:r w:rsidR="00BB7D8C" w:rsidRPr="007C7E4A">
        <w:rPr>
          <w:rFonts w:eastAsia="Times New Roman"/>
        </w:rPr>
        <w:t xml:space="preserve"> December</w:t>
      </w:r>
    </w:p>
    <w:p w:rsidR="00BB7D8C" w:rsidRPr="007C7E4A" w:rsidRDefault="00BB7D8C" w:rsidP="00BB7D8C">
      <w:pPr>
        <w:pStyle w:val="Caption"/>
        <w:spacing w:before="120" w:after="60"/>
        <w:rPr>
          <w:rFonts w:asciiTheme="minorHAnsi" w:hAnsiTheme="minorHAnsi" w:cstheme="minorHAnsi"/>
        </w:rPr>
      </w:pPr>
      <w:r w:rsidRPr="007C7E4A">
        <w:rPr>
          <w:rFonts w:asciiTheme="minorHAnsi" w:hAnsiTheme="minorHAnsi" w:cstheme="minorHAnsi"/>
        </w:rPr>
        <w:t xml:space="preserve">Table </w:t>
      </w:r>
      <w:r w:rsidRPr="007C7E4A">
        <w:rPr>
          <w:rFonts w:asciiTheme="minorHAnsi" w:hAnsiTheme="minorHAnsi" w:cstheme="minorHAnsi"/>
        </w:rPr>
        <w:fldChar w:fldCharType="begin"/>
      </w:r>
      <w:r w:rsidRPr="007C7E4A">
        <w:rPr>
          <w:rFonts w:asciiTheme="minorHAnsi" w:hAnsiTheme="minorHAnsi" w:cstheme="minorHAnsi"/>
        </w:rPr>
        <w:instrText xml:space="preserve"> SEQ Table \* ARABIC </w:instrText>
      </w:r>
      <w:r w:rsidRPr="007C7E4A">
        <w:rPr>
          <w:rFonts w:asciiTheme="minorHAnsi" w:hAnsiTheme="minorHAnsi" w:cstheme="minorHAnsi"/>
        </w:rPr>
        <w:fldChar w:fldCharType="separate"/>
      </w:r>
      <w:r w:rsidR="00BA2FAC">
        <w:rPr>
          <w:rFonts w:asciiTheme="minorHAnsi" w:hAnsiTheme="minorHAnsi" w:cstheme="minorHAnsi"/>
          <w:noProof/>
        </w:rPr>
        <w:t>6</w:t>
      </w:r>
      <w:r w:rsidRPr="007C7E4A">
        <w:rPr>
          <w:rFonts w:asciiTheme="minorHAnsi" w:hAnsiTheme="minorHAnsi" w:cstheme="minorHAnsi"/>
          <w:noProof/>
        </w:rPr>
        <w:fldChar w:fldCharType="end"/>
      </w:r>
      <w:r w:rsidRPr="007C7E4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BB7D8C" w:rsidRPr="007C7E4A" w:rsidTr="006D7BAE">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BB7D8C" w:rsidRPr="007C7E4A" w:rsidRDefault="00BB7D8C" w:rsidP="006D7BAE">
            <w:pPr>
              <w:pStyle w:val="TableHeading"/>
              <w:jc w:val="center"/>
              <w:rPr>
                <w:rFonts w:cs="Arial"/>
                <w:b w:val="0"/>
                <w:sz w:val="20"/>
                <w:szCs w:val="20"/>
              </w:rPr>
            </w:pPr>
            <w:r w:rsidRPr="007C7E4A">
              <w:rPr>
                <w:rFonts w:cs="Arial"/>
                <w:b w:val="0"/>
                <w:sz w:val="20"/>
                <w:szCs w:val="20"/>
              </w:rPr>
              <w:t xml:space="preserve">Time </w:t>
            </w:r>
          </w:p>
        </w:tc>
        <w:tc>
          <w:tcPr>
            <w:tcW w:w="1582" w:type="pct"/>
            <w:gridSpan w:val="3"/>
            <w:hideMark/>
          </w:tcPr>
          <w:p w:rsidR="00BB7D8C" w:rsidRPr="007C7E4A" w:rsidRDefault="00BB7D8C" w:rsidP="006D7BAE">
            <w:pPr>
              <w:pStyle w:val="TableHeading"/>
              <w:jc w:val="center"/>
              <w:rPr>
                <w:rFonts w:cs="Arial"/>
                <w:b w:val="0"/>
                <w:sz w:val="20"/>
                <w:szCs w:val="20"/>
              </w:rPr>
            </w:pPr>
            <w:r w:rsidRPr="007C7E4A">
              <w:rPr>
                <w:rFonts w:cs="Arial"/>
                <w:b w:val="0"/>
                <w:sz w:val="20"/>
                <w:szCs w:val="20"/>
              </w:rPr>
              <w:t>Price ($/MWh)</w:t>
            </w:r>
          </w:p>
        </w:tc>
        <w:tc>
          <w:tcPr>
            <w:tcW w:w="1445" w:type="pct"/>
            <w:gridSpan w:val="3"/>
            <w:hideMark/>
          </w:tcPr>
          <w:p w:rsidR="00BB7D8C" w:rsidRPr="007C7E4A" w:rsidRDefault="00BB7D8C" w:rsidP="006D7BAE">
            <w:pPr>
              <w:pStyle w:val="TableHeading"/>
              <w:jc w:val="center"/>
              <w:rPr>
                <w:rFonts w:cs="Arial"/>
                <w:b w:val="0"/>
                <w:sz w:val="20"/>
                <w:szCs w:val="20"/>
              </w:rPr>
            </w:pPr>
            <w:r w:rsidRPr="007C7E4A">
              <w:rPr>
                <w:rFonts w:cs="Arial"/>
                <w:b w:val="0"/>
                <w:sz w:val="20"/>
                <w:szCs w:val="20"/>
              </w:rPr>
              <w:t>Demand (MW)</w:t>
            </w:r>
          </w:p>
        </w:tc>
        <w:tc>
          <w:tcPr>
            <w:tcW w:w="1442" w:type="pct"/>
            <w:gridSpan w:val="3"/>
            <w:hideMark/>
          </w:tcPr>
          <w:p w:rsidR="00BB7D8C" w:rsidRPr="007C7E4A" w:rsidRDefault="00BB7D8C" w:rsidP="006D7BAE">
            <w:pPr>
              <w:pStyle w:val="TableHeading"/>
              <w:jc w:val="center"/>
              <w:rPr>
                <w:rFonts w:cs="Arial"/>
                <w:b w:val="0"/>
                <w:sz w:val="20"/>
                <w:szCs w:val="20"/>
              </w:rPr>
            </w:pPr>
            <w:r w:rsidRPr="007C7E4A">
              <w:rPr>
                <w:rFonts w:cs="Arial"/>
                <w:b w:val="0"/>
                <w:sz w:val="20"/>
                <w:szCs w:val="20"/>
              </w:rPr>
              <w:t>Availability (MW)</w:t>
            </w:r>
          </w:p>
        </w:tc>
      </w:tr>
      <w:tr w:rsidR="00BB7D8C" w:rsidRPr="007C7E4A" w:rsidTr="006D7BAE">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 </w:t>
            </w:r>
          </w:p>
        </w:tc>
        <w:tc>
          <w:tcPr>
            <w:tcW w:w="516"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Actual</w:t>
            </w:r>
          </w:p>
        </w:tc>
        <w:tc>
          <w:tcPr>
            <w:tcW w:w="533"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4 hr forecast</w:t>
            </w:r>
          </w:p>
        </w:tc>
        <w:tc>
          <w:tcPr>
            <w:tcW w:w="533"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12 hr forecast</w:t>
            </w:r>
          </w:p>
        </w:tc>
        <w:tc>
          <w:tcPr>
            <w:tcW w:w="455"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Actual</w:t>
            </w:r>
          </w:p>
        </w:tc>
        <w:tc>
          <w:tcPr>
            <w:tcW w:w="456"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4 hr forecast</w:t>
            </w:r>
          </w:p>
        </w:tc>
        <w:tc>
          <w:tcPr>
            <w:tcW w:w="534"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12 hr forecast</w:t>
            </w:r>
          </w:p>
        </w:tc>
        <w:tc>
          <w:tcPr>
            <w:tcW w:w="532"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Actual</w:t>
            </w:r>
          </w:p>
        </w:tc>
        <w:tc>
          <w:tcPr>
            <w:tcW w:w="457"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4 hr forecast</w:t>
            </w:r>
          </w:p>
        </w:tc>
        <w:tc>
          <w:tcPr>
            <w:tcW w:w="453" w:type="pct"/>
            <w:tcMar>
              <w:left w:w="57" w:type="dxa"/>
              <w:right w:w="57" w:type="dxa"/>
            </w:tcMar>
            <w:hideMark/>
          </w:tcPr>
          <w:p w:rsidR="00BB7D8C" w:rsidRPr="007C7E4A" w:rsidRDefault="00BB7D8C" w:rsidP="006D7BAE">
            <w:pPr>
              <w:pStyle w:val="tableheadingline2"/>
              <w:rPr>
                <w:rFonts w:cs="Arial"/>
                <w:sz w:val="20"/>
                <w:szCs w:val="20"/>
              </w:rPr>
            </w:pPr>
            <w:r w:rsidRPr="007C7E4A">
              <w:rPr>
                <w:rFonts w:cs="Arial"/>
                <w:sz w:val="20"/>
                <w:szCs w:val="20"/>
              </w:rPr>
              <w:t>12 hr forecast</w:t>
            </w:r>
          </w:p>
        </w:tc>
      </w:tr>
      <w:tr w:rsidR="007C7E4A" w:rsidRPr="007C7E4A"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BB13A3">
            <w:pPr>
              <w:spacing w:after="0" w:line="240" w:lineRule="auto"/>
              <w:jc w:val="center"/>
              <w:rPr>
                <w:rFonts w:cs="Arial"/>
                <w:sz w:val="20"/>
                <w:szCs w:val="20"/>
              </w:rPr>
            </w:pPr>
            <w:r>
              <w:rPr>
                <w:rFonts w:cs="Arial"/>
                <w:sz w:val="20"/>
                <w:szCs w:val="20"/>
              </w:rPr>
              <w:t>8</w:t>
            </w:r>
            <w:r w:rsidR="008C4B09">
              <w:rPr>
                <w:rFonts w:cs="Arial"/>
                <w:sz w:val="20"/>
                <w:szCs w:val="20"/>
              </w:rPr>
              <w:t xml:space="preserve"> am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424.99</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79.99</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67.15</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1334</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1315</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1296</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1771</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1978</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2002</w:t>
            </w:r>
          </w:p>
        </w:tc>
      </w:tr>
      <w:tr w:rsidR="007C7E4A" w:rsidRPr="007C7E4A" w:rsidTr="006D7BA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8C4B09" w:rsidP="00BB13A3">
            <w:pPr>
              <w:spacing w:after="0" w:line="240" w:lineRule="auto"/>
              <w:jc w:val="center"/>
              <w:rPr>
                <w:rFonts w:cs="Arial"/>
                <w:sz w:val="20"/>
                <w:szCs w:val="20"/>
              </w:rPr>
            </w:pPr>
            <w:r>
              <w:rPr>
                <w:rFonts w:cs="Arial"/>
                <w:sz w:val="20"/>
                <w:szCs w:val="20"/>
              </w:rPr>
              <w:t>8.30 am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321.04</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79.99</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79.99</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1323</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1289</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1301</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1697</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1916</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1941</w:t>
            </w:r>
          </w:p>
        </w:tc>
      </w:tr>
      <w:tr w:rsidR="007C7E4A" w:rsidRPr="007C7E4A"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8C4B09" w:rsidP="00BB13A3">
            <w:pPr>
              <w:spacing w:after="0" w:line="240" w:lineRule="auto"/>
              <w:jc w:val="center"/>
              <w:rPr>
                <w:rFonts w:cs="Arial"/>
                <w:sz w:val="20"/>
                <w:szCs w:val="20"/>
              </w:rPr>
            </w:pPr>
            <w:r>
              <w:rPr>
                <w:rFonts w:cs="Arial"/>
                <w:sz w:val="20"/>
                <w:szCs w:val="20"/>
              </w:rPr>
              <w:t>5</w:t>
            </w:r>
            <w:r w:rsidR="007C7E4A" w:rsidRPr="007C7E4A">
              <w:rPr>
                <w:rFonts w:cs="Arial"/>
                <w:sz w:val="20"/>
                <w:szCs w:val="20"/>
              </w:rPr>
              <w:t xml:space="preserve"> </w:t>
            </w:r>
            <w:r>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262.86</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344.44</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299.95</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2118</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1978</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1822</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2007</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1939</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2003</w:t>
            </w:r>
          </w:p>
        </w:tc>
      </w:tr>
      <w:tr w:rsidR="007C7E4A" w:rsidRPr="007C7E4A" w:rsidTr="006D7BA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8C4B09" w:rsidP="00BB13A3">
            <w:pPr>
              <w:spacing w:after="0" w:line="240" w:lineRule="auto"/>
              <w:jc w:val="center"/>
              <w:rPr>
                <w:rFonts w:cs="Arial"/>
                <w:sz w:val="20"/>
                <w:szCs w:val="20"/>
              </w:rPr>
            </w:pPr>
            <w:r>
              <w:rPr>
                <w:rFonts w:cs="Arial"/>
                <w:sz w:val="20"/>
                <w:szCs w:val="20"/>
              </w:rPr>
              <w:t>5.</w:t>
            </w:r>
            <w:r w:rsidR="007C7E4A" w:rsidRPr="007C7E4A">
              <w:rPr>
                <w:rFonts w:cs="Arial"/>
                <w:sz w:val="20"/>
                <w:szCs w:val="20"/>
              </w:rPr>
              <w:t xml:space="preserve">30 </w:t>
            </w:r>
            <w:r>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300.17</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578.81</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299.97</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2155</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2047</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1866</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1966</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1928</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1989</w:t>
            </w:r>
          </w:p>
        </w:tc>
      </w:tr>
      <w:tr w:rsidR="007C7E4A" w:rsidRPr="007C7E4A"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 xml:space="preserve">6 </w:t>
            </w:r>
            <w:r w:rsidR="008C4B09">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2493.61</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349.98</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299.97</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2177</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2066</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1891</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1941</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1916</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2001</w:t>
            </w:r>
          </w:p>
        </w:tc>
      </w:tr>
      <w:tr w:rsidR="007C7E4A" w:rsidRPr="007C7E4A" w:rsidTr="006D7BA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8C4B09" w:rsidP="00BB13A3">
            <w:pPr>
              <w:spacing w:after="0" w:line="240" w:lineRule="auto"/>
              <w:jc w:val="center"/>
              <w:rPr>
                <w:rFonts w:cs="Arial"/>
                <w:sz w:val="20"/>
                <w:szCs w:val="20"/>
              </w:rPr>
            </w:pPr>
            <w:r>
              <w:rPr>
                <w:rFonts w:cs="Arial"/>
                <w:sz w:val="20"/>
                <w:szCs w:val="20"/>
              </w:rPr>
              <w:t>6.</w:t>
            </w:r>
            <w:r w:rsidR="007C7E4A" w:rsidRPr="007C7E4A">
              <w:rPr>
                <w:rFonts w:cs="Arial"/>
                <w:sz w:val="20"/>
                <w:szCs w:val="20"/>
              </w:rPr>
              <w:t xml:space="preserve">30 </w:t>
            </w:r>
            <w:r w:rsidR="00276EEA">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346.72</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578.81</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299.97</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2213</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2064</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1909</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1935</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1903</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2003</w:t>
            </w:r>
          </w:p>
        </w:tc>
      </w:tr>
      <w:tr w:rsidR="007C7E4A" w:rsidRPr="007C7E4A"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BB13A3" w:rsidP="00BB13A3">
            <w:pPr>
              <w:spacing w:after="0" w:line="240" w:lineRule="auto"/>
              <w:jc w:val="center"/>
              <w:rPr>
                <w:rFonts w:cs="Arial"/>
                <w:sz w:val="20"/>
                <w:szCs w:val="20"/>
              </w:rPr>
            </w:pPr>
            <w:r>
              <w:rPr>
                <w:rFonts w:cs="Arial"/>
                <w:sz w:val="20"/>
                <w:szCs w:val="20"/>
              </w:rPr>
              <w:t>7</w:t>
            </w:r>
            <w:r w:rsidR="007C7E4A" w:rsidRPr="007C7E4A">
              <w:rPr>
                <w:rFonts w:cs="Arial"/>
                <w:sz w:val="20"/>
                <w:szCs w:val="20"/>
              </w:rPr>
              <w:t xml:space="preserve"> </w:t>
            </w:r>
            <w:r w:rsidR="00276EEA">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439.54</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349.98</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299.97</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2216</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2055</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1902</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1919</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1899</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1977</w:t>
            </w:r>
          </w:p>
        </w:tc>
      </w:tr>
      <w:tr w:rsidR="007C7E4A" w:rsidRPr="007C7E4A" w:rsidTr="006D7BA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7</w:t>
            </w:r>
            <w:r w:rsidR="00BB13A3">
              <w:rPr>
                <w:rFonts w:cs="Arial"/>
                <w:sz w:val="20"/>
                <w:szCs w:val="20"/>
              </w:rPr>
              <w:t>.</w:t>
            </w:r>
            <w:r w:rsidRPr="007C7E4A">
              <w:rPr>
                <w:rFonts w:cs="Arial"/>
                <w:sz w:val="20"/>
                <w:szCs w:val="20"/>
              </w:rPr>
              <w:t xml:space="preserve">30 </w:t>
            </w:r>
            <w:r w:rsidR="00276EEA">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300.18</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300.00</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299.95</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2156</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2002</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1838</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1900</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1920</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1996</w:t>
            </w:r>
          </w:p>
        </w:tc>
      </w:tr>
      <w:tr w:rsidR="007C7E4A" w:rsidRPr="007C7E4A" w:rsidTr="006D7BAE">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 xml:space="preserve">8 </w:t>
            </w:r>
            <w:r w:rsidR="00276EEA">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300.03</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349.95</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80.19</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2060</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1950</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1778</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1886</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1929</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2019</w:t>
            </w:r>
          </w:p>
        </w:tc>
      </w:tr>
      <w:tr w:rsidR="007C7E4A" w:rsidRPr="007C7E4A" w:rsidTr="006D7BAE">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8</w:t>
            </w:r>
            <w:r w:rsidR="00BB13A3">
              <w:rPr>
                <w:rFonts w:cs="Arial"/>
                <w:sz w:val="20"/>
                <w:szCs w:val="20"/>
              </w:rPr>
              <w:t>.</w:t>
            </w:r>
            <w:r w:rsidRPr="007C7E4A">
              <w:rPr>
                <w:rFonts w:cs="Arial"/>
                <w:sz w:val="20"/>
                <w:szCs w:val="20"/>
              </w:rPr>
              <w:t xml:space="preserve">30 </w:t>
            </w:r>
            <w:r w:rsidR="00276EEA">
              <w:rPr>
                <w:rFonts w:cs="Arial"/>
                <w:sz w:val="20"/>
                <w:szCs w:val="20"/>
              </w:rPr>
              <w:t>pm</w:t>
            </w:r>
          </w:p>
        </w:tc>
        <w:tc>
          <w:tcPr>
            <w:tcW w:w="51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263.66</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300.00</w:t>
            </w:r>
          </w:p>
        </w:tc>
        <w:tc>
          <w:tcPr>
            <w:tcW w:w="53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79.99</w:t>
            </w:r>
          </w:p>
        </w:tc>
        <w:tc>
          <w:tcPr>
            <w:tcW w:w="455"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1982</w:t>
            </w:r>
          </w:p>
        </w:tc>
        <w:tc>
          <w:tcPr>
            <w:tcW w:w="456"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1896</w:t>
            </w:r>
          </w:p>
        </w:tc>
        <w:tc>
          <w:tcPr>
            <w:tcW w:w="534"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1755</w:t>
            </w:r>
          </w:p>
        </w:tc>
        <w:tc>
          <w:tcPr>
            <w:tcW w:w="532"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1889</w:t>
            </w:r>
          </w:p>
        </w:tc>
        <w:tc>
          <w:tcPr>
            <w:tcW w:w="457"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1984</w:t>
            </w:r>
          </w:p>
        </w:tc>
        <w:tc>
          <w:tcPr>
            <w:tcW w:w="453" w:type="pct"/>
            <w:vAlign w:val="center"/>
          </w:tcPr>
          <w:p w:rsidR="007C7E4A" w:rsidRPr="007C7E4A" w:rsidRDefault="007C7E4A" w:rsidP="00BB13A3">
            <w:pPr>
              <w:spacing w:after="0" w:line="240" w:lineRule="auto"/>
              <w:jc w:val="center"/>
              <w:rPr>
                <w:rFonts w:cs="Arial"/>
                <w:sz w:val="20"/>
                <w:szCs w:val="20"/>
              </w:rPr>
            </w:pPr>
            <w:r w:rsidRPr="007C7E4A">
              <w:rPr>
                <w:rFonts w:cs="Arial"/>
                <w:sz w:val="20"/>
                <w:szCs w:val="20"/>
              </w:rPr>
              <w:t>2046</w:t>
            </w:r>
          </w:p>
        </w:tc>
      </w:tr>
    </w:tbl>
    <w:p w:rsidR="00C9337E" w:rsidRDefault="00F0618F" w:rsidP="002F7B3F">
      <w:pPr>
        <w:pStyle w:val="AERbodytext"/>
      </w:pPr>
      <w:r>
        <w:t xml:space="preserve">For the </w:t>
      </w:r>
      <w:r w:rsidR="00C9337E">
        <w:t>8 am and 8.30 am</w:t>
      </w:r>
      <w:r>
        <w:t xml:space="preserve">, </w:t>
      </w:r>
      <w:r w:rsidR="00B67C95">
        <w:t xml:space="preserve">demand </w:t>
      </w:r>
      <w:r w:rsidR="005D6FB6">
        <w:t xml:space="preserve">was </w:t>
      </w:r>
      <w:r w:rsidR="00B67C95">
        <w:t>close to forecast while</w:t>
      </w:r>
      <w:r>
        <w:t xml:space="preserve"> available capacity was 200 MW lower than that forecast four and 12 hours ahead. </w:t>
      </w:r>
      <w:r w:rsidR="00892DDA">
        <w:t xml:space="preserve">Wind generation decreased by around 211 MW within the 8 am trading interval, and a further 96 MW within the 8.30 am trading interval. </w:t>
      </w:r>
      <w:r w:rsidR="005D6FB6">
        <w:t>This resulted in</w:t>
      </w:r>
      <w:r w:rsidR="00892DDA">
        <w:t xml:space="preserve"> higher priced gas generation </w:t>
      </w:r>
      <w:r w:rsidR="005D6FB6">
        <w:t>being dispatched</w:t>
      </w:r>
      <w:r w:rsidR="00892DDA">
        <w:t>.</w:t>
      </w:r>
    </w:p>
    <w:p w:rsidR="00BC6A67" w:rsidRDefault="00C961E2" w:rsidP="002F7B3F">
      <w:pPr>
        <w:pStyle w:val="AERbodytext"/>
      </w:pPr>
      <w:r>
        <w:t>The 5 pm and</w:t>
      </w:r>
      <w:r w:rsidR="00161C0B">
        <w:t xml:space="preserve"> 5.30</w:t>
      </w:r>
      <w:r w:rsidR="0072534D">
        <w:t> </w:t>
      </w:r>
      <w:r w:rsidR="00BE0F49">
        <w:t>pm</w:t>
      </w:r>
      <w:r w:rsidR="0072534D">
        <w:t xml:space="preserve"> spot prices</w:t>
      </w:r>
      <w:r w:rsidR="00BE0F49">
        <w:t xml:space="preserve"> were close to w</w:t>
      </w:r>
      <w:r w:rsidR="00BC6A67">
        <w:t>hat was forecast 12 hours ahead. Rebidding from high to low prices contributed to the lower than forecast price four hours prior.</w:t>
      </w:r>
    </w:p>
    <w:p w:rsidR="0072534D" w:rsidRDefault="00BE0F49" w:rsidP="002F7B3F">
      <w:pPr>
        <w:pStyle w:val="AERbodytext"/>
      </w:pPr>
      <w:r>
        <w:t xml:space="preserve">The </w:t>
      </w:r>
      <w:r w:rsidR="00161C0B">
        <w:t xml:space="preserve">6 pm </w:t>
      </w:r>
      <w:r w:rsidR="009737FA">
        <w:t>trading interval price was a result of</w:t>
      </w:r>
      <w:r>
        <w:t xml:space="preserve"> </w:t>
      </w:r>
      <w:r w:rsidR="005D6FB6">
        <w:t xml:space="preserve">the </w:t>
      </w:r>
      <w:r>
        <w:t>dispatch</w:t>
      </w:r>
      <w:r w:rsidR="005D6FB6">
        <w:t xml:space="preserve"> price for 6 pm</w:t>
      </w:r>
      <w:r>
        <w:t xml:space="preserve"> reach</w:t>
      </w:r>
      <w:r w:rsidR="009737FA">
        <w:t>ing</w:t>
      </w:r>
      <w:r>
        <w:t xml:space="preserve"> over $13 000/MWh</w:t>
      </w:r>
      <w:r w:rsidR="009737FA">
        <w:t>. This occurred due to a combination of a decrease in imports into South</w:t>
      </w:r>
      <w:r w:rsidR="005D6FB6">
        <w:t> </w:t>
      </w:r>
      <w:r w:rsidR="009737FA">
        <w:t>Australia</w:t>
      </w:r>
      <w:r w:rsidR="00821961">
        <w:t xml:space="preserve"> </w:t>
      </w:r>
      <w:r w:rsidR="009737FA">
        <w:t>across</w:t>
      </w:r>
      <w:r w:rsidR="00821961">
        <w:t xml:space="preserve"> the Heywood interconnector </w:t>
      </w:r>
      <w:r w:rsidR="009737FA">
        <w:t>(56</w:t>
      </w:r>
      <w:r w:rsidR="005D6FB6">
        <w:t> </w:t>
      </w:r>
      <w:r w:rsidR="00821961">
        <w:t>MW</w:t>
      </w:r>
      <w:r w:rsidR="009737FA">
        <w:t>) and an increase of demand</w:t>
      </w:r>
      <w:r>
        <w:t xml:space="preserve"> </w:t>
      </w:r>
      <w:r w:rsidR="009737FA">
        <w:t xml:space="preserve">(28 MW). </w:t>
      </w:r>
    </w:p>
    <w:p w:rsidR="0072534D" w:rsidRDefault="009737FA" w:rsidP="002F7B3F">
      <w:pPr>
        <w:pStyle w:val="AERbodytext"/>
      </w:pPr>
      <w:r>
        <w:lastRenderedPageBreak/>
        <w:t>T</w:t>
      </w:r>
      <w:r w:rsidR="007478AD">
        <w:t xml:space="preserve">he 6.30 pm to </w:t>
      </w:r>
      <w:r>
        <w:t xml:space="preserve">8.30 pm </w:t>
      </w:r>
      <w:r w:rsidR="0072534D">
        <w:t>trading interval</w:t>
      </w:r>
      <w:r>
        <w:t>s</w:t>
      </w:r>
      <w:r w:rsidR="0072534D">
        <w:t xml:space="preserve"> w</w:t>
      </w:r>
      <w:r>
        <w:t>ere</w:t>
      </w:r>
      <w:r w:rsidR="0072534D">
        <w:t xml:space="preserve"> close to forecast.</w:t>
      </w:r>
    </w:p>
    <w:p w:rsidR="00276EEA" w:rsidRPr="007C7E4A" w:rsidRDefault="00276EEA" w:rsidP="00276EEA">
      <w:pPr>
        <w:pStyle w:val="Heading3"/>
        <w:rPr>
          <w:rFonts w:eastAsia="Times New Roman"/>
        </w:rPr>
      </w:pPr>
      <w:r>
        <w:rPr>
          <w:rFonts w:eastAsia="Times New Roman"/>
        </w:rPr>
        <w:t>Wednesday, 14</w:t>
      </w:r>
      <w:r w:rsidRPr="007C7E4A">
        <w:rPr>
          <w:rFonts w:eastAsia="Times New Roman"/>
        </w:rPr>
        <w:t xml:space="preserve"> December</w:t>
      </w:r>
    </w:p>
    <w:p w:rsidR="00276EEA" w:rsidRPr="007C7E4A" w:rsidRDefault="00276EEA" w:rsidP="00276EEA">
      <w:pPr>
        <w:pStyle w:val="Caption"/>
        <w:spacing w:before="120" w:after="60"/>
        <w:rPr>
          <w:rFonts w:asciiTheme="minorHAnsi" w:hAnsiTheme="minorHAnsi" w:cstheme="minorHAnsi"/>
        </w:rPr>
      </w:pPr>
      <w:r w:rsidRPr="007C7E4A">
        <w:rPr>
          <w:rFonts w:asciiTheme="minorHAnsi" w:hAnsiTheme="minorHAnsi" w:cstheme="minorHAnsi"/>
        </w:rPr>
        <w:t xml:space="preserve">Table </w:t>
      </w:r>
      <w:r w:rsidRPr="007C7E4A">
        <w:rPr>
          <w:rFonts w:asciiTheme="minorHAnsi" w:hAnsiTheme="minorHAnsi" w:cstheme="minorHAnsi"/>
        </w:rPr>
        <w:fldChar w:fldCharType="begin"/>
      </w:r>
      <w:r w:rsidRPr="007C7E4A">
        <w:rPr>
          <w:rFonts w:asciiTheme="minorHAnsi" w:hAnsiTheme="minorHAnsi" w:cstheme="minorHAnsi"/>
        </w:rPr>
        <w:instrText xml:space="preserve"> SEQ Table \* ARABIC </w:instrText>
      </w:r>
      <w:r w:rsidRPr="007C7E4A">
        <w:rPr>
          <w:rFonts w:asciiTheme="minorHAnsi" w:hAnsiTheme="minorHAnsi" w:cstheme="minorHAnsi"/>
        </w:rPr>
        <w:fldChar w:fldCharType="separate"/>
      </w:r>
      <w:r w:rsidR="00BA2FAC">
        <w:rPr>
          <w:rFonts w:asciiTheme="minorHAnsi" w:hAnsiTheme="minorHAnsi" w:cstheme="minorHAnsi"/>
          <w:noProof/>
        </w:rPr>
        <w:t>7</w:t>
      </w:r>
      <w:r w:rsidRPr="007C7E4A">
        <w:rPr>
          <w:rFonts w:asciiTheme="minorHAnsi" w:hAnsiTheme="minorHAnsi" w:cstheme="minorHAnsi"/>
          <w:noProof/>
        </w:rPr>
        <w:fldChar w:fldCharType="end"/>
      </w:r>
      <w:r w:rsidRPr="007C7E4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276EEA" w:rsidRPr="007C7E4A" w:rsidTr="00B67C9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276EEA" w:rsidRPr="007C7E4A" w:rsidRDefault="00276EEA" w:rsidP="00B67C95">
            <w:pPr>
              <w:pStyle w:val="TableHeading"/>
              <w:jc w:val="center"/>
              <w:rPr>
                <w:rFonts w:cs="Arial"/>
                <w:b w:val="0"/>
                <w:sz w:val="20"/>
                <w:szCs w:val="20"/>
              </w:rPr>
            </w:pPr>
            <w:r w:rsidRPr="007C7E4A">
              <w:rPr>
                <w:rFonts w:cs="Arial"/>
                <w:b w:val="0"/>
                <w:sz w:val="20"/>
                <w:szCs w:val="20"/>
              </w:rPr>
              <w:t xml:space="preserve">Time </w:t>
            </w:r>
          </w:p>
        </w:tc>
        <w:tc>
          <w:tcPr>
            <w:tcW w:w="1582" w:type="pct"/>
            <w:gridSpan w:val="3"/>
            <w:hideMark/>
          </w:tcPr>
          <w:p w:rsidR="00276EEA" w:rsidRPr="007C7E4A" w:rsidRDefault="00276EEA" w:rsidP="00B67C95">
            <w:pPr>
              <w:pStyle w:val="TableHeading"/>
              <w:jc w:val="center"/>
              <w:rPr>
                <w:rFonts w:cs="Arial"/>
                <w:b w:val="0"/>
                <w:sz w:val="20"/>
                <w:szCs w:val="20"/>
              </w:rPr>
            </w:pPr>
            <w:r w:rsidRPr="007C7E4A">
              <w:rPr>
                <w:rFonts w:cs="Arial"/>
                <w:b w:val="0"/>
                <w:sz w:val="20"/>
                <w:szCs w:val="20"/>
              </w:rPr>
              <w:t>Price ($/MWh)</w:t>
            </w:r>
          </w:p>
        </w:tc>
        <w:tc>
          <w:tcPr>
            <w:tcW w:w="1445" w:type="pct"/>
            <w:gridSpan w:val="3"/>
            <w:hideMark/>
          </w:tcPr>
          <w:p w:rsidR="00276EEA" w:rsidRPr="007C7E4A" w:rsidRDefault="00276EEA" w:rsidP="00B67C95">
            <w:pPr>
              <w:pStyle w:val="TableHeading"/>
              <w:jc w:val="center"/>
              <w:rPr>
                <w:rFonts w:cs="Arial"/>
                <w:b w:val="0"/>
                <w:sz w:val="20"/>
                <w:szCs w:val="20"/>
              </w:rPr>
            </w:pPr>
            <w:r w:rsidRPr="007C7E4A">
              <w:rPr>
                <w:rFonts w:cs="Arial"/>
                <w:b w:val="0"/>
                <w:sz w:val="20"/>
                <w:szCs w:val="20"/>
              </w:rPr>
              <w:t>Demand (MW)</w:t>
            </w:r>
          </w:p>
        </w:tc>
        <w:tc>
          <w:tcPr>
            <w:tcW w:w="1442" w:type="pct"/>
            <w:gridSpan w:val="3"/>
            <w:hideMark/>
          </w:tcPr>
          <w:p w:rsidR="00276EEA" w:rsidRPr="007C7E4A" w:rsidRDefault="00276EEA" w:rsidP="00B67C95">
            <w:pPr>
              <w:pStyle w:val="TableHeading"/>
              <w:jc w:val="center"/>
              <w:rPr>
                <w:rFonts w:cs="Arial"/>
                <w:b w:val="0"/>
                <w:sz w:val="20"/>
                <w:szCs w:val="20"/>
              </w:rPr>
            </w:pPr>
            <w:r w:rsidRPr="007C7E4A">
              <w:rPr>
                <w:rFonts w:cs="Arial"/>
                <w:b w:val="0"/>
                <w:sz w:val="20"/>
                <w:szCs w:val="20"/>
              </w:rPr>
              <w:t>Availability (MW)</w:t>
            </w:r>
          </w:p>
        </w:tc>
      </w:tr>
      <w:tr w:rsidR="00276EEA" w:rsidRPr="007C7E4A" w:rsidTr="00B67C9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w:t>
            </w:r>
          </w:p>
        </w:tc>
        <w:tc>
          <w:tcPr>
            <w:tcW w:w="516"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Actual</w:t>
            </w:r>
          </w:p>
        </w:tc>
        <w:tc>
          <w:tcPr>
            <w:tcW w:w="533"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4 </w:t>
            </w:r>
            <w:proofErr w:type="spellStart"/>
            <w:r w:rsidRPr="007C7E4A">
              <w:rPr>
                <w:rFonts w:cs="Arial"/>
                <w:sz w:val="20"/>
                <w:szCs w:val="20"/>
              </w:rPr>
              <w:t>hr</w:t>
            </w:r>
            <w:proofErr w:type="spellEnd"/>
            <w:r w:rsidRPr="007C7E4A">
              <w:rPr>
                <w:rFonts w:cs="Arial"/>
                <w:sz w:val="20"/>
                <w:szCs w:val="20"/>
              </w:rPr>
              <w:t xml:space="preserve"> forecast</w:t>
            </w:r>
          </w:p>
        </w:tc>
        <w:tc>
          <w:tcPr>
            <w:tcW w:w="533"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12 </w:t>
            </w:r>
            <w:proofErr w:type="spellStart"/>
            <w:r w:rsidRPr="007C7E4A">
              <w:rPr>
                <w:rFonts w:cs="Arial"/>
                <w:sz w:val="20"/>
                <w:szCs w:val="20"/>
              </w:rPr>
              <w:t>hr</w:t>
            </w:r>
            <w:proofErr w:type="spellEnd"/>
            <w:r w:rsidRPr="007C7E4A">
              <w:rPr>
                <w:rFonts w:cs="Arial"/>
                <w:sz w:val="20"/>
                <w:szCs w:val="20"/>
              </w:rPr>
              <w:t xml:space="preserve"> forecast</w:t>
            </w:r>
          </w:p>
        </w:tc>
        <w:tc>
          <w:tcPr>
            <w:tcW w:w="455"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Actual</w:t>
            </w:r>
          </w:p>
        </w:tc>
        <w:tc>
          <w:tcPr>
            <w:tcW w:w="456"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4 </w:t>
            </w:r>
            <w:proofErr w:type="spellStart"/>
            <w:r w:rsidRPr="007C7E4A">
              <w:rPr>
                <w:rFonts w:cs="Arial"/>
                <w:sz w:val="20"/>
                <w:szCs w:val="20"/>
              </w:rPr>
              <w:t>hr</w:t>
            </w:r>
            <w:proofErr w:type="spellEnd"/>
            <w:r w:rsidRPr="007C7E4A">
              <w:rPr>
                <w:rFonts w:cs="Arial"/>
                <w:sz w:val="20"/>
                <w:szCs w:val="20"/>
              </w:rPr>
              <w:t xml:space="preserve"> forecast</w:t>
            </w:r>
          </w:p>
        </w:tc>
        <w:tc>
          <w:tcPr>
            <w:tcW w:w="534"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12 </w:t>
            </w:r>
            <w:proofErr w:type="spellStart"/>
            <w:r w:rsidRPr="007C7E4A">
              <w:rPr>
                <w:rFonts w:cs="Arial"/>
                <w:sz w:val="20"/>
                <w:szCs w:val="20"/>
              </w:rPr>
              <w:t>hr</w:t>
            </w:r>
            <w:proofErr w:type="spellEnd"/>
            <w:r w:rsidRPr="007C7E4A">
              <w:rPr>
                <w:rFonts w:cs="Arial"/>
                <w:sz w:val="20"/>
                <w:szCs w:val="20"/>
              </w:rPr>
              <w:t xml:space="preserve"> forecast</w:t>
            </w:r>
          </w:p>
        </w:tc>
        <w:tc>
          <w:tcPr>
            <w:tcW w:w="532"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Actual</w:t>
            </w:r>
          </w:p>
        </w:tc>
        <w:tc>
          <w:tcPr>
            <w:tcW w:w="457"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4 </w:t>
            </w:r>
            <w:proofErr w:type="spellStart"/>
            <w:r w:rsidRPr="007C7E4A">
              <w:rPr>
                <w:rFonts w:cs="Arial"/>
                <w:sz w:val="20"/>
                <w:szCs w:val="20"/>
              </w:rPr>
              <w:t>hr</w:t>
            </w:r>
            <w:proofErr w:type="spellEnd"/>
            <w:r w:rsidRPr="007C7E4A">
              <w:rPr>
                <w:rFonts w:cs="Arial"/>
                <w:sz w:val="20"/>
                <w:szCs w:val="20"/>
              </w:rPr>
              <w:t xml:space="preserve"> forecast</w:t>
            </w:r>
          </w:p>
        </w:tc>
        <w:tc>
          <w:tcPr>
            <w:tcW w:w="453" w:type="pct"/>
            <w:tcMar>
              <w:left w:w="57" w:type="dxa"/>
              <w:right w:w="57" w:type="dxa"/>
            </w:tcMar>
            <w:hideMark/>
          </w:tcPr>
          <w:p w:rsidR="00276EEA" w:rsidRPr="007C7E4A" w:rsidRDefault="00276EEA" w:rsidP="00B67C95">
            <w:pPr>
              <w:pStyle w:val="tableheadingline2"/>
              <w:rPr>
                <w:rFonts w:cs="Arial"/>
                <w:sz w:val="20"/>
                <w:szCs w:val="20"/>
              </w:rPr>
            </w:pPr>
            <w:r w:rsidRPr="007C7E4A">
              <w:rPr>
                <w:rFonts w:cs="Arial"/>
                <w:sz w:val="20"/>
                <w:szCs w:val="20"/>
              </w:rPr>
              <w:t xml:space="preserve">12 </w:t>
            </w:r>
            <w:proofErr w:type="spellStart"/>
            <w:r w:rsidRPr="007C7E4A">
              <w:rPr>
                <w:rFonts w:cs="Arial"/>
                <w:sz w:val="20"/>
                <w:szCs w:val="20"/>
              </w:rPr>
              <w:t>hr</w:t>
            </w:r>
            <w:proofErr w:type="spellEnd"/>
            <w:r w:rsidRPr="007C7E4A">
              <w:rPr>
                <w:rFonts w:cs="Arial"/>
                <w:sz w:val="20"/>
                <w:szCs w:val="20"/>
              </w:rPr>
              <w:t xml:space="preserve"> forecast</w:t>
            </w:r>
          </w:p>
        </w:tc>
      </w:tr>
      <w:tr w:rsidR="00276EEA" w:rsidRPr="007C7E4A" w:rsidTr="00B67C9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276EEA" w:rsidRPr="007C7E4A" w:rsidRDefault="007478AD" w:rsidP="00B67C95">
            <w:pPr>
              <w:spacing w:line="240" w:lineRule="auto"/>
              <w:jc w:val="center"/>
              <w:rPr>
                <w:rFonts w:cs="Arial"/>
                <w:sz w:val="20"/>
                <w:szCs w:val="20"/>
              </w:rPr>
            </w:pPr>
            <w:r>
              <w:rPr>
                <w:rFonts w:cs="Arial"/>
                <w:sz w:val="20"/>
                <w:szCs w:val="20"/>
              </w:rPr>
              <w:t>10</w:t>
            </w:r>
            <w:r w:rsidR="00276EEA">
              <w:rPr>
                <w:rFonts w:cs="Arial"/>
                <w:sz w:val="20"/>
                <w:szCs w:val="20"/>
              </w:rPr>
              <w:t xml:space="preserve"> am</w:t>
            </w:r>
          </w:p>
        </w:tc>
        <w:tc>
          <w:tcPr>
            <w:tcW w:w="516"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263.33</w:t>
            </w:r>
          </w:p>
        </w:tc>
        <w:tc>
          <w:tcPr>
            <w:tcW w:w="533"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79.99</w:t>
            </w:r>
          </w:p>
        </w:tc>
        <w:tc>
          <w:tcPr>
            <w:tcW w:w="533"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79.99</w:t>
            </w:r>
          </w:p>
        </w:tc>
        <w:tc>
          <w:tcPr>
            <w:tcW w:w="455"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1400</w:t>
            </w:r>
          </w:p>
        </w:tc>
        <w:tc>
          <w:tcPr>
            <w:tcW w:w="456"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1399</w:t>
            </w:r>
          </w:p>
        </w:tc>
        <w:tc>
          <w:tcPr>
            <w:tcW w:w="534"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1322</w:t>
            </w:r>
          </w:p>
        </w:tc>
        <w:tc>
          <w:tcPr>
            <w:tcW w:w="532"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1728</w:t>
            </w:r>
          </w:p>
        </w:tc>
        <w:tc>
          <w:tcPr>
            <w:tcW w:w="457"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1850</w:t>
            </w:r>
          </w:p>
        </w:tc>
        <w:tc>
          <w:tcPr>
            <w:tcW w:w="453" w:type="pct"/>
            <w:vAlign w:val="center"/>
          </w:tcPr>
          <w:p w:rsidR="00276EEA" w:rsidRPr="00276EEA" w:rsidRDefault="00276EEA" w:rsidP="00276EEA">
            <w:pPr>
              <w:spacing w:line="240" w:lineRule="auto"/>
              <w:jc w:val="center"/>
              <w:rPr>
                <w:rFonts w:cs="Arial"/>
                <w:sz w:val="20"/>
                <w:szCs w:val="20"/>
              </w:rPr>
            </w:pPr>
            <w:r w:rsidRPr="00276EEA">
              <w:rPr>
                <w:rFonts w:cs="Arial"/>
                <w:sz w:val="20"/>
                <w:szCs w:val="20"/>
              </w:rPr>
              <w:t>2023</w:t>
            </w:r>
          </w:p>
        </w:tc>
      </w:tr>
    </w:tbl>
    <w:p w:rsidR="00276EEA" w:rsidRDefault="005D6FB6" w:rsidP="002F7B3F">
      <w:pPr>
        <w:pStyle w:val="AERbodytext"/>
      </w:pPr>
      <w:r>
        <w:t>Conditions at the time saw demand close to forecast and available capacity around 120 MW lower than forecast four hours ahead.</w:t>
      </w:r>
      <w:r w:rsidR="00775CA8">
        <w:t xml:space="preserve"> </w:t>
      </w:r>
      <w:r>
        <w:t>T</w:t>
      </w:r>
      <w:r w:rsidR="00775CA8">
        <w:t xml:space="preserve">here was </w:t>
      </w:r>
      <w:r w:rsidR="005D7500">
        <w:t xml:space="preserve">no </w:t>
      </w:r>
      <w:r w:rsidR="00775CA8">
        <w:t xml:space="preserve">capacity priced between $80/MWh and $300/MWh. </w:t>
      </w:r>
      <w:r w:rsidR="00C241EF">
        <w:t xml:space="preserve">At 9.35 am </w:t>
      </w:r>
      <w:r w:rsidR="00775CA8">
        <w:t xml:space="preserve">demand </w:t>
      </w:r>
      <w:r w:rsidR="00C241EF">
        <w:t>increased by around 28 MW</w:t>
      </w:r>
      <w:r w:rsidR="00725DAE">
        <w:t>,</w:t>
      </w:r>
      <w:r w:rsidR="00C241EF">
        <w:t xml:space="preserve"> </w:t>
      </w:r>
      <w:r w:rsidR="00775CA8">
        <w:t>imports from Victoria</w:t>
      </w:r>
      <w:r w:rsidR="00C241EF">
        <w:t xml:space="preserve"> decreased by around 13 MW and the price went to $300/MWh for the majority of the trading interval. </w:t>
      </w:r>
    </w:p>
    <w:bookmarkEnd w:id="0"/>
    <w:bookmarkEnd w:id="1"/>
    <w:bookmarkEnd w:id="2"/>
    <w:bookmarkEnd w:id="3"/>
    <w:bookmarkEnd w:id="4"/>
    <w:bookmarkEnd w:id="5"/>
    <w:p w:rsidR="00275002" w:rsidRPr="009064FC" w:rsidRDefault="00275002" w:rsidP="004F6D0A">
      <w:pPr>
        <w:pStyle w:val="Heading2"/>
      </w:pPr>
      <w:r w:rsidRPr="00686EDE">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BA2FAC">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BA2FAC">
          <w:rPr>
            <w:noProof/>
          </w:rPr>
          <w:t>9</w:t>
        </w:r>
      </w:fldSimple>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686EDE" w:rsidRPr="00686EDE">
        <w:rPr>
          <w:noProof/>
          <w:lang w:eastAsia="en-AU"/>
        </w:rPr>
        <w:drawing>
          <wp:inline distT="0" distB="0" distL="0" distR="0" wp14:anchorId="5E4C9221" wp14:editId="3A8EE57E">
            <wp:extent cx="5731510" cy="2893789"/>
            <wp:effectExtent l="0" t="0" r="2540" b="1905"/>
            <wp:docPr id="10" name="Picture 10"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93789"/>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BA2FAC" w:rsidRPr="00491631">
        <w:t xml:space="preserve">Figure </w:t>
      </w:r>
      <w:r w:rsidR="00BA2FAC">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lastRenderedPageBreak/>
        <w:t xml:space="preserve">Figure </w:t>
      </w:r>
      <w:fldSimple w:instr=" SEQ Figure \* ARABIC ">
        <w:r w:rsidR="00BA2FAC">
          <w:rPr>
            <w:noProof/>
          </w:rPr>
          <w:t>10</w:t>
        </w:r>
      </w:fldSimple>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686EDE" w:rsidP="00C466B4">
      <w:pPr>
        <w:pStyle w:val="Source"/>
        <w:spacing w:before="0" w:after="120" w:line="240" w:lineRule="auto"/>
        <w:jc w:val="both"/>
      </w:pPr>
      <w:r w:rsidRPr="00686EDE">
        <w:rPr>
          <w:noProof/>
          <w:lang w:eastAsia="en-AU"/>
        </w:rPr>
        <w:drawing>
          <wp:inline distT="0" distB="0" distL="0" distR="0" wp14:anchorId="1FB55620" wp14:editId="0AB5C19A">
            <wp:extent cx="5731510" cy="2887865"/>
            <wp:effectExtent l="0" t="0" r="2540" b="8255"/>
            <wp:docPr id="11" name="Picture 11"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87865"/>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BA2FAC">
        <w:t xml:space="preserve">Figure </w:t>
      </w:r>
      <w:r w:rsidR="00BA2FAC">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BA2FAC">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AA1BC1" w:rsidP="008E0420">
      <w:r w:rsidRPr="00AA1BC1">
        <w:rPr>
          <w:noProof/>
          <w:lang w:eastAsia="en-AU"/>
        </w:rPr>
        <w:drawing>
          <wp:inline distT="0" distB="0" distL="0" distR="0" wp14:anchorId="145CA5CE" wp14:editId="41517CA5">
            <wp:extent cx="5731510" cy="2872396"/>
            <wp:effectExtent l="0" t="0" r="2540" b="4445"/>
            <wp:docPr id="16" name="Picture 16" descr="Figure 11 shows how the price for each regional Quarter 1 2017 cap contract has changed over the last 10 weeks (as well as the total number of trades each week). The closing quarter 1 2015 and quarter 1 2016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39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775CA8">
        <w:t>May</w:t>
      </w:r>
      <w:r w:rsidR="00854750">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A8" w:rsidRDefault="00775CA8" w:rsidP="004B4412">
      <w:pPr>
        <w:spacing w:before="0"/>
      </w:pPr>
      <w:r>
        <w:separator/>
      </w:r>
    </w:p>
  </w:endnote>
  <w:endnote w:type="continuationSeparator" w:id="0">
    <w:p w:rsidR="00775CA8" w:rsidRDefault="00775CA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A8" w:rsidRPr="00A91A9E" w:rsidRDefault="00775CA8"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75CA8" w:rsidRDefault="00775CA8"/>
  <w:p w:rsidR="00775CA8" w:rsidRDefault="00775C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A8" w:rsidRPr="00A94D89" w:rsidRDefault="00775CA8"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A2FAC">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A8" w:rsidRPr="00A94D89" w:rsidRDefault="00775CA8"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A2FAC">
      <w:rPr>
        <w:rFonts w:cs="Arial"/>
        <w:i/>
        <w:noProof/>
      </w:rPr>
      <w:t>1</w:t>
    </w:r>
    <w:r w:rsidRPr="001F1B78">
      <w:rPr>
        <w:rFonts w:cs="Arial"/>
        <w:i/>
        <w:noProof/>
      </w:rPr>
      <w:fldChar w:fldCharType="end"/>
    </w:r>
    <w:r w:rsidRPr="00F52F00">
      <w:rPr>
        <w:rFonts w:cs="Arial"/>
        <w:i/>
      </w:rPr>
      <w:tab/>
      <w:t>AER reference</w:t>
    </w:r>
    <w:r w:rsidRPr="0000255F">
      <w:rPr>
        <w:rFonts w:cs="Arial"/>
        <w:i/>
      </w:rPr>
      <w:t>: 39220 – D17/3180</w:t>
    </w:r>
  </w:p>
  <w:p w:rsidR="00775CA8" w:rsidRDefault="00775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A8" w:rsidRDefault="00775CA8" w:rsidP="004B4412">
      <w:pPr>
        <w:spacing w:before="0"/>
      </w:pPr>
      <w:r>
        <w:separator/>
      </w:r>
    </w:p>
  </w:footnote>
  <w:footnote w:type="continuationSeparator" w:id="0">
    <w:p w:rsidR="00775CA8" w:rsidRDefault="00775CA8"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02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1 - 17 December 2016.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2FF2"/>
    <w:rsid w:val="00014045"/>
    <w:rsid w:val="0001415C"/>
    <w:rsid w:val="000147C1"/>
    <w:rsid w:val="00014D5F"/>
    <w:rsid w:val="000176A2"/>
    <w:rsid w:val="00017DD0"/>
    <w:rsid w:val="00020D21"/>
    <w:rsid w:val="00021202"/>
    <w:rsid w:val="0002123D"/>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AE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2C53"/>
    <w:rsid w:val="000C5039"/>
    <w:rsid w:val="000C6144"/>
    <w:rsid w:val="000D05BD"/>
    <w:rsid w:val="000D0A74"/>
    <w:rsid w:val="000D122C"/>
    <w:rsid w:val="000D16AF"/>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48"/>
    <w:rsid w:val="00102B64"/>
    <w:rsid w:val="00105281"/>
    <w:rsid w:val="00105AF3"/>
    <w:rsid w:val="00105D4E"/>
    <w:rsid w:val="0010740E"/>
    <w:rsid w:val="00107F6C"/>
    <w:rsid w:val="0011019A"/>
    <w:rsid w:val="001107FF"/>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5733"/>
    <w:rsid w:val="0015602B"/>
    <w:rsid w:val="001566F6"/>
    <w:rsid w:val="0015721E"/>
    <w:rsid w:val="00157380"/>
    <w:rsid w:val="001573E4"/>
    <w:rsid w:val="0016016D"/>
    <w:rsid w:val="00160756"/>
    <w:rsid w:val="00161C0B"/>
    <w:rsid w:val="00162584"/>
    <w:rsid w:val="001629C6"/>
    <w:rsid w:val="00162C9F"/>
    <w:rsid w:val="00164658"/>
    <w:rsid w:val="00164FB1"/>
    <w:rsid w:val="00165247"/>
    <w:rsid w:val="001653F3"/>
    <w:rsid w:val="00165C87"/>
    <w:rsid w:val="001666AA"/>
    <w:rsid w:val="001668BF"/>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C90"/>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20F"/>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D055E"/>
    <w:rsid w:val="001D0C65"/>
    <w:rsid w:val="001D0CE3"/>
    <w:rsid w:val="001D1597"/>
    <w:rsid w:val="001D3A5B"/>
    <w:rsid w:val="001D487C"/>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E79C0"/>
    <w:rsid w:val="001F03EF"/>
    <w:rsid w:val="001F0EC9"/>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FBA"/>
    <w:rsid w:val="00215E19"/>
    <w:rsid w:val="002164FB"/>
    <w:rsid w:val="00216865"/>
    <w:rsid w:val="00216A04"/>
    <w:rsid w:val="00217221"/>
    <w:rsid w:val="00217C29"/>
    <w:rsid w:val="00220C0F"/>
    <w:rsid w:val="002214D9"/>
    <w:rsid w:val="002216F5"/>
    <w:rsid w:val="00222F04"/>
    <w:rsid w:val="00223FEA"/>
    <w:rsid w:val="002242B5"/>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4AD"/>
    <w:rsid w:val="00247E84"/>
    <w:rsid w:val="00250859"/>
    <w:rsid w:val="002515C3"/>
    <w:rsid w:val="002516A1"/>
    <w:rsid w:val="00251745"/>
    <w:rsid w:val="00251A8B"/>
    <w:rsid w:val="00251C37"/>
    <w:rsid w:val="00251D74"/>
    <w:rsid w:val="00253004"/>
    <w:rsid w:val="00253160"/>
    <w:rsid w:val="00253F55"/>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6EEA"/>
    <w:rsid w:val="002817AB"/>
    <w:rsid w:val="002828A0"/>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1097"/>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31B"/>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37D6C"/>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59BD"/>
    <w:rsid w:val="00385C6F"/>
    <w:rsid w:val="00386C86"/>
    <w:rsid w:val="0038739A"/>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62E9"/>
    <w:rsid w:val="003C6315"/>
    <w:rsid w:val="003C6BA6"/>
    <w:rsid w:val="003C7164"/>
    <w:rsid w:val="003C7EFA"/>
    <w:rsid w:val="003D1C42"/>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718"/>
    <w:rsid w:val="00462CFF"/>
    <w:rsid w:val="00463932"/>
    <w:rsid w:val="00465210"/>
    <w:rsid w:val="0046790A"/>
    <w:rsid w:val="0047014C"/>
    <w:rsid w:val="00470AF4"/>
    <w:rsid w:val="00470EE9"/>
    <w:rsid w:val="0047130B"/>
    <w:rsid w:val="00471992"/>
    <w:rsid w:val="00471E68"/>
    <w:rsid w:val="0047237E"/>
    <w:rsid w:val="0047251B"/>
    <w:rsid w:val="00473433"/>
    <w:rsid w:val="0047346C"/>
    <w:rsid w:val="004740D3"/>
    <w:rsid w:val="00477821"/>
    <w:rsid w:val="0048018F"/>
    <w:rsid w:val="00480B4B"/>
    <w:rsid w:val="00480DA9"/>
    <w:rsid w:val="004819B1"/>
    <w:rsid w:val="00481CE9"/>
    <w:rsid w:val="004831F8"/>
    <w:rsid w:val="004835FB"/>
    <w:rsid w:val="00484D9C"/>
    <w:rsid w:val="00485611"/>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19D"/>
    <w:rsid w:val="004A4CEF"/>
    <w:rsid w:val="004B0F5E"/>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2F67"/>
    <w:rsid w:val="005033F6"/>
    <w:rsid w:val="0050349E"/>
    <w:rsid w:val="005047F1"/>
    <w:rsid w:val="00505616"/>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5C37"/>
    <w:rsid w:val="0053611E"/>
    <w:rsid w:val="00536609"/>
    <w:rsid w:val="0054102B"/>
    <w:rsid w:val="0054173F"/>
    <w:rsid w:val="00541B82"/>
    <w:rsid w:val="0054254C"/>
    <w:rsid w:val="0054313C"/>
    <w:rsid w:val="00543544"/>
    <w:rsid w:val="00543945"/>
    <w:rsid w:val="00543BEC"/>
    <w:rsid w:val="00543CC7"/>
    <w:rsid w:val="005448B5"/>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62AF"/>
    <w:rsid w:val="005B6994"/>
    <w:rsid w:val="005B6FC9"/>
    <w:rsid w:val="005B7F8F"/>
    <w:rsid w:val="005C08DE"/>
    <w:rsid w:val="005C0D2F"/>
    <w:rsid w:val="005C26CC"/>
    <w:rsid w:val="005C33B2"/>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16B"/>
    <w:rsid w:val="005D4D5F"/>
    <w:rsid w:val="005D5ECD"/>
    <w:rsid w:val="005D69AF"/>
    <w:rsid w:val="005D6FB6"/>
    <w:rsid w:val="005D750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CEC"/>
    <w:rsid w:val="00620B1B"/>
    <w:rsid w:val="00621545"/>
    <w:rsid w:val="0062203C"/>
    <w:rsid w:val="00624150"/>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6D7"/>
    <w:rsid w:val="00684647"/>
    <w:rsid w:val="00684E01"/>
    <w:rsid w:val="00685A1B"/>
    <w:rsid w:val="006861F0"/>
    <w:rsid w:val="00686411"/>
    <w:rsid w:val="00686EDE"/>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5F6B"/>
    <w:rsid w:val="006F66A3"/>
    <w:rsid w:val="006F6C2D"/>
    <w:rsid w:val="00700DAB"/>
    <w:rsid w:val="00701CAB"/>
    <w:rsid w:val="007030FA"/>
    <w:rsid w:val="007037F6"/>
    <w:rsid w:val="00703838"/>
    <w:rsid w:val="00704518"/>
    <w:rsid w:val="00704CA4"/>
    <w:rsid w:val="00707011"/>
    <w:rsid w:val="00707242"/>
    <w:rsid w:val="00707563"/>
    <w:rsid w:val="0071151C"/>
    <w:rsid w:val="00711BF6"/>
    <w:rsid w:val="00712D03"/>
    <w:rsid w:val="007152FC"/>
    <w:rsid w:val="00716355"/>
    <w:rsid w:val="0071735A"/>
    <w:rsid w:val="007200F4"/>
    <w:rsid w:val="00720480"/>
    <w:rsid w:val="0072073C"/>
    <w:rsid w:val="00720AB2"/>
    <w:rsid w:val="00720EF8"/>
    <w:rsid w:val="0072348C"/>
    <w:rsid w:val="007241D7"/>
    <w:rsid w:val="007247EC"/>
    <w:rsid w:val="00724827"/>
    <w:rsid w:val="00724A37"/>
    <w:rsid w:val="00724BF3"/>
    <w:rsid w:val="0072534D"/>
    <w:rsid w:val="00725DAE"/>
    <w:rsid w:val="00727B92"/>
    <w:rsid w:val="00727D4D"/>
    <w:rsid w:val="007303C3"/>
    <w:rsid w:val="00730446"/>
    <w:rsid w:val="007317CE"/>
    <w:rsid w:val="00731F13"/>
    <w:rsid w:val="0073214E"/>
    <w:rsid w:val="00732CE1"/>
    <w:rsid w:val="00732D22"/>
    <w:rsid w:val="0073319F"/>
    <w:rsid w:val="0073449E"/>
    <w:rsid w:val="0073561F"/>
    <w:rsid w:val="007356A7"/>
    <w:rsid w:val="00736A3F"/>
    <w:rsid w:val="00737494"/>
    <w:rsid w:val="00741247"/>
    <w:rsid w:val="00741D03"/>
    <w:rsid w:val="007426D5"/>
    <w:rsid w:val="00743223"/>
    <w:rsid w:val="00746063"/>
    <w:rsid w:val="007466DE"/>
    <w:rsid w:val="00746E01"/>
    <w:rsid w:val="007478A2"/>
    <w:rsid w:val="007478AD"/>
    <w:rsid w:val="00747D2F"/>
    <w:rsid w:val="0075017A"/>
    <w:rsid w:val="00751821"/>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1822"/>
    <w:rsid w:val="00772A95"/>
    <w:rsid w:val="00773841"/>
    <w:rsid w:val="007751A3"/>
    <w:rsid w:val="00775CA8"/>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C7E4A"/>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1961"/>
    <w:rsid w:val="008238B2"/>
    <w:rsid w:val="008245E2"/>
    <w:rsid w:val="008257CA"/>
    <w:rsid w:val="00827EC2"/>
    <w:rsid w:val="008301E7"/>
    <w:rsid w:val="00831483"/>
    <w:rsid w:val="0083313E"/>
    <w:rsid w:val="008344B4"/>
    <w:rsid w:val="008344F6"/>
    <w:rsid w:val="0083510F"/>
    <w:rsid w:val="008366CD"/>
    <w:rsid w:val="00836890"/>
    <w:rsid w:val="00837C0C"/>
    <w:rsid w:val="00840C6C"/>
    <w:rsid w:val="00840D87"/>
    <w:rsid w:val="00840FCC"/>
    <w:rsid w:val="00843C59"/>
    <w:rsid w:val="008445D3"/>
    <w:rsid w:val="00845396"/>
    <w:rsid w:val="0084750E"/>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B12"/>
    <w:rsid w:val="00883FB8"/>
    <w:rsid w:val="00884D30"/>
    <w:rsid w:val="0088604D"/>
    <w:rsid w:val="00886662"/>
    <w:rsid w:val="00886BAB"/>
    <w:rsid w:val="00886CEC"/>
    <w:rsid w:val="00886FA8"/>
    <w:rsid w:val="00887EBF"/>
    <w:rsid w:val="008906A9"/>
    <w:rsid w:val="008909FD"/>
    <w:rsid w:val="00890E9F"/>
    <w:rsid w:val="00892DDA"/>
    <w:rsid w:val="008934F4"/>
    <w:rsid w:val="00895878"/>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F4B"/>
    <w:rsid w:val="008C094A"/>
    <w:rsid w:val="008C1D7C"/>
    <w:rsid w:val="008C1FE0"/>
    <w:rsid w:val="008C4B09"/>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37FA"/>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90B"/>
    <w:rsid w:val="009A0A73"/>
    <w:rsid w:val="009A0EDF"/>
    <w:rsid w:val="009A14D0"/>
    <w:rsid w:val="009A19DB"/>
    <w:rsid w:val="009A2F14"/>
    <w:rsid w:val="009A3D22"/>
    <w:rsid w:val="009A4283"/>
    <w:rsid w:val="009A4B08"/>
    <w:rsid w:val="009A574C"/>
    <w:rsid w:val="009A6D69"/>
    <w:rsid w:val="009A7DE6"/>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41F4"/>
    <w:rsid w:val="00A04451"/>
    <w:rsid w:val="00A04F9F"/>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455D"/>
    <w:rsid w:val="00A94D89"/>
    <w:rsid w:val="00A956AD"/>
    <w:rsid w:val="00A96CE0"/>
    <w:rsid w:val="00A971A0"/>
    <w:rsid w:val="00AA05AF"/>
    <w:rsid w:val="00AA0C1B"/>
    <w:rsid w:val="00AA0CEB"/>
    <w:rsid w:val="00AA12D3"/>
    <w:rsid w:val="00AA1BC1"/>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E65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A02"/>
    <w:rsid w:val="00B52EC8"/>
    <w:rsid w:val="00B55C24"/>
    <w:rsid w:val="00B56CF6"/>
    <w:rsid w:val="00B56E03"/>
    <w:rsid w:val="00B6278D"/>
    <w:rsid w:val="00B62BB5"/>
    <w:rsid w:val="00B63E2C"/>
    <w:rsid w:val="00B64C5A"/>
    <w:rsid w:val="00B64DF7"/>
    <w:rsid w:val="00B652AF"/>
    <w:rsid w:val="00B65ABB"/>
    <w:rsid w:val="00B65CAC"/>
    <w:rsid w:val="00B66E74"/>
    <w:rsid w:val="00B673A4"/>
    <w:rsid w:val="00B67C95"/>
    <w:rsid w:val="00B67E25"/>
    <w:rsid w:val="00B700CA"/>
    <w:rsid w:val="00B70A7F"/>
    <w:rsid w:val="00B70B77"/>
    <w:rsid w:val="00B70CA5"/>
    <w:rsid w:val="00B7397E"/>
    <w:rsid w:val="00B73C3A"/>
    <w:rsid w:val="00B752C5"/>
    <w:rsid w:val="00B8080B"/>
    <w:rsid w:val="00B82845"/>
    <w:rsid w:val="00B85D8A"/>
    <w:rsid w:val="00B87C39"/>
    <w:rsid w:val="00B87DD6"/>
    <w:rsid w:val="00B904FF"/>
    <w:rsid w:val="00B91249"/>
    <w:rsid w:val="00B913F3"/>
    <w:rsid w:val="00B91BE8"/>
    <w:rsid w:val="00B92CD5"/>
    <w:rsid w:val="00B94260"/>
    <w:rsid w:val="00B956D7"/>
    <w:rsid w:val="00B95B0D"/>
    <w:rsid w:val="00BA1F27"/>
    <w:rsid w:val="00BA2E61"/>
    <w:rsid w:val="00BA2FAC"/>
    <w:rsid w:val="00BA390A"/>
    <w:rsid w:val="00BA3992"/>
    <w:rsid w:val="00BA4665"/>
    <w:rsid w:val="00BA50DC"/>
    <w:rsid w:val="00BA5D97"/>
    <w:rsid w:val="00BA621C"/>
    <w:rsid w:val="00BB127C"/>
    <w:rsid w:val="00BB13A3"/>
    <w:rsid w:val="00BB20BA"/>
    <w:rsid w:val="00BB20C6"/>
    <w:rsid w:val="00BB2FB2"/>
    <w:rsid w:val="00BB3304"/>
    <w:rsid w:val="00BB4732"/>
    <w:rsid w:val="00BB51C2"/>
    <w:rsid w:val="00BB5E51"/>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A67"/>
    <w:rsid w:val="00BC6DF0"/>
    <w:rsid w:val="00BD0BD0"/>
    <w:rsid w:val="00BD10B4"/>
    <w:rsid w:val="00BD10D7"/>
    <w:rsid w:val="00BD1AD7"/>
    <w:rsid w:val="00BD1BCA"/>
    <w:rsid w:val="00BD26AE"/>
    <w:rsid w:val="00BD26EE"/>
    <w:rsid w:val="00BD2803"/>
    <w:rsid w:val="00BD3446"/>
    <w:rsid w:val="00BD412C"/>
    <w:rsid w:val="00BD41BB"/>
    <w:rsid w:val="00BD4E33"/>
    <w:rsid w:val="00BD501B"/>
    <w:rsid w:val="00BD5467"/>
    <w:rsid w:val="00BD6CD4"/>
    <w:rsid w:val="00BD7176"/>
    <w:rsid w:val="00BD71BD"/>
    <w:rsid w:val="00BE053E"/>
    <w:rsid w:val="00BE0F49"/>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1EF"/>
    <w:rsid w:val="00C24398"/>
    <w:rsid w:val="00C248B1"/>
    <w:rsid w:val="00C24CDC"/>
    <w:rsid w:val="00C25A9A"/>
    <w:rsid w:val="00C26CA2"/>
    <w:rsid w:val="00C273A6"/>
    <w:rsid w:val="00C30BBE"/>
    <w:rsid w:val="00C33370"/>
    <w:rsid w:val="00C3355D"/>
    <w:rsid w:val="00C33EE6"/>
    <w:rsid w:val="00C34065"/>
    <w:rsid w:val="00C345D6"/>
    <w:rsid w:val="00C35876"/>
    <w:rsid w:val="00C35BA6"/>
    <w:rsid w:val="00C361EB"/>
    <w:rsid w:val="00C41237"/>
    <w:rsid w:val="00C420D7"/>
    <w:rsid w:val="00C420EB"/>
    <w:rsid w:val="00C424B7"/>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7E"/>
    <w:rsid w:val="00C933A4"/>
    <w:rsid w:val="00C944D6"/>
    <w:rsid w:val="00C9478B"/>
    <w:rsid w:val="00C94A8E"/>
    <w:rsid w:val="00C950AF"/>
    <w:rsid w:val="00C961E2"/>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B698F"/>
    <w:rsid w:val="00CC0792"/>
    <w:rsid w:val="00CC1AC0"/>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B01"/>
    <w:rsid w:val="00CE4BD5"/>
    <w:rsid w:val="00CE6345"/>
    <w:rsid w:val="00CE65C9"/>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6F5E"/>
    <w:rsid w:val="00D1773B"/>
    <w:rsid w:val="00D17AFC"/>
    <w:rsid w:val="00D2067B"/>
    <w:rsid w:val="00D20A9A"/>
    <w:rsid w:val="00D22BD4"/>
    <w:rsid w:val="00D22E23"/>
    <w:rsid w:val="00D2306D"/>
    <w:rsid w:val="00D250AC"/>
    <w:rsid w:val="00D270E1"/>
    <w:rsid w:val="00D30505"/>
    <w:rsid w:val="00D323D0"/>
    <w:rsid w:val="00D32767"/>
    <w:rsid w:val="00D33489"/>
    <w:rsid w:val="00D33F61"/>
    <w:rsid w:val="00D372FA"/>
    <w:rsid w:val="00D40B44"/>
    <w:rsid w:val="00D41446"/>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57D7E"/>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72A"/>
    <w:rsid w:val="00D76DC7"/>
    <w:rsid w:val="00D77C40"/>
    <w:rsid w:val="00D80893"/>
    <w:rsid w:val="00D81B2D"/>
    <w:rsid w:val="00D839A7"/>
    <w:rsid w:val="00D83BFF"/>
    <w:rsid w:val="00D83DD9"/>
    <w:rsid w:val="00D84797"/>
    <w:rsid w:val="00D855CD"/>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2B3"/>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0C20"/>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66DC"/>
    <w:rsid w:val="00EB7D7F"/>
    <w:rsid w:val="00EC05BF"/>
    <w:rsid w:val="00EC0D58"/>
    <w:rsid w:val="00EC10A1"/>
    <w:rsid w:val="00EC24B0"/>
    <w:rsid w:val="00EC2617"/>
    <w:rsid w:val="00EC2A3B"/>
    <w:rsid w:val="00EC317E"/>
    <w:rsid w:val="00EC4173"/>
    <w:rsid w:val="00EC67D4"/>
    <w:rsid w:val="00EC7EB1"/>
    <w:rsid w:val="00ED399F"/>
    <w:rsid w:val="00ED3C5B"/>
    <w:rsid w:val="00ED42E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5AC"/>
    <w:rsid w:val="00F05EAD"/>
    <w:rsid w:val="00F060C8"/>
    <w:rsid w:val="00F0618F"/>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6DB0"/>
    <w:rsid w:val="00F77D49"/>
    <w:rsid w:val="00F8021A"/>
    <w:rsid w:val="00F805F3"/>
    <w:rsid w:val="00F80AA2"/>
    <w:rsid w:val="00F81DFF"/>
    <w:rsid w:val="00F835F8"/>
    <w:rsid w:val="00F83FAD"/>
    <w:rsid w:val="00F87EBA"/>
    <w:rsid w:val="00F90705"/>
    <w:rsid w:val="00F908CD"/>
    <w:rsid w:val="00F90A80"/>
    <w:rsid w:val="00F91F06"/>
    <w:rsid w:val="00F92C0A"/>
    <w:rsid w:val="00F93027"/>
    <w:rsid w:val="00F946BA"/>
    <w:rsid w:val="00F94788"/>
    <w:rsid w:val="00F952A0"/>
    <w:rsid w:val="00F965FC"/>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2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328707-8D7B-4E63-A9A9-4FC89B96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47BB0224</Template>
  <TotalTime>0</TotalTime>
  <Pages>10</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2017-05-10T05:23:00Z</dcterms:created>
  <dcterms:modified xsi:type="dcterms:W3CDTF">2017-05-10T05:23:00Z</dcterms:modified>
</cp:coreProperties>
</file>