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8" w:rsidRPr="002A4EF8" w:rsidRDefault="002A4EF8" w:rsidP="002A4EF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r w:rsidRPr="002A4EF8">
        <w:rPr>
          <w:rFonts w:asciiTheme="minorHAnsi" w:hAnsiTheme="minorHAnsi" w:cstheme="minorHAnsi"/>
          <w:b/>
          <w:noProof/>
          <w:color w:val="FFFFFF" w:themeColor="background1"/>
          <w:sz w:val="36"/>
          <w:szCs w:val="36"/>
          <w:lang w:eastAsia="en-AU"/>
        </w:rPr>
        <w:drawing>
          <wp:anchor distT="0" distB="0" distL="114300" distR="114300" simplePos="0" relativeHeight="251666432" behindDoc="1" locked="0" layoutInCell="1" allowOverlap="1" wp14:anchorId="5DE80046" wp14:editId="285F6EDF">
            <wp:simplePos x="0" y="0"/>
            <wp:positionH relativeFrom="column">
              <wp:posOffset>0</wp:posOffset>
            </wp:positionH>
            <wp:positionV relativeFrom="paragraph">
              <wp:posOffset>7800</wp:posOffset>
            </wp:positionV>
            <wp:extent cx="5693434" cy="923502"/>
            <wp:effectExtent l="0" t="0" r="2540" b="0"/>
            <wp:wrapNone/>
            <wp:docPr id="1" name="Picture 1"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94619" cy="923694"/>
                    </a:xfrm>
                    <a:prstGeom prst="rect">
                      <a:avLst/>
                    </a:prstGeom>
                    <a:noFill/>
                  </pic:spPr>
                </pic:pic>
              </a:graphicData>
            </a:graphic>
            <wp14:sizeRelH relativeFrom="page">
              <wp14:pctWidth>0</wp14:pctWidth>
            </wp14:sizeRelH>
            <wp14:sizeRelV relativeFrom="page">
              <wp14:pctHeight>0</wp14:pctHeight>
            </wp14:sizeRelV>
          </wp:anchor>
        </w:drawing>
      </w:r>
      <w:r w:rsidRPr="002A4EF8">
        <w:rPr>
          <w:rFonts w:asciiTheme="minorHAnsi" w:hAnsiTheme="minorHAnsi" w:cstheme="minorHAnsi"/>
          <w:b/>
          <w:color w:val="FFFFFF" w:themeColor="background1"/>
          <w:sz w:val="36"/>
          <w:szCs w:val="36"/>
        </w:rPr>
        <w:t>Electricity Report</w:t>
      </w:r>
    </w:p>
    <w:p w:rsidR="002A4EF8" w:rsidRDefault="002A4EF8" w:rsidP="002A4EF8"/>
    <w:p w:rsidR="002A4EF8" w:rsidRDefault="002A4EF8" w:rsidP="002A4EF8"/>
    <w:p w:rsidR="002A4EF8" w:rsidRPr="002A4EF8" w:rsidRDefault="00505B5E" w:rsidP="002A4EF8">
      <w:pPr>
        <w:rPr>
          <w:b/>
          <w:sz w:val="36"/>
          <w:szCs w:val="36"/>
        </w:rPr>
      </w:pPr>
      <w:r>
        <w:rPr>
          <w:b/>
          <w:sz w:val="36"/>
          <w:szCs w:val="36"/>
        </w:rPr>
        <w:t>1</w:t>
      </w:r>
      <w:r w:rsidR="002438D9">
        <w:rPr>
          <w:b/>
          <w:sz w:val="36"/>
          <w:szCs w:val="36"/>
        </w:rPr>
        <w:t xml:space="preserve"> – </w:t>
      </w:r>
      <w:r>
        <w:rPr>
          <w:b/>
          <w:sz w:val="36"/>
          <w:szCs w:val="36"/>
        </w:rPr>
        <w:t>7</w:t>
      </w:r>
      <w:r w:rsidR="00356E72">
        <w:rPr>
          <w:b/>
          <w:sz w:val="36"/>
          <w:szCs w:val="36"/>
        </w:rPr>
        <w:t xml:space="preserve"> </w:t>
      </w:r>
      <w:r>
        <w:rPr>
          <w:b/>
          <w:sz w:val="36"/>
          <w:szCs w:val="36"/>
        </w:rPr>
        <w:t>November</w:t>
      </w:r>
      <w:r w:rsidR="002A4EF8" w:rsidRPr="002A4EF8">
        <w:rPr>
          <w:b/>
          <w:sz w:val="36"/>
          <w:szCs w:val="36"/>
        </w:rPr>
        <w:t xml:space="preserve"> 2015</w:t>
      </w:r>
    </w:p>
    <w:p w:rsidR="00275002" w:rsidRPr="000E2946" w:rsidRDefault="00275002" w:rsidP="000E2946">
      <w:pPr>
        <w:pStyle w:val="AERHeading1"/>
      </w:pPr>
      <w:r w:rsidRPr="000E2946">
        <w:t>Introduction</w:t>
      </w:r>
    </w:p>
    <w:p w:rsidR="00275002" w:rsidRPr="00215E19" w:rsidRDefault="00275002" w:rsidP="00215E19">
      <w:pPr>
        <w:pStyle w:val="AERbodytext"/>
        <w:spacing w:before="120" w:after="120"/>
        <w:rPr>
          <w:bCs/>
          <w:lang w:eastAsia="en-AU"/>
        </w:rPr>
      </w:pPr>
      <w:r w:rsidRPr="00215E19">
        <w:rPr>
          <w:bCs/>
          <w:lang w:eastAsia="en-AU"/>
        </w:rPr>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31019A" w:rsidRDefault="00275002" w:rsidP="000E2946">
      <w:pPr>
        <w:pStyle w:val="AERHeading1"/>
      </w:pPr>
      <w:r w:rsidRPr="0031019A">
        <w:t>Spot market prices</w:t>
      </w:r>
    </w:p>
    <w:p w:rsidR="00275002" w:rsidRPr="00215E19" w:rsidRDefault="001D0CE3" w:rsidP="00215E19">
      <w:pPr>
        <w:pStyle w:val="AERbodytext"/>
        <w:spacing w:before="120" w:after="120"/>
        <w:rPr>
          <w:bCs/>
          <w:lang w:eastAsia="en-AU"/>
        </w:rPr>
      </w:pPr>
      <w:r w:rsidRPr="00215E19">
        <w:rPr>
          <w:bCs/>
          <w:lang w:eastAsia="en-AU"/>
        </w:rPr>
        <w:fldChar w:fldCharType="begin"/>
      </w:r>
      <w:r w:rsidRPr="00215E19">
        <w:rPr>
          <w:bCs/>
          <w:lang w:eastAsia="en-AU"/>
        </w:rPr>
        <w:instrText xml:space="preserve"> REF _Ref410382491 \h </w:instrText>
      </w:r>
      <w:r w:rsidR="00215E19">
        <w:rPr>
          <w:bCs/>
          <w:lang w:eastAsia="en-AU"/>
        </w:rPr>
        <w:instrText xml:space="preserve"> \* MERGEFORMAT </w:instrText>
      </w:r>
      <w:r w:rsidRPr="00215E19">
        <w:rPr>
          <w:bCs/>
          <w:lang w:eastAsia="en-AU"/>
        </w:rPr>
      </w:r>
      <w:r w:rsidRPr="00215E19">
        <w:rPr>
          <w:bCs/>
          <w:lang w:eastAsia="en-AU"/>
        </w:rPr>
        <w:fldChar w:fldCharType="separate"/>
      </w:r>
      <w:r w:rsidR="009829BD" w:rsidRPr="009829BD">
        <w:rPr>
          <w:bCs/>
          <w:lang w:eastAsia="en-AU"/>
        </w:rPr>
        <w:t>Figure 1</w:t>
      </w:r>
      <w:r w:rsidRPr="00215E19">
        <w:rPr>
          <w:bCs/>
          <w:lang w:eastAsia="en-AU"/>
        </w:rPr>
        <w:fldChar w:fldCharType="end"/>
      </w:r>
      <w:r w:rsidRPr="00215E19">
        <w:rPr>
          <w:bCs/>
          <w:lang w:eastAsia="en-AU"/>
        </w:rPr>
        <w:t xml:space="preserve"> </w:t>
      </w:r>
      <w:r w:rsidR="00AF7058" w:rsidRPr="00215E19">
        <w:rPr>
          <w:bCs/>
          <w:lang w:eastAsia="en-AU"/>
        </w:rPr>
        <w:t xml:space="preserve">shows the spot prices that occurred in each region during the week </w:t>
      </w:r>
      <w:r w:rsidR="000E55C7">
        <w:rPr>
          <w:bCs/>
          <w:lang w:eastAsia="en-AU"/>
        </w:rPr>
        <w:t>1</w:t>
      </w:r>
      <w:r w:rsidR="00D01726">
        <w:rPr>
          <w:bCs/>
          <w:lang w:eastAsia="en-AU"/>
        </w:rPr>
        <w:t> </w:t>
      </w:r>
      <w:r w:rsidR="000E55C7">
        <w:rPr>
          <w:bCs/>
          <w:lang w:eastAsia="en-AU"/>
        </w:rPr>
        <w:t>to</w:t>
      </w:r>
      <w:r w:rsidR="00D01726">
        <w:rPr>
          <w:bCs/>
          <w:lang w:eastAsia="en-AU"/>
        </w:rPr>
        <w:t> </w:t>
      </w:r>
      <w:r w:rsidR="00505B5E">
        <w:rPr>
          <w:bCs/>
          <w:lang w:eastAsia="en-AU"/>
        </w:rPr>
        <w:t>7</w:t>
      </w:r>
      <w:r w:rsidR="00D01726">
        <w:rPr>
          <w:bCs/>
          <w:lang w:eastAsia="en-AU"/>
        </w:rPr>
        <w:t> N</w:t>
      </w:r>
      <w:r w:rsidR="00505B5E">
        <w:rPr>
          <w:bCs/>
          <w:lang w:eastAsia="en-AU"/>
        </w:rPr>
        <w:t>ovember</w:t>
      </w:r>
      <w:r w:rsidR="00760FD8" w:rsidRPr="00215E19">
        <w:rPr>
          <w:bCs/>
          <w:lang w:eastAsia="en-AU"/>
        </w:rPr>
        <w:t xml:space="preserve"> </w:t>
      </w:r>
      <w:r w:rsidR="00AF7058" w:rsidRPr="00215E19">
        <w:rPr>
          <w:bCs/>
          <w:lang w:eastAsia="en-AU"/>
        </w:rPr>
        <w:t xml:space="preserve">2015. </w:t>
      </w:r>
    </w:p>
    <w:p w:rsidR="00BF4639" w:rsidRDefault="00275002" w:rsidP="00405B42">
      <w:pPr>
        <w:pStyle w:val="Caption"/>
      </w:pPr>
      <w:bookmarkStart w:id="6" w:name="_Ref410382491"/>
      <w:bookmarkStart w:id="7" w:name="OLE_LINK28"/>
      <w:bookmarkStart w:id="8" w:name="OLE_LINK29"/>
      <w:r w:rsidRPr="000E2946">
        <w:t xml:space="preserve">Figure </w:t>
      </w:r>
      <w:fldSimple w:instr=" SEQ Figure \* ARABIC ">
        <w:r w:rsidR="009829BD">
          <w:rPr>
            <w:noProof/>
          </w:rPr>
          <w:t>1</w:t>
        </w:r>
      </w:fldSimple>
      <w:bookmarkEnd w:id="6"/>
      <w:r w:rsidRPr="000E2946">
        <w:t>: Spot price by region ($/MWh)</w:t>
      </w:r>
    </w:p>
    <w:p w:rsidR="00275002" w:rsidRPr="00215E19" w:rsidRDefault="00CC2CA1" w:rsidP="00215E19">
      <w:pPr>
        <w:pStyle w:val="Caption"/>
        <w:rPr>
          <w:bCs w:val="0"/>
          <w:lang w:eastAsia="en-AU"/>
        </w:rPr>
      </w:pPr>
      <w:r w:rsidRPr="00CC2CA1">
        <w:rPr>
          <w:noProof/>
          <w:lang w:eastAsia="en-AU"/>
        </w:rPr>
        <w:drawing>
          <wp:inline distT="0" distB="0" distL="0" distR="0" wp14:anchorId="702D3AFF" wp14:editId="123D4E9D">
            <wp:extent cx="5731510" cy="3156536"/>
            <wp:effectExtent l="0" t="0" r="2540" b="6350"/>
            <wp:docPr id="3" name="Picture 3" descr="Figure 1 shows the spot prices for this week in each region. The markers indicate the daily maximum and minimum spot prices in each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156536"/>
                    </a:xfrm>
                    <a:prstGeom prst="rect">
                      <a:avLst/>
                    </a:prstGeom>
                    <a:noFill/>
                    <a:ln>
                      <a:noFill/>
                    </a:ln>
                  </pic:spPr>
                </pic:pic>
              </a:graphicData>
            </a:graphic>
          </wp:inline>
        </w:drawing>
      </w:r>
    </w:p>
    <w:p w:rsidR="00215E19" w:rsidRDefault="00215E19">
      <w:pPr>
        <w:spacing w:line="240" w:lineRule="auto"/>
      </w:pPr>
      <w:r>
        <w:br w:type="page"/>
      </w:r>
    </w:p>
    <w:p w:rsidR="00275002" w:rsidRPr="00215E19" w:rsidRDefault="00275002" w:rsidP="00215E19">
      <w:pPr>
        <w:pStyle w:val="AERbodytext"/>
        <w:spacing w:before="120" w:after="120"/>
        <w:rPr>
          <w:bCs/>
          <w:lang w:eastAsia="en-AU"/>
        </w:rPr>
      </w:pPr>
      <w:r w:rsidRPr="00215E19">
        <w:rPr>
          <w:bCs/>
          <w:lang w:eastAsia="en-AU"/>
        </w:rPr>
        <w:lastRenderedPageBreak/>
        <w:fldChar w:fldCharType="begin"/>
      </w:r>
      <w:r w:rsidRPr="00215E19">
        <w:rPr>
          <w:bCs/>
          <w:lang w:eastAsia="en-AU"/>
        </w:rPr>
        <w:instrText xml:space="preserve"> REF _Ref410382517 \h </w:instrText>
      </w:r>
      <w:r w:rsidR="009A3D22" w:rsidRPr="00215E19">
        <w:rPr>
          <w:bCs/>
          <w:lang w:eastAsia="en-AU"/>
        </w:rPr>
        <w:instrText xml:space="preserve"> \* MERGEFORMAT </w:instrText>
      </w:r>
      <w:r w:rsidRPr="00215E19">
        <w:rPr>
          <w:bCs/>
          <w:lang w:eastAsia="en-AU"/>
        </w:rPr>
      </w:r>
      <w:r w:rsidRPr="00215E19">
        <w:rPr>
          <w:bCs/>
          <w:lang w:eastAsia="en-AU"/>
        </w:rPr>
        <w:fldChar w:fldCharType="separate"/>
      </w:r>
      <w:r w:rsidR="009829BD" w:rsidRPr="009829BD">
        <w:rPr>
          <w:bCs/>
          <w:lang w:eastAsia="en-AU"/>
        </w:rPr>
        <w:t>Figure 2</w:t>
      </w:r>
      <w:r w:rsidRPr="00215E19">
        <w:rPr>
          <w:bCs/>
          <w:lang w:eastAsia="en-AU"/>
        </w:rPr>
        <w:fldChar w:fldCharType="end"/>
      </w:r>
      <w:r w:rsidRPr="00215E19">
        <w:rPr>
          <w:bCs/>
          <w:lang w:eastAsia="en-AU"/>
        </w:rPr>
        <w:t xml:space="preserve"> shows the volume weighted average (VWA) prices for the current week (with prices shown in </w:t>
      </w:r>
      <w:r w:rsidRPr="00215E19">
        <w:rPr>
          <w:bCs/>
          <w:lang w:eastAsia="en-AU"/>
        </w:rPr>
        <w:fldChar w:fldCharType="begin"/>
      </w:r>
      <w:r w:rsidRPr="00215E19">
        <w:rPr>
          <w:bCs/>
          <w:lang w:eastAsia="en-AU"/>
        </w:rPr>
        <w:instrText xml:space="preserve"> REF _Ref410382587 \h </w:instrText>
      </w:r>
      <w:r w:rsidR="009A3D22" w:rsidRPr="00215E19">
        <w:rPr>
          <w:bCs/>
          <w:lang w:eastAsia="en-AU"/>
        </w:rPr>
        <w:instrText xml:space="preserve"> \* MERGEFORMAT </w:instrText>
      </w:r>
      <w:r w:rsidRPr="00215E19">
        <w:rPr>
          <w:bCs/>
          <w:lang w:eastAsia="en-AU"/>
        </w:rPr>
      </w:r>
      <w:r w:rsidRPr="00215E19">
        <w:rPr>
          <w:bCs/>
          <w:lang w:eastAsia="en-AU"/>
        </w:rPr>
        <w:fldChar w:fldCharType="separate"/>
      </w:r>
      <w:r w:rsidR="009829BD" w:rsidRPr="009829BD">
        <w:rPr>
          <w:bCs/>
          <w:lang w:eastAsia="en-AU"/>
        </w:rPr>
        <w:t>Table 1</w:t>
      </w:r>
      <w:r w:rsidRPr="00215E19">
        <w:rPr>
          <w:bCs/>
          <w:lang w:eastAsia="en-AU"/>
        </w:rPr>
        <w:fldChar w:fldCharType="end"/>
      </w:r>
      <w:r w:rsidRPr="00215E19">
        <w:rPr>
          <w:bCs/>
          <w:lang w:eastAsia="en-AU"/>
        </w:rPr>
        <w:t>) and the preceding 12 weeks, as well as the VWA price over the previous 3 financial years</w:t>
      </w:r>
      <w:r w:rsidR="00762D41" w:rsidRPr="00215E19">
        <w:rPr>
          <w:bCs/>
          <w:lang w:eastAsia="en-AU"/>
        </w:rPr>
        <w:t>.</w:t>
      </w:r>
    </w:p>
    <w:p w:rsidR="00275002" w:rsidRDefault="00275002" w:rsidP="000E2946">
      <w:pPr>
        <w:pStyle w:val="Caption"/>
      </w:pPr>
      <w:bookmarkStart w:id="9" w:name="_Ref410382517"/>
      <w:r>
        <w:t xml:space="preserve">Figure </w:t>
      </w:r>
      <w:fldSimple w:instr=" SEQ Figure \* ARABIC ">
        <w:r w:rsidR="009829BD">
          <w:rPr>
            <w:noProof/>
          </w:rPr>
          <w:t>2</w:t>
        </w:r>
      </w:fldSimple>
      <w:bookmarkEnd w:id="9"/>
      <w:r>
        <w:t>:</w:t>
      </w:r>
      <w:r w:rsidRPr="00037176">
        <w:t xml:space="preserve"> Volume weighted average spot price by region ($/MWh)</w:t>
      </w:r>
    </w:p>
    <w:p w:rsidR="001F22EE" w:rsidRPr="001F22EE" w:rsidRDefault="00CC2CA1" w:rsidP="001F22EE">
      <w:r w:rsidRPr="00CC2CA1">
        <w:rPr>
          <w:noProof/>
          <w:lang w:eastAsia="en-AU"/>
        </w:rPr>
        <w:drawing>
          <wp:inline distT="0" distB="0" distL="0" distR="0" wp14:anchorId="54FD87D1" wp14:editId="1D505244">
            <wp:extent cx="5731510" cy="2858405"/>
            <wp:effectExtent l="0" t="0" r="2540" b="0"/>
            <wp:docPr id="4" name="Picture 4" descr="Figure 2 shows the volume weighted average (VWA) prices for this week (with prices shown in Table 1) and the preceding 12 weeks, as well as the VWA price over the previous 3 financial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858405"/>
                    </a:xfrm>
                    <a:prstGeom prst="rect">
                      <a:avLst/>
                    </a:prstGeom>
                    <a:noFill/>
                    <a:ln>
                      <a:noFill/>
                    </a:ln>
                  </pic:spPr>
                </pic:pic>
              </a:graphicData>
            </a:graphic>
          </wp:inline>
        </w:drawing>
      </w:r>
    </w:p>
    <w:p w:rsidR="00275002" w:rsidRPr="0031019A" w:rsidRDefault="00275002" w:rsidP="00275002"/>
    <w:p w:rsidR="00275002" w:rsidRPr="0031019A" w:rsidRDefault="00275002" w:rsidP="000E2946">
      <w:pPr>
        <w:pStyle w:val="Caption"/>
      </w:pPr>
      <w:bookmarkStart w:id="10" w:name="_Ref410382587"/>
      <w:r>
        <w:t xml:space="preserve">Table </w:t>
      </w:r>
      <w:fldSimple w:instr=" SEQ Table \* ARABIC ">
        <w:r w:rsidR="009829BD">
          <w:rPr>
            <w:noProof/>
          </w:rPr>
          <w:t>1</w:t>
        </w:r>
      </w:fldSimple>
      <w:bookmarkEnd w:id="10"/>
      <w:r w:rsidRPr="00731409">
        <w:t>: Volume weighted average spot prices by region ($/MWh)</w:t>
      </w:r>
    </w:p>
    <w:tbl>
      <w:tblPr>
        <w:tblStyle w:val="AERTable-Text"/>
        <w:tblW w:w="5000" w:type="pct"/>
        <w:tblLook w:val="04A0" w:firstRow="1" w:lastRow="0" w:firstColumn="1" w:lastColumn="0" w:noHBand="0" w:noVBand="1"/>
      </w:tblPr>
      <w:tblGrid>
        <w:gridCol w:w="2509"/>
        <w:gridCol w:w="1346"/>
        <w:gridCol w:w="1347"/>
        <w:gridCol w:w="1346"/>
        <w:gridCol w:w="1347"/>
        <w:gridCol w:w="1347"/>
      </w:tblGrid>
      <w:tr w:rsidR="00B92CD5" w:rsidRPr="000E2946" w:rsidTr="009E6668">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B92CD5" w:rsidRDefault="00B92CD5" w:rsidP="009B21F2">
            <w:pPr>
              <w:spacing w:before="0" w:after="0"/>
              <w:jc w:val="center"/>
              <w:rPr>
                <w:sz w:val="20"/>
              </w:rPr>
            </w:pPr>
            <w:r w:rsidRPr="00B92CD5">
              <w:rPr>
                <w:sz w:val="20"/>
              </w:rPr>
              <w:t>Region</w:t>
            </w:r>
          </w:p>
        </w:tc>
        <w:tc>
          <w:tcPr>
            <w:tcW w:w="728" w:type="pct"/>
            <w:noWrap/>
            <w:vAlign w:val="center"/>
            <w:hideMark/>
          </w:tcPr>
          <w:p w:rsidR="00B92CD5" w:rsidRPr="00B92CD5" w:rsidRDefault="00B92CD5" w:rsidP="009B21F2">
            <w:pPr>
              <w:spacing w:before="0" w:after="0"/>
              <w:jc w:val="center"/>
              <w:rPr>
                <w:sz w:val="20"/>
              </w:rPr>
            </w:pPr>
            <w:r w:rsidRPr="00B92CD5">
              <w:rPr>
                <w:sz w:val="20"/>
              </w:rPr>
              <w:t>Qld</w:t>
            </w:r>
          </w:p>
        </w:tc>
        <w:tc>
          <w:tcPr>
            <w:tcW w:w="729" w:type="pct"/>
            <w:noWrap/>
            <w:vAlign w:val="center"/>
            <w:hideMark/>
          </w:tcPr>
          <w:p w:rsidR="00B92CD5" w:rsidRPr="00B92CD5" w:rsidRDefault="00B92CD5" w:rsidP="009B21F2">
            <w:pPr>
              <w:spacing w:before="0" w:after="0"/>
              <w:jc w:val="center"/>
              <w:rPr>
                <w:sz w:val="20"/>
              </w:rPr>
            </w:pPr>
            <w:r w:rsidRPr="00B92CD5">
              <w:rPr>
                <w:sz w:val="20"/>
              </w:rPr>
              <w:t>NSW</w:t>
            </w:r>
          </w:p>
        </w:tc>
        <w:tc>
          <w:tcPr>
            <w:tcW w:w="728" w:type="pct"/>
            <w:noWrap/>
            <w:vAlign w:val="center"/>
            <w:hideMark/>
          </w:tcPr>
          <w:p w:rsidR="00B92CD5" w:rsidRPr="00B92CD5" w:rsidRDefault="00B92CD5" w:rsidP="009B21F2">
            <w:pPr>
              <w:spacing w:before="0" w:after="0"/>
              <w:jc w:val="center"/>
              <w:rPr>
                <w:sz w:val="20"/>
              </w:rPr>
            </w:pPr>
            <w:r w:rsidRPr="00B92CD5">
              <w:rPr>
                <w:sz w:val="20"/>
              </w:rPr>
              <w:t>Vic</w:t>
            </w:r>
          </w:p>
        </w:tc>
        <w:tc>
          <w:tcPr>
            <w:tcW w:w="729" w:type="pct"/>
            <w:noWrap/>
            <w:vAlign w:val="center"/>
            <w:hideMark/>
          </w:tcPr>
          <w:p w:rsidR="00B92CD5" w:rsidRPr="00B92CD5" w:rsidRDefault="00B92CD5" w:rsidP="009B21F2">
            <w:pPr>
              <w:spacing w:before="0" w:after="0"/>
              <w:jc w:val="center"/>
              <w:rPr>
                <w:sz w:val="20"/>
              </w:rPr>
            </w:pPr>
            <w:r w:rsidRPr="00B92CD5">
              <w:rPr>
                <w:sz w:val="20"/>
              </w:rPr>
              <w:t>SA</w:t>
            </w:r>
          </w:p>
        </w:tc>
        <w:tc>
          <w:tcPr>
            <w:tcW w:w="729" w:type="pct"/>
            <w:noWrap/>
            <w:vAlign w:val="center"/>
            <w:hideMark/>
          </w:tcPr>
          <w:p w:rsidR="00B92CD5" w:rsidRPr="00B92CD5" w:rsidRDefault="00B92CD5" w:rsidP="009B21F2">
            <w:pPr>
              <w:spacing w:before="0" w:after="0"/>
              <w:jc w:val="center"/>
              <w:rPr>
                <w:sz w:val="20"/>
              </w:rPr>
            </w:pPr>
            <w:proofErr w:type="spellStart"/>
            <w:r w:rsidRPr="00B92CD5">
              <w:rPr>
                <w:sz w:val="20"/>
              </w:rPr>
              <w:t>Tas</w:t>
            </w:r>
            <w:proofErr w:type="spellEnd"/>
          </w:p>
        </w:tc>
      </w:tr>
      <w:tr w:rsidR="00CC2CA1" w:rsidRPr="00E35AE8" w:rsidTr="00CC2CA1">
        <w:trPr>
          <w:trHeight w:hRule="exact" w:val="340"/>
        </w:trPr>
        <w:tc>
          <w:tcPr>
            <w:tcW w:w="1357" w:type="pct"/>
            <w:noWrap/>
            <w:vAlign w:val="center"/>
            <w:hideMark/>
          </w:tcPr>
          <w:p w:rsidR="00CC2CA1" w:rsidRPr="009B21F2" w:rsidRDefault="00CC2CA1" w:rsidP="00B65CAC">
            <w:pPr>
              <w:spacing w:before="100" w:beforeAutospacing="1" w:after="100" w:afterAutospacing="1" w:line="240" w:lineRule="auto"/>
              <w:rPr>
                <w:rFonts w:cs="Arial"/>
                <w:sz w:val="20"/>
                <w:szCs w:val="20"/>
              </w:rPr>
            </w:pPr>
            <w:r w:rsidRPr="009B21F2">
              <w:rPr>
                <w:rFonts w:cs="Arial"/>
                <w:sz w:val="20"/>
                <w:szCs w:val="20"/>
              </w:rPr>
              <w:t>Current week</w:t>
            </w:r>
          </w:p>
        </w:tc>
        <w:tc>
          <w:tcPr>
            <w:tcW w:w="728" w:type="pct"/>
            <w:noWrap/>
            <w:vAlign w:val="center"/>
          </w:tcPr>
          <w:p w:rsidR="00CC2CA1" w:rsidRPr="00CC2CA1" w:rsidRDefault="00CC2CA1" w:rsidP="00CC2CA1">
            <w:pPr>
              <w:spacing w:before="0" w:after="0" w:line="240" w:lineRule="auto"/>
              <w:jc w:val="center"/>
              <w:rPr>
                <w:sz w:val="20"/>
                <w:szCs w:val="20"/>
              </w:rPr>
            </w:pPr>
            <w:r w:rsidRPr="00CC2CA1">
              <w:rPr>
                <w:sz w:val="20"/>
                <w:szCs w:val="20"/>
              </w:rPr>
              <w:t>31</w:t>
            </w:r>
          </w:p>
        </w:tc>
        <w:tc>
          <w:tcPr>
            <w:tcW w:w="729" w:type="pct"/>
            <w:noWrap/>
            <w:vAlign w:val="center"/>
          </w:tcPr>
          <w:p w:rsidR="00CC2CA1" w:rsidRPr="00CC2CA1" w:rsidRDefault="00CC2CA1" w:rsidP="00CC2CA1">
            <w:pPr>
              <w:spacing w:before="0" w:after="0" w:line="240" w:lineRule="auto"/>
              <w:jc w:val="center"/>
              <w:rPr>
                <w:sz w:val="20"/>
                <w:szCs w:val="20"/>
              </w:rPr>
            </w:pPr>
            <w:r w:rsidRPr="00CC2CA1">
              <w:rPr>
                <w:sz w:val="20"/>
                <w:szCs w:val="20"/>
              </w:rPr>
              <w:t>34</w:t>
            </w:r>
          </w:p>
        </w:tc>
        <w:tc>
          <w:tcPr>
            <w:tcW w:w="728" w:type="pct"/>
            <w:noWrap/>
            <w:vAlign w:val="center"/>
          </w:tcPr>
          <w:p w:rsidR="00CC2CA1" w:rsidRPr="00CC2CA1" w:rsidRDefault="00CC2CA1" w:rsidP="00CC2CA1">
            <w:pPr>
              <w:spacing w:before="0" w:after="0" w:line="240" w:lineRule="auto"/>
              <w:jc w:val="center"/>
              <w:rPr>
                <w:sz w:val="20"/>
                <w:szCs w:val="20"/>
              </w:rPr>
            </w:pPr>
            <w:r w:rsidRPr="00CC2CA1">
              <w:rPr>
                <w:sz w:val="20"/>
                <w:szCs w:val="20"/>
              </w:rPr>
              <w:t>24</w:t>
            </w:r>
          </w:p>
        </w:tc>
        <w:tc>
          <w:tcPr>
            <w:tcW w:w="729" w:type="pct"/>
            <w:noWrap/>
            <w:vAlign w:val="center"/>
          </w:tcPr>
          <w:p w:rsidR="00CC2CA1" w:rsidRPr="00CC2CA1" w:rsidRDefault="00CC2CA1" w:rsidP="00CC2CA1">
            <w:pPr>
              <w:spacing w:before="0" w:after="0" w:line="240" w:lineRule="auto"/>
              <w:jc w:val="center"/>
              <w:rPr>
                <w:sz w:val="20"/>
                <w:szCs w:val="20"/>
              </w:rPr>
            </w:pPr>
            <w:r w:rsidRPr="00CC2CA1">
              <w:rPr>
                <w:sz w:val="20"/>
                <w:szCs w:val="20"/>
              </w:rPr>
              <w:t>56</w:t>
            </w:r>
          </w:p>
        </w:tc>
        <w:tc>
          <w:tcPr>
            <w:tcW w:w="729" w:type="pct"/>
            <w:noWrap/>
            <w:vAlign w:val="center"/>
          </w:tcPr>
          <w:p w:rsidR="00CC2CA1" w:rsidRPr="00CC2CA1" w:rsidRDefault="00CC2CA1" w:rsidP="00CC2CA1">
            <w:pPr>
              <w:spacing w:before="0" w:after="0" w:line="240" w:lineRule="auto"/>
              <w:jc w:val="center"/>
              <w:rPr>
                <w:sz w:val="20"/>
                <w:szCs w:val="20"/>
              </w:rPr>
            </w:pPr>
            <w:r w:rsidRPr="00CC2CA1">
              <w:rPr>
                <w:sz w:val="20"/>
                <w:szCs w:val="20"/>
              </w:rPr>
              <w:t>72</w:t>
            </w:r>
          </w:p>
        </w:tc>
      </w:tr>
      <w:tr w:rsidR="00CC2CA1" w:rsidRPr="00E35AE8" w:rsidTr="00CC2CA1">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CC2CA1" w:rsidRPr="00B65CAC" w:rsidRDefault="00CC2CA1" w:rsidP="00B65CAC">
            <w:pPr>
              <w:spacing w:before="100" w:beforeAutospacing="1" w:after="100" w:afterAutospacing="1" w:line="240" w:lineRule="auto"/>
              <w:rPr>
                <w:rFonts w:cs="Arial"/>
                <w:bCs/>
                <w:szCs w:val="20"/>
              </w:rPr>
            </w:pPr>
            <w:r w:rsidRPr="00B65CAC">
              <w:rPr>
                <w:rFonts w:cs="Arial"/>
                <w:bCs/>
                <w:szCs w:val="20"/>
              </w:rPr>
              <w:t>14-15 financial YTD</w:t>
            </w:r>
          </w:p>
        </w:tc>
        <w:tc>
          <w:tcPr>
            <w:tcW w:w="728" w:type="pct"/>
            <w:noWrap/>
            <w:vAlign w:val="center"/>
          </w:tcPr>
          <w:p w:rsidR="00CC2CA1" w:rsidRPr="00CC2CA1" w:rsidRDefault="00CC2CA1" w:rsidP="00CC2CA1">
            <w:pPr>
              <w:spacing w:before="0" w:after="0" w:line="240" w:lineRule="auto"/>
              <w:jc w:val="center"/>
              <w:rPr>
                <w:szCs w:val="20"/>
              </w:rPr>
            </w:pPr>
            <w:r w:rsidRPr="00CC2CA1">
              <w:rPr>
                <w:szCs w:val="20"/>
              </w:rPr>
              <w:t>30</w:t>
            </w:r>
          </w:p>
        </w:tc>
        <w:tc>
          <w:tcPr>
            <w:tcW w:w="729" w:type="pct"/>
            <w:noWrap/>
            <w:vAlign w:val="center"/>
          </w:tcPr>
          <w:p w:rsidR="00CC2CA1" w:rsidRPr="00CC2CA1" w:rsidRDefault="00CC2CA1" w:rsidP="00CC2CA1">
            <w:pPr>
              <w:spacing w:before="0" w:after="0" w:line="240" w:lineRule="auto"/>
              <w:jc w:val="center"/>
              <w:rPr>
                <w:szCs w:val="20"/>
              </w:rPr>
            </w:pPr>
            <w:r w:rsidRPr="00CC2CA1">
              <w:rPr>
                <w:szCs w:val="20"/>
              </w:rPr>
              <w:t>38</w:t>
            </w:r>
          </w:p>
        </w:tc>
        <w:tc>
          <w:tcPr>
            <w:tcW w:w="728" w:type="pct"/>
            <w:noWrap/>
            <w:vAlign w:val="center"/>
          </w:tcPr>
          <w:p w:rsidR="00CC2CA1" w:rsidRPr="00CC2CA1" w:rsidRDefault="00CC2CA1" w:rsidP="00CC2CA1">
            <w:pPr>
              <w:spacing w:before="0" w:after="0" w:line="240" w:lineRule="auto"/>
              <w:jc w:val="center"/>
              <w:rPr>
                <w:szCs w:val="20"/>
              </w:rPr>
            </w:pPr>
            <w:r w:rsidRPr="00CC2CA1">
              <w:rPr>
                <w:szCs w:val="20"/>
              </w:rPr>
              <w:t>35</w:t>
            </w:r>
          </w:p>
        </w:tc>
        <w:tc>
          <w:tcPr>
            <w:tcW w:w="729" w:type="pct"/>
            <w:noWrap/>
            <w:vAlign w:val="center"/>
          </w:tcPr>
          <w:p w:rsidR="00CC2CA1" w:rsidRPr="00CC2CA1" w:rsidRDefault="00CC2CA1" w:rsidP="00CC2CA1">
            <w:pPr>
              <w:spacing w:before="0" w:after="0" w:line="240" w:lineRule="auto"/>
              <w:jc w:val="center"/>
              <w:rPr>
                <w:szCs w:val="20"/>
              </w:rPr>
            </w:pPr>
            <w:r w:rsidRPr="00CC2CA1">
              <w:rPr>
                <w:szCs w:val="20"/>
              </w:rPr>
              <w:t>43</w:t>
            </w:r>
          </w:p>
        </w:tc>
        <w:tc>
          <w:tcPr>
            <w:tcW w:w="729" w:type="pct"/>
            <w:noWrap/>
            <w:vAlign w:val="center"/>
          </w:tcPr>
          <w:p w:rsidR="00CC2CA1" w:rsidRPr="00CC2CA1" w:rsidRDefault="00CC2CA1" w:rsidP="00CC2CA1">
            <w:pPr>
              <w:spacing w:before="0" w:after="0" w:line="240" w:lineRule="auto"/>
              <w:jc w:val="center"/>
              <w:rPr>
                <w:szCs w:val="20"/>
              </w:rPr>
            </w:pPr>
            <w:r w:rsidRPr="00CC2CA1">
              <w:rPr>
                <w:szCs w:val="20"/>
              </w:rPr>
              <w:t>36</w:t>
            </w:r>
          </w:p>
        </w:tc>
      </w:tr>
      <w:tr w:rsidR="00CC2CA1" w:rsidRPr="00E35AE8" w:rsidTr="00CC2CA1">
        <w:trPr>
          <w:trHeight w:hRule="exact" w:val="340"/>
        </w:trPr>
        <w:tc>
          <w:tcPr>
            <w:tcW w:w="1357" w:type="pct"/>
            <w:noWrap/>
            <w:vAlign w:val="center"/>
            <w:hideMark/>
          </w:tcPr>
          <w:p w:rsidR="00CC2CA1" w:rsidRPr="00B65CAC" w:rsidRDefault="00CC2CA1" w:rsidP="00B65CAC">
            <w:pPr>
              <w:spacing w:before="100" w:beforeAutospacing="1" w:after="100" w:afterAutospacing="1" w:line="240" w:lineRule="auto"/>
              <w:rPr>
                <w:rFonts w:cs="Arial"/>
                <w:bCs/>
                <w:sz w:val="20"/>
                <w:szCs w:val="20"/>
              </w:rPr>
            </w:pPr>
            <w:r w:rsidRPr="00B65CAC">
              <w:rPr>
                <w:rFonts w:cs="Arial"/>
                <w:bCs/>
                <w:sz w:val="20"/>
                <w:szCs w:val="20"/>
              </w:rPr>
              <w:t>15-16 financial YTD</w:t>
            </w:r>
          </w:p>
        </w:tc>
        <w:tc>
          <w:tcPr>
            <w:tcW w:w="728" w:type="pct"/>
            <w:noWrap/>
            <w:vAlign w:val="center"/>
          </w:tcPr>
          <w:p w:rsidR="00CC2CA1" w:rsidRPr="00CC2CA1" w:rsidRDefault="00CC2CA1" w:rsidP="00CC2CA1">
            <w:pPr>
              <w:spacing w:before="0" w:after="0" w:line="240" w:lineRule="auto"/>
              <w:jc w:val="center"/>
              <w:rPr>
                <w:sz w:val="20"/>
                <w:szCs w:val="20"/>
              </w:rPr>
            </w:pPr>
            <w:r w:rsidRPr="00CC2CA1">
              <w:rPr>
                <w:sz w:val="20"/>
                <w:szCs w:val="20"/>
              </w:rPr>
              <w:t>43</w:t>
            </w:r>
          </w:p>
        </w:tc>
        <w:tc>
          <w:tcPr>
            <w:tcW w:w="729" w:type="pct"/>
            <w:noWrap/>
            <w:vAlign w:val="center"/>
          </w:tcPr>
          <w:p w:rsidR="00CC2CA1" w:rsidRPr="00CC2CA1" w:rsidRDefault="00CC2CA1" w:rsidP="00CC2CA1">
            <w:pPr>
              <w:spacing w:before="0" w:after="0" w:line="240" w:lineRule="auto"/>
              <w:jc w:val="center"/>
              <w:rPr>
                <w:sz w:val="20"/>
                <w:szCs w:val="20"/>
              </w:rPr>
            </w:pPr>
            <w:r w:rsidRPr="00CC2CA1">
              <w:rPr>
                <w:sz w:val="20"/>
                <w:szCs w:val="20"/>
              </w:rPr>
              <w:t>44</w:t>
            </w:r>
          </w:p>
        </w:tc>
        <w:tc>
          <w:tcPr>
            <w:tcW w:w="728" w:type="pct"/>
            <w:noWrap/>
            <w:vAlign w:val="center"/>
          </w:tcPr>
          <w:p w:rsidR="00CC2CA1" w:rsidRPr="00CC2CA1" w:rsidRDefault="00CC2CA1" w:rsidP="00CC2CA1">
            <w:pPr>
              <w:spacing w:before="0" w:after="0" w:line="240" w:lineRule="auto"/>
              <w:jc w:val="center"/>
              <w:rPr>
                <w:sz w:val="20"/>
                <w:szCs w:val="20"/>
              </w:rPr>
            </w:pPr>
            <w:r w:rsidRPr="00CC2CA1">
              <w:rPr>
                <w:sz w:val="20"/>
                <w:szCs w:val="20"/>
              </w:rPr>
              <w:t>38</w:t>
            </w:r>
          </w:p>
        </w:tc>
        <w:tc>
          <w:tcPr>
            <w:tcW w:w="729" w:type="pct"/>
            <w:noWrap/>
            <w:vAlign w:val="center"/>
          </w:tcPr>
          <w:p w:rsidR="00CC2CA1" w:rsidRPr="00CC2CA1" w:rsidRDefault="00CC2CA1" w:rsidP="00CC2CA1">
            <w:pPr>
              <w:spacing w:before="0" w:after="0" w:line="240" w:lineRule="auto"/>
              <w:jc w:val="center"/>
              <w:rPr>
                <w:sz w:val="20"/>
                <w:szCs w:val="20"/>
              </w:rPr>
            </w:pPr>
            <w:r w:rsidRPr="00CC2CA1">
              <w:rPr>
                <w:sz w:val="20"/>
                <w:szCs w:val="20"/>
              </w:rPr>
              <w:t>63</w:t>
            </w:r>
          </w:p>
        </w:tc>
        <w:tc>
          <w:tcPr>
            <w:tcW w:w="729" w:type="pct"/>
            <w:noWrap/>
            <w:vAlign w:val="center"/>
          </w:tcPr>
          <w:p w:rsidR="00CC2CA1" w:rsidRPr="00CC2CA1" w:rsidRDefault="00CC2CA1" w:rsidP="00CC2CA1">
            <w:pPr>
              <w:spacing w:before="0" w:after="0" w:line="240" w:lineRule="auto"/>
              <w:jc w:val="center"/>
              <w:rPr>
                <w:sz w:val="20"/>
                <w:szCs w:val="20"/>
              </w:rPr>
            </w:pPr>
            <w:r w:rsidRPr="00CC2CA1">
              <w:rPr>
                <w:sz w:val="20"/>
                <w:szCs w:val="20"/>
              </w:rPr>
              <w:t>44</w:t>
            </w:r>
          </w:p>
        </w:tc>
      </w:tr>
    </w:tbl>
    <w:p w:rsidR="00275002" w:rsidRPr="00086CF3" w:rsidRDefault="00275002" w:rsidP="00EF3FB8">
      <w:pPr>
        <w:spacing w:before="120" w:after="120"/>
        <w:rPr>
          <w:sz w:val="18"/>
          <w:szCs w:val="18"/>
        </w:rPr>
      </w:pPr>
      <w:r w:rsidRPr="00086CF3">
        <w:rPr>
          <w:rFonts w:cs="Arial"/>
          <w:sz w:val="18"/>
          <w:szCs w:val="18"/>
        </w:rPr>
        <w:t xml:space="preserve">Longer-term statistics tracking average spot market prices are available on the </w:t>
      </w:r>
      <w:hyperlink r:id="rId13" w:history="1">
        <w:r w:rsidRPr="00086CF3">
          <w:rPr>
            <w:rStyle w:val="Hyperlink"/>
            <w:sz w:val="18"/>
            <w:szCs w:val="18"/>
          </w:rPr>
          <w:t>AER website</w:t>
        </w:r>
      </w:hyperlink>
      <w:r w:rsidRPr="00086CF3">
        <w:rPr>
          <w:sz w:val="18"/>
          <w:szCs w:val="18"/>
        </w:rPr>
        <w:t xml:space="preserve">. </w:t>
      </w:r>
    </w:p>
    <w:bookmarkEnd w:id="7"/>
    <w:bookmarkEnd w:id="8"/>
    <w:p w:rsidR="00275002" w:rsidRPr="0031019A" w:rsidRDefault="00275002" w:rsidP="000E2946">
      <w:pPr>
        <w:pStyle w:val="AERHeading1"/>
      </w:pPr>
      <w:r w:rsidRPr="0031019A">
        <w:t>Spot market price forecast variations</w:t>
      </w:r>
    </w:p>
    <w:p w:rsidR="00275002" w:rsidRPr="00215E19" w:rsidRDefault="00275002" w:rsidP="00215E19">
      <w:pPr>
        <w:pStyle w:val="AERbodytext"/>
        <w:spacing w:before="120" w:after="120"/>
        <w:rPr>
          <w:bCs/>
          <w:lang w:eastAsia="en-AU"/>
        </w:rPr>
      </w:pPr>
      <w:r w:rsidRPr="00215E19">
        <w:rPr>
          <w:bCs/>
          <w:lang w:eastAsia="en-AU"/>
        </w:rPr>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215E19" w:rsidRDefault="00356E72" w:rsidP="00356E72">
      <w:pPr>
        <w:pStyle w:val="AERbodytext"/>
        <w:spacing w:before="120" w:after="120"/>
        <w:rPr>
          <w:bCs/>
          <w:lang w:eastAsia="en-AU"/>
        </w:rPr>
      </w:pPr>
      <w:r w:rsidRPr="00356E72">
        <w:rPr>
          <w:bCs/>
          <w:lang w:eastAsia="en-AU"/>
        </w:rPr>
        <w:t>There w</w:t>
      </w:r>
      <w:r w:rsidR="00831483">
        <w:rPr>
          <w:bCs/>
          <w:lang w:eastAsia="en-AU"/>
        </w:rPr>
        <w:t xml:space="preserve">ere </w:t>
      </w:r>
      <w:r w:rsidR="00FB265D">
        <w:rPr>
          <w:bCs/>
          <w:lang w:eastAsia="en-AU"/>
        </w:rPr>
        <w:t>2</w:t>
      </w:r>
      <w:r w:rsidR="00CC2CA1">
        <w:rPr>
          <w:bCs/>
          <w:lang w:eastAsia="en-AU"/>
        </w:rPr>
        <w:t>4</w:t>
      </w:r>
      <w:r w:rsidR="00FB265D">
        <w:rPr>
          <w:bCs/>
          <w:lang w:eastAsia="en-AU"/>
        </w:rPr>
        <w:t>5</w:t>
      </w:r>
      <w:r w:rsidRPr="00356E72">
        <w:rPr>
          <w:bCs/>
          <w:lang w:eastAsia="en-AU"/>
        </w:rPr>
        <w:t xml:space="preserve"> trading intervals throughout the week where actual prices varied significantly from forecasts. This compares to the weekly average in 2014 of 71 counts and the average in 2013 of 97.</w:t>
      </w:r>
      <w:r>
        <w:rPr>
          <w:bCs/>
          <w:lang w:eastAsia="en-AU"/>
        </w:rPr>
        <w:t xml:space="preserve"> </w:t>
      </w:r>
      <w:r w:rsidR="00275002" w:rsidRPr="00215E19">
        <w:rPr>
          <w:bCs/>
          <w:lang w:eastAsia="en-AU"/>
        </w:rPr>
        <w:t xml:space="preserve">Reasons for the variations for this week are summarised in </w:t>
      </w:r>
      <w:r w:rsidR="00E7472E" w:rsidRPr="00215E19">
        <w:rPr>
          <w:bCs/>
          <w:lang w:eastAsia="en-AU"/>
        </w:rPr>
        <w:fldChar w:fldCharType="begin"/>
      </w:r>
      <w:r w:rsidR="00E7472E" w:rsidRPr="00215E19">
        <w:rPr>
          <w:bCs/>
          <w:lang w:eastAsia="en-AU"/>
        </w:rPr>
        <w:instrText xml:space="preserve"> REF _Ref410993002 \h </w:instrText>
      </w:r>
      <w:r w:rsidR="00215E19">
        <w:rPr>
          <w:bCs/>
          <w:lang w:eastAsia="en-AU"/>
        </w:rPr>
        <w:instrText xml:space="preserve"> \* MERGEFORMAT </w:instrText>
      </w:r>
      <w:r w:rsidR="00E7472E" w:rsidRPr="00215E19">
        <w:rPr>
          <w:bCs/>
          <w:lang w:eastAsia="en-AU"/>
        </w:rPr>
      </w:r>
      <w:r w:rsidR="00E7472E" w:rsidRPr="00215E19">
        <w:rPr>
          <w:bCs/>
          <w:lang w:eastAsia="en-AU"/>
        </w:rPr>
        <w:fldChar w:fldCharType="separate"/>
      </w:r>
      <w:r w:rsidR="009829BD" w:rsidRPr="009829BD">
        <w:rPr>
          <w:bCs/>
          <w:lang w:eastAsia="en-AU"/>
        </w:rPr>
        <w:t>Table 2</w:t>
      </w:r>
      <w:r w:rsidR="00E7472E" w:rsidRPr="00215E19">
        <w:rPr>
          <w:bCs/>
          <w:lang w:eastAsia="en-AU"/>
        </w:rPr>
        <w:fldChar w:fldCharType="end"/>
      </w:r>
      <w:r w:rsidR="00275002" w:rsidRPr="00215E19">
        <w:rPr>
          <w:bCs/>
          <w:lang w:eastAsia="en-AU"/>
        </w:rPr>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w:t>
      </w:r>
      <w:r w:rsidR="00275002" w:rsidRPr="00215E19">
        <w:rPr>
          <w:bCs/>
          <w:lang w:eastAsia="en-AU"/>
        </w:rPr>
        <w:lastRenderedPageBreak/>
        <w:t xml:space="preserve">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215E19">
        <w:rPr>
          <w:bCs/>
          <w:lang w:eastAsia="en-AU"/>
        </w:rPr>
        <w:t>ahead</w:t>
      </w:r>
      <w:proofErr w:type="gramEnd"/>
      <w:r w:rsidR="00275002" w:rsidRPr="00215E19">
        <w:rPr>
          <w:bCs/>
          <w:lang w:eastAsia="en-AU"/>
        </w:rPr>
        <w:t xml:space="preserve"> forecasts differ significantly from the actual price will be counted as two variations.</w:t>
      </w:r>
    </w:p>
    <w:p w:rsidR="00275002" w:rsidRPr="0031019A" w:rsidRDefault="00275002" w:rsidP="000E2946">
      <w:pPr>
        <w:pStyle w:val="Caption"/>
      </w:pPr>
      <w:bookmarkStart w:id="11" w:name="_Ref410993002"/>
      <w:bookmarkStart w:id="12" w:name="_Ref410992996"/>
      <w:r>
        <w:t xml:space="preserve">Table </w:t>
      </w:r>
      <w:fldSimple w:instr=" SEQ Table \* ARABIC ">
        <w:r w:rsidR="009829BD">
          <w:rPr>
            <w:noProof/>
          </w:rPr>
          <w:t>2</w:t>
        </w:r>
      </w:fldSimple>
      <w:bookmarkEnd w:id="11"/>
      <w:r w:rsidRPr="00BC7912">
        <w:t>: Reasons for variations between forecast and actual prices</w:t>
      </w:r>
      <w:bookmarkEnd w:id="12"/>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B92CD5"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5552F8" w:rsidRDefault="00B92CD5" w:rsidP="00003169">
            <w:pPr>
              <w:jc w:val="center"/>
            </w:pPr>
          </w:p>
        </w:tc>
        <w:tc>
          <w:tcPr>
            <w:tcW w:w="1571" w:type="dxa"/>
            <w:noWrap/>
            <w:hideMark/>
          </w:tcPr>
          <w:p w:rsidR="00B92CD5" w:rsidRPr="00B92CD5" w:rsidRDefault="00B92CD5" w:rsidP="00003169">
            <w:pPr>
              <w:jc w:val="center"/>
              <w:rPr>
                <w:sz w:val="20"/>
              </w:rPr>
            </w:pPr>
            <w:r w:rsidRPr="00B92CD5">
              <w:rPr>
                <w:sz w:val="20"/>
              </w:rPr>
              <w:t>Availability</w:t>
            </w:r>
          </w:p>
        </w:tc>
        <w:tc>
          <w:tcPr>
            <w:tcW w:w="1572" w:type="dxa"/>
            <w:noWrap/>
            <w:hideMark/>
          </w:tcPr>
          <w:p w:rsidR="00B92CD5" w:rsidRPr="00B92CD5" w:rsidRDefault="00B92CD5" w:rsidP="00003169">
            <w:pPr>
              <w:jc w:val="center"/>
              <w:rPr>
                <w:sz w:val="20"/>
              </w:rPr>
            </w:pPr>
            <w:r w:rsidRPr="00B92CD5">
              <w:rPr>
                <w:sz w:val="20"/>
              </w:rPr>
              <w:t>Demand</w:t>
            </w:r>
          </w:p>
        </w:tc>
        <w:tc>
          <w:tcPr>
            <w:tcW w:w="1572" w:type="dxa"/>
            <w:noWrap/>
            <w:hideMark/>
          </w:tcPr>
          <w:p w:rsidR="00B92CD5" w:rsidRPr="00B92CD5" w:rsidRDefault="00B92CD5" w:rsidP="00003169">
            <w:pPr>
              <w:jc w:val="center"/>
              <w:rPr>
                <w:sz w:val="20"/>
              </w:rPr>
            </w:pPr>
            <w:r w:rsidRPr="00B92CD5">
              <w:rPr>
                <w:sz w:val="20"/>
              </w:rPr>
              <w:t>Network</w:t>
            </w:r>
          </w:p>
        </w:tc>
        <w:tc>
          <w:tcPr>
            <w:tcW w:w="1572" w:type="dxa"/>
            <w:hideMark/>
          </w:tcPr>
          <w:p w:rsidR="00B92CD5" w:rsidRPr="00B92CD5" w:rsidRDefault="00B92CD5" w:rsidP="00003169">
            <w:pPr>
              <w:jc w:val="center"/>
              <w:rPr>
                <w:sz w:val="20"/>
              </w:rPr>
            </w:pPr>
            <w:r w:rsidRPr="00B92CD5">
              <w:rPr>
                <w:sz w:val="20"/>
              </w:rPr>
              <w:t>Combination</w:t>
            </w:r>
          </w:p>
        </w:tc>
      </w:tr>
      <w:tr w:rsidR="00CC2CA1" w:rsidRPr="00003169" w:rsidTr="00CC2CA1">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CC2CA1" w:rsidRPr="00E35AE8" w:rsidRDefault="00CC2CA1" w:rsidP="00B65CAC">
            <w:pPr>
              <w:spacing w:after="0" w:line="240" w:lineRule="auto"/>
              <w:jc w:val="center"/>
              <w:rPr>
                <w:sz w:val="20"/>
                <w:szCs w:val="20"/>
              </w:rPr>
            </w:pPr>
            <w:r w:rsidRPr="00E35AE8">
              <w:rPr>
                <w:sz w:val="20"/>
                <w:szCs w:val="20"/>
              </w:rPr>
              <w:t>% of total above forecast</w:t>
            </w:r>
          </w:p>
        </w:tc>
        <w:tc>
          <w:tcPr>
            <w:tcW w:w="1571" w:type="dxa"/>
            <w:noWrap/>
            <w:vAlign w:val="center"/>
          </w:tcPr>
          <w:p w:rsidR="00CC2CA1" w:rsidRDefault="009C55F3" w:rsidP="00CC2CA1">
            <w:pPr>
              <w:autoSpaceDE w:val="0"/>
              <w:autoSpaceDN w:val="0"/>
              <w:adjustRightInd w:val="0"/>
              <w:spacing w:after="0" w:line="240" w:lineRule="auto"/>
              <w:jc w:val="center"/>
              <w:rPr>
                <w:rFonts w:cs="Arial"/>
                <w:color w:val="000000"/>
                <w:sz w:val="20"/>
                <w:szCs w:val="20"/>
              </w:rPr>
            </w:pPr>
            <w:r>
              <w:rPr>
                <w:rFonts w:cs="Arial"/>
                <w:color w:val="000000"/>
                <w:sz w:val="20"/>
                <w:szCs w:val="20"/>
              </w:rPr>
              <w:t>2</w:t>
            </w:r>
          </w:p>
        </w:tc>
        <w:tc>
          <w:tcPr>
            <w:tcW w:w="1572" w:type="dxa"/>
            <w:noWrap/>
            <w:vAlign w:val="center"/>
          </w:tcPr>
          <w:p w:rsidR="00CC2CA1" w:rsidRDefault="00CC2CA1" w:rsidP="00CC2CA1">
            <w:pPr>
              <w:autoSpaceDE w:val="0"/>
              <w:autoSpaceDN w:val="0"/>
              <w:adjustRightInd w:val="0"/>
              <w:spacing w:after="0" w:line="240" w:lineRule="auto"/>
              <w:jc w:val="center"/>
              <w:rPr>
                <w:rFonts w:cs="Arial"/>
                <w:color w:val="000000"/>
                <w:sz w:val="20"/>
                <w:szCs w:val="20"/>
              </w:rPr>
            </w:pPr>
            <w:r>
              <w:rPr>
                <w:rFonts w:cs="Arial"/>
                <w:color w:val="000000"/>
                <w:sz w:val="20"/>
                <w:szCs w:val="20"/>
              </w:rPr>
              <w:t>15</w:t>
            </w:r>
          </w:p>
        </w:tc>
        <w:tc>
          <w:tcPr>
            <w:tcW w:w="1572" w:type="dxa"/>
            <w:noWrap/>
            <w:vAlign w:val="center"/>
          </w:tcPr>
          <w:p w:rsidR="00CC2CA1" w:rsidRDefault="009C55F3" w:rsidP="00CC2CA1">
            <w:pPr>
              <w:autoSpaceDE w:val="0"/>
              <w:autoSpaceDN w:val="0"/>
              <w:adjustRightInd w:val="0"/>
              <w:spacing w:after="0" w:line="240" w:lineRule="auto"/>
              <w:jc w:val="center"/>
              <w:rPr>
                <w:rFonts w:cs="Arial"/>
                <w:color w:val="000000"/>
                <w:sz w:val="20"/>
                <w:szCs w:val="20"/>
              </w:rPr>
            </w:pPr>
            <w:r>
              <w:rPr>
                <w:rFonts w:cs="Arial"/>
                <w:color w:val="000000"/>
                <w:sz w:val="20"/>
                <w:szCs w:val="20"/>
              </w:rPr>
              <w:t>1</w:t>
            </w:r>
          </w:p>
        </w:tc>
        <w:tc>
          <w:tcPr>
            <w:tcW w:w="1572" w:type="dxa"/>
            <w:vAlign w:val="center"/>
          </w:tcPr>
          <w:p w:rsidR="00CC2CA1" w:rsidRDefault="00CC2CA1" w:rsidP="00CC2CA1">
            <w:pPr>
              <w:autoSpaceDE w:val="0"/>
              <w:autoSpaceDN w:val="0"/>
              <w:adjustRightInd w:val="0"/>
              <w:spacing w:after="0" w:line="240" w:lineRule="auto"/>
              <w:jc w:val="center"/>
              <w:rPr>
                <w:rFonts w:cs="Arial"/>
                <w:color w:val="000000"/>
                <w:sz w:val="20"/>
                <w:szCs w:val="20"/>
              </w:rPr>
            </w:pPr>
            <w:r>
              <w:rPr>
                <w:rFonts w:cs="Arial"/>
                <w:color w:val="000000"/>
                <w:sz w:val="20"/>
                <w:szCs w:val="20"/>
              </w:rPr>
              <w:t>0</w:t>
            </w:r>
          </w:p>
        </w:tc>
      </w:tr>
      <w:tr w:rsidR="00CC2CA1" w:rsidRPr="00003169" w:rsidTr="00CC2CA1">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CC2CA1" w:rsidRPr="00E35AE8" w:rsidRDefault="00CC2CA1" w:rsidP="00B65CAC">
            <w:pPr>
              <w:spacing w:after="0" w:line="240" w:lineRule="auto"/>
              <w:jc w:val="center"/>
              <w:rPr>
                <w:sz w:val="20"/>
                <w:szCs w:val="20"/>
              </w:rPr>
            </w:pPr>
            <w:r w:rsidRPr="00E35AE8">
              <w:rPr>
                <w:sz w:val="20"/>
                <w:szCs w:val="20"/>
              </w:rPr>
              <w:t>% of total below forecast</w:t>
            </w:r>
          </w:p>
        </w:tc>
        <w:tc>
          <w:tcPr>
            <w:tcW w:w="1571" w:type="dxa"/>
            <w:noWrap/>
            <w:vAlign w:val="center"/>
          </w:tcPr>
          <w:p w:rsidR="00CC2CA1" w:rsidRDefault="00CC2CA1" w:rsidP="00CC2CA1">
            <w:pPr>
              <w:autoSpaceDE w:val="0"/>
              <w:autoSpaceDN w:val="0"/>
              <w:adjustRightInd w:val="0"/>
              <w:spacing w:after="0" w:line="240" w:lineRule="auto"/>
              <w:jc w:val="center"/>
              <w:rPr>
                <w:rFonts w:cs="Arial"/>
                <w:color w:val="000000"/>
                <w:sz w:val="20"/>
                <w:szCs w:val="20"/>
              </w:rPr>
            </w:pPr>
            <w:r>
              <w:rPr>
                <w:rFonts w:cs="Arial"/>
                <w:color w:val="000000"/>
                <w:sz w:val="20"/>
                <w:szCs w:val="20"/>
              </w:rPr>
              <w:t>75</w:t>
            </w:r>
          </w:p>
        </w:tc>
        <w:tc>
          <w:tcPr>
            <w:tcW w:w="1572" w:type="dxa"/>
            <w:noWrap/>
            <w:vAlign w:val="center"/>
          </w:tcPr>
          <w:p w:rsidR="00CC2CA1" w:rsidRDefault="00CC2CA1" w:rsidP="00CC2CA1">
            <w:pPr>
              <w:autoSpaceDE w:val="0"/>
              <w:autoSpaceDN w:val="0"/>
              <w:adjustRightInd w:val="0"/>
              <w:spacing w:after="0" w:line="240" w:lineRule="auto"/>
              <w:jc w:val="center"/>
              <w:rPr>
                <w:rFonts w:cs="Arial"/>
                <w:color w:val="000000"/>
                <w:sz w:val="20"/>
                <w:szCs w:val="20"/>
              </w:rPr>
            </w:pPr>
            <w:r>
              <w:rPr>
                <w:rFonts w:cs="Arial"/>
                <w:color w:val="000000"/>
                <w:sz w:val="20"/>
                <w:szCs w:val="20"/>
              </w:rPr>
              <w:t>6</w:t>
            </w:r>
          </w:p>
        </w:tc>
        <w:tc>
          <w:tcPr>
            <w:tcW w:w="1572" w:type="dxa"/>
            <w:noWrap/>
            <w:vAlign w:val="center"/>
          </w:tcPr>
          <w:p w:rsidR="00CC2CA1" w:rsidRDefault="00CC2CA1" w:rsidP="00CC2CA1">
            <w:pPr>
              <w:autoSpaceDE w:val="0"/>
              <w:autoSpaceDN w:val="0"/>
              <w:adjustRightInd w:val="0"/>
              <w:spacing w:after="0" w:line="240" w:lineRule="auto"/>
              <w:jc w:val="center"/>
              <w:rPr>
                <w:rFonts w:cs="Arial"/>
                <w:color w:val="000000"/>
                <w:sz w:val="20"/>
                <w:szCs w:val="20"/>
              </w:rPr>
            </w:pPr>
            <w:r>
              <w:rPr>
                <w:rFonts w:cs="Arial"/>
                <w:color w:val="000000"/>
                <w:sz w:val="20"/>
                <w:szCs w:val="20"/>
              </w:rPr>
              <w:t>0</w:t>
            </w:r>
          </w:p>
        </w:tc>
        <w:tc>
          <w:tcPr>
            <w:tcW w:w="1572" w:type="dxa"/>
            <w:vAlign w:val="center"/>
          </w:tcPr>
          <w:p w:rsidR="00CC2CA1" w:rsidRDefault="00CC2CA1" w:rsidP="00CC2CA1">
            <w:pPr>
              <w:autoSpaceDE w:val="0"/>
              <w:autoSpaceDN w:val="0"/>
              <w:adjustRightInd w:val="0"/>
              <w:spacing w:after="0" w:line="240" w:lineRule="auto"/>
              <w:jc w:val="center"/>
              <w:rPr>
                <w:rFonts w:cs="Arial"/>
                <w:color w:val="000000"/>
                <w:sz w:val="20"/>
                <w:szCs w:val="20"/>
              </w:rPr>
            </w:pPr>
            <w:r>
              <w:rPr>
                <w:rFonts w:cs="Arial"/>
                <w:color w:val="000000"/>
                <w:sz w:val="20"/>
                <w:szCs w:val="20"/>
              </w:rPr>
              <w:t>0</w:t>
            </w:r>
          </w:p>
        </w:tc>
      </w:tr>
    </w:tbl>
    <w:p w:rsidR="00275002" w:rsidRPr="009E6668" w:rsidRDefault="00275002" w:rsidP="00544C6F">
      <w:pPr>
        <w:spacing w:before="120" w:after="120"/>
        <w:rPr>
          <w:rFonts w:cs="Arial"/>
          <w:sz w:val="18"/>
          <w:szCs w:val="18"/>
        </w:rPr>
      </w:pPr>
      <w:r w:rsidRPr="009E6668">
        <w:rPr>
          <w:rFonts w:cs="Arial"/>
          <w:sz w:val="18"/>
          <w:szCs w:val="18"/>
        </w:rPr>
        <w:t>Note: Due to rounding, the total may not be 100 per cent.</w:t>
      </w:r>
    </w:p>
    <w:p w:rsidR="00275002" w:rsidRPr="0031019A" w:rsidRDefault="00275002" w:rsidP="00914A87">
      <w:pPr>
        <w:pStyle w:val="AERHeading1"/>
      </w:pPr>
      <w:r w:rsidRPr="0031019A">
        <w:t>Generation and bidding patterns</w:t>
      </w:r>
    </w:p>
    <w:p w:rsidR="003A0810" w:rsidRPr="00215E19" w:rsidRDefault="00275002" w:rsidP="00215E19">
      <w:pPr>
        <w:pStyle w:val="AERbodytext"/>
        <w:spacing w:before="120" w:after="120"/>
        <w:rPr>
          <w:bCs/>
          <w:lang w:eastAsia="en-AU"/>
        </w:rPr>
      </w:pPr>
      <w:r w:rsidRPr="00215E19">
        <w:rPr>
          <w:bCs/>
          <w:lang w:eastAsia="en-AU"/>
        </w:rPr>
        <w:t xml:space="preserve">The AER reviews generator bidding as part of its market monitoring to better understand the drivers behind price variations. </w:t>
      </w:r>
      <w:r w:rsidRPr="00215E19">
        <w:rPr>
          <w:bCs/>
          <w:lang w:eastAsia="en-AU"/>
        </w:rPr>
        <w:fldChar w:fldCharType="begin"/>
      </w:r>
      <w:r w:rsidRPr="00215E19">
        <w:rPr>
          <w:bCs/>
          <w:lang w:eastAsia="en-AU"/>
        </w:rPr>
        <w:instrText xml:space="preserve"> REF _Ref410383507 \h </w:instrText>
      </w:r>
      <w:r w:rsidR="009A3D22" w:rsidRPr="00215E19">
        <w:rPr>
          <w:bCs/>
          <w:lang w:eastAsia="en-AU"/>
        </w:rPr>
        <w:instrText xml:space="preserve"> \* MERGEFORMAT </w:instrText>
      </w:r>
      <w:r w:rsidRPr="00215E19">
        <w:rPr>
          <w:bCs/>
          <w:lang w:eastAsia="en-AU"/>
        </w:rPr>
      </w:r>
      <w:r w:rsidRPr="00215E19">
        <w:rPr>
          <w:bCs/>
          <w:lang w:eastAsia="en-AU"/>
        </w:rPr>
        <w:fldChar w:fldCharType="separate"/>
      </w:r>
      <w:r w:rsidR="009829BD" w:rsidRPr="009829BD">
        <w:rPr>
          <w:bCs/>
          <w:lang w:eastAsia="en-AU"/>
        </w:rPr>
        <w:t>Figure 3</w:t>
      </w:r>
      <w:r w:rsidRPr="00215E19">
        <w:rPr>
          <w:bCs/>
          <w:lang w:eastAsia="en-AU"/>
        </w:rPr>
        <w:fldChar w:fldCharType="end"/>
      </w:r>
      <w:r w:rsidRPr="00215E19">
        <w:rPr>
          <w:bCs/>
          <w:lang w:eastAsia="en-AU"/>
        </w:rPr>
        <w:t xml:space="preserve"> to</w:t>
      </w:r>
      <w:r w:rsidR="00056949">
        <w:rPr>
          <w:bCs/>
          <w:lang w:eastAsia="en-AU"/>
        </w:rPr>
        <w:t xml:space="preserve"> </w:t>
      </w:r>
      <w:r w:rsidR="00056949">
        <w:rPr>
          <w:bCs/>
          <w:lang w:eastAsia="en-AU"/>
        </w:rPr>
        <w:fldChar w:fldCharType="begin"/>
      </w:r>
      <w:r w:rsidR="00056949">
        <w:rPr>
          <w:bCs/>
          <w:lang w:eastAsia="en-AU"/>
        </w:rPr>
        <w:instrText xml:space="preserve"> REF _Ref433287168 \h </w:instrText>
      </w:r>
      <w:r w:rsidR="00056949">
        <w:rPr>
          <w:bCs/>
          <w:lang w:eastAsia="en-AU"/>
        </w:rPr>
      </w:r>
      <w:r w:rsidR="00056949">
        <w:rPr>
          <w:bCs/>
          <w:lang w:eastAsia="en-AU"/>
        </w:rPr>
        <w:fldChar w:fldCharType="separate"/>
      </w:r>
      <w:r w:rsidR="009829BD">
        <w:t xml:space="preserve">Figure </w:t>
      </w:r>
      <w:r w:rsidR="009829BD">
        <w:rPr>
          <w:noProof/>
        </w:rPr>
        <w:t>7</w:t>
      </w:r>
      <w:r w:rsidR="00056949">
        <w:rPr>
          <w:bCs/>
          <w:lang w:eastAsia="en-AU"/>
        </w:rPr>
        <w:fldChar w:fldCharType="end"/>
      </w:r>
      <w:r w:rsidRPr="00215E19">
        <w:rPr>
          <w:bCs/>
          <w:lang w:eastAsia="en-AU"/>
        </w:rPr>
        <w:t xml:space="preserve"> show, the total generation dispatched and the amounts of capacity offered within certain price bands for each 30 minute trading interval in each region. </w:t>
      </w:r>
    </w:p>
    <w:p w:rsidR="00275002" w:rsidRDefault="00275002" w:rsidP="000E2946">
      <w:pPr>
        <w:pStyle w:val="Caption"/>
      </w:pPr>
      <w:bookmarkStart w:id="13" w:name="_Ref410383507"/>
      <w:r>
        <w:t xml:space="preserve">Figure </w:t>
      </w:r>
      <w:fldSimple w:instr=" SEQ Figure \* ARABIC ">
        <w:r w:rsidR="009829BD">
          <w:rPr>
            <w:noProof/>
          </w:rPr>
          <w:t>3</w:t>
        </w:r>
      </w:fldSimple>
      <w:bookmarkEnd w:id="13"/>
      <w:r>
        <w:t xml:space="preserve">: Queensland </w:t>
      </w:r>
      <w:r w:rsidRPr="00690328">
        <w:t>generation and bidding patterns</w:t>
      </w:r>
    </w:p>
    <w:p w:rsidR="00FB265D" w:rsidRPr="00FB265D" w:rsidRDefault="00CC2CA1" w:rsidP="00FB265D">
      <w:r w:rsidRPr="00CC2CA1">
        <w:rPr>
          <w:noProof/>
          <w:lang w:eastAsia="en-AU"/>
        </w:rPr>
        <w:drawing>
          <wp:inline distT="0" distB="0" distL="0" distR="0" wp14:anchorId="2D70BF6A" wp14:editId="596C0EA3">
            <wp:extent cx="5731510" cy="4116897"/>
            <wp:effectExtent l="0" t="0" r="2540" b="0"/>
            <wp:docPr id="5" name="Picture 5" descr="Figure 3 shows the total generation dispatched and the amounts of capacity bid in within certain price bands for each 30 minute trading interval in Queensland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16897"/>
                    </a:xfrm>
                    <a:prstGeom prst="rect">
                      <a:avLst/>
                    </a:prstGeom>
                    <a:noFill/>
                    <a:ln>
                      <a:noFill/>
                    </a:ln>
                  </pic:spPr>
                </pic:pic>
              </a:graphicData>
            </a:graphic>
          </wp:inline>
        </w:drawing>
      </w:r>
    </w:p>
    <w:p w:rsidR="00E91BED" w:rsidRPr="00E91BED" w:rsidRDefault="00E91BED" w:rsidP="00E91BED"/>
    <w:p w:rsidR="00275002" w:rsidRDefault="00275002" w:rsidP="00275002"/>
    <w:p w:rsidR="00275002" w:rsidRDefault="00275002" w:rsidP="000E2946">
      <w:pPr>
        <w:pStyle w:val="Caption"/>
      </w:pPr>
      <w:bookmarkStart w:id="14" w:name="_Ref428273135"/>
      <w:r>
        <w:lastRenderedPageBreak/>
        <w:t xml:space="preserve">Figure </w:t>
      </w:r>
      <w:fldSimple w:instr=" SEQ Figure \* ARABIC ">
        <w:r w:rsidR="009829BD">
          <w:rPr>
            <w:noProof/>
          </w:rPr>
          <w:t>4</w:t>
        </w:r>
      </w:fldSimple>
      <w:bookmarkEnd w:id="14"/>
      <w:r>
        <w:t xml:space="preserve">: </w:t>
      </w:r>
      <w:r w:rsidRPr="00CC5077">
        <w:t>New South Wales generation and bidding patterns</w:t>
      </w:r>
    </w:p>
    <w:p w:rsidR="00181C46" w:rsidRPr="00181C46" w:rsidRDefault="00CC2CA1" w:rsidP="00181C46">
      <w:r w:rsidRPr="00CC2CA1">
        <w:rPr>
          <w:noProof/>
          <w:lang w:eastAsia="en-AU"/>
        </w:rPr>
        <w:drawing>
          <wp:inline distT="0" distB="0" distL="0" distR="0" wp14:anchorId="217A67D9" wp14:editId="6FEEA122">
            <wp:extent cx="5731510" cy="4121920"/>
            <wp:effectExtent l="0" t="0" r="2540" b="0"/>
            <wp:docPr id="6" name="Picture 6" descr="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21920"/>
                    </a:xfrm>
                    <a:prstGeom prst="rect">
                      <a:avLst/>
                    </a:prstGeom>
                    <a:noFill/>
                    <a:ln>
                      <a:noFill/>
                    </a:ln>
                  </pic:spPr>
                </pic:pic>
              </a:graphicData>
            </a:graphic>
          </wp:inline>
        </w:drawing>
      </w:r>
    </w:p>
    <w:p w:rsidR="00275002" w:rsidRDefault="00275002" w:rsidP="000E2946">
      <w:pPr>
        <w:pStyle w:val="Caption"/>
      </w:pPr>
      <w:r>
        <w:t xml:space="preserve">Figure </w:t>
      </w:r>
      <w:fldSimple w:instr=" SEQ Figure \* ARABIC ">
        <w:r w:rsidR="009829BD">
          <w:rPr>
            <w:noProof/>
          </w:rPr>
          <w:t>5</w:t>
        </w:r>
      </w:fldSimple>
      <w:r w:rsidRPr="0003635A">
        <w:t>: Victoria generation and bidding patterns</w:t>
      </w:r>
    </w:p>
    <w:p w:rsidR="00FB265D" w:rsidRPr="00FB265D" w:rsidRDefault="00CC2CA1" w:rsidP="00FB265D">
      <w:r w:rsidRPr="00CC2CA1">
        <w:rPr>
          <w:noProof/>
          <w:lang w:eastAsia="en-AU"/>
        </w:rPr>
        <w:drawing>
          <wp:inline distT="0" distB="0" distL="0" distR="0" wp14:anchorId="30A8831F" wp14:editId="4BBB1A25">
            <wp:extent cx="5731510" cy="4116897"/>
            <wp:effectExtent l="0" t="0" r="2540" b="0"/>
            <wp:docPr id="17" name="Picture 17" descr="Figure 5 shows the total generation dispatched and the amounts of capacity bid in within certain price bands for each 30 minute trading interval in Victor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16897"/>
                    </a:xfrm>
                    <a:prstGeom prst="rect">
                      <a:avLst/>
                    </a:prstGeom>
                    <a:noFill/>
                    <a:ln>
                      <a:noFill/>
                    </a:ln>
                  </pic:spPr>
                </pic:pic>
              </a:graphicData>
            </a:graphic>
          </wp:inline>
        </w:drawing>
      </w:r>
    </w:p>
    <w:p w:rsidR="00181C46" w:rsidRPr="00181C46" w:rsidRDefault="00181C46" w:rsidP="00181C46"/>
    <w:p w:rsidR="00275002" w:rsidRDefault="00275002" w:rsidP="000E2946">
      <w:pPr>
        <w:pStyle w:val="Caption"/>
      </w:pPr>
      <w:bookmarkStart w:id="15" w:name="_Ref423965683"/>
      <w:r>
        <w:lastRenderedPageBreak/>
        <w:t xml:space="preserve">Figure </w:t>
      </w:r>
      <w:fldSimple w:instr=" SEQ Figure \* ARABIC ">
        <w:r w:rsidR="009829BD">
          <w:rPr>
            <w:noProof/>
          </w:rPr>
          <w:t>6</w:t>
        </w:r>
      </w:fldSimple>
      <w:bookmarkEnd w:id="15"/>
      <w:r>
        <w:t>:</w:t>
      </w:r>
      <w:r w:rsidRPr="00BD00EB">
        <w:t xml:space="preserve"> South Australia generation and bidding patterns</w:t>
      </w:r>
    </w:p>
    <w:p w:rsidR="00F019C5" w:rsidRDefault="00117195" w:rsidP="00F019C5">
      <w:bookmarkStart w:id="16" w:name="_Ref410383520"/>
      <w:r w:rsidRPr="00117195">
        <w:rPr>
          <w:noProof/>
          <w:lang w:eastAsia="en-AU"/>
        </w:rPr>
        <w:drawing>
          <wp:inline distT="0" distB="0" distL="0" distR="0" wp14:anchorId="63E6EE22" wp14:editId="2D4A6F63">
            <wp:extent cx="5731510" cy="4129157"/>
            <wp:effectExtent l="0" t="0" r="2540" b="5080"/>
            <wp:docPr id="24" name="Picture 24" descr="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29157"/>
                    </a:xfrm>
                    <a:prstGeom prst="rect">
                      <a:avLst/>
                    </a:prstGeom>
                    <a:noFill/>
                    <a:ln>
                      <a:noFill/>
                    </a:ln>
                  </pic:spPr>
                </pic:pic>
              </a:graphicData>
            </a:graphic>
          </wp:inline>
        </w:drawing>
      </w:r>
    </w:p>
    <w:p w:rsidR="00275002" w:rsidRDefault="00275002" w:rsidP="000E2946">
      <w:pPr>
        <w:pStyle w:val="Caption"/>
      </w:pPr>
      <w:bookmarkStart w:id="17" w:name="_Ref433287168"/>
      <w:r>
        <w:t xml:space="preserve">Figure </w:t>
      </w:r>
      <w:fldSimple w:instr=" SEQ Figure \* ARABIC ">
        <w:r w:rsidR="009829BD">
          <w:rPr>
            <w:noProof/>
          </w:rPr>
          <w:t>7</w:t>
        </w:r>
      </w:fldSimple>
      <w:bookmarkEnd w:id="16"/>
      <w:bookmarkEnd w:id="17"/>
      <w:r>
        <w:t xml:space="preserve">: </w:t>
      </w:r>
      <w:r w:rsidRPr="008837C4">
        <w:t>Tasmania generation and bidding patterns</w:t>
      </w:r>
    </w:p>
    <w:p w:rsidR="00181C46" w:rsidRDefault="00CC2CA1" w:rsidP="00181C46">
      <w:r w:rsidRPr="00CC2CA1">
        <w:rPr>
          <w:noProof/>
          <w:lang w:eastAsia="en-AU"/>
        </w:rPr>
        <w:drawing>
          <wp:inline distT="0" distB="0" distL="0" distR="0" wp14:anchorId="1B9FE50F" wp14:editId="60233DD9">
            <wp:extent cx="5731510" cy="4116897"/>
            <wp:effectExtent l="0" t="0" r="2540" b="0"/>
            <wp:docPr id="18" name="Picture 18" descr="Figure 7 shows the total generation dispatched and the amounts of capacity bid in within certain price bands for each 30 minute trading interval in Tasman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4116897"/>
                    </a:xfrm>
                    <a:prstGeom prst="rect">
                      <a:avLst/>
                    </a:prstGeom>
                    <a:noFill/>
                    <a:ln>
                      <a:noFill/>
                    </a:ln>
                  </pic:spPr>
                </pic:pic>
              </a:graphicData>
            </a:graphic>
          </wp:inline>
        </w:drawing>
      </w:r>
    </w:p>
    <w:p w:rsidR="00D01726" w:rsidRPr="00181C46" w:rsidRDefault="00D01726" w:rsidP="00181C46">
      <w:r>
        <w:lastRenderedPageBreak/>
        <w:t>The bidding pattern of Hydro Tasmania ha</w:t>
      </w:r>
      <w:r w:rsidR="006A427B">
        <w:t>s</w:t>
      </w:r>
      <w:r>
        <w:t xml:space="preserve"> changed over recent weeks with less capacity being offered at lower prices than has been the case in the past. This has driven the increase in spot price over the last couple of weeks</w:t>
      </w:r>
      <w:r w:rsidR="006A427B">
        <w:t>.</w:t>
      </w:r>
      <w:r>
        <w:t xml:space="preserve"> </w:t>
      </w:r>
    </w:p>
    <w:p w:rsidR="00275002" w:rsidRPr="0031019A" w:rsidRDefault="00275002" w:rsidP="00914A87">
      <w:pPr>
        <w:pStyle w:val="AERHeading1"/>
      </w:pPr>
      <w:r w:rsidRPr="0031019A">
        <w:t>Frequency control ancillary services markets</w:t>
      </w:r>
    </w:p>
    <w:p w:rsidR="00275002" w:rsidRPr="00215E19" w:rsidRDefault="00275002" w:rsidP="00215E19">
      <w:pPr>
        <w:pStyle w:val="AERbodytext"/>
        <w:spacing w:before="120" w:after="120"/>
        <w:rPr>
          <w:bCs/>
          <w:lang w:eastAsia="en-AU"/>
        </w:rPr>
      </w:pPr>
      <w:r w:rsidRPr="00215E19">
        <w:rPr>
          <w:bCs/>
          <w:lang w:eastAsia="en-AU"/>
        </w:rPr>
        <w:t xml:space="preserve">Frequency </w:t>
      </w:r>
      <w:r w:rsidR="008618EF" w:rsidRPr="00215E19">
        <w:rPr>
          <w:bCs/>
          <w:lang w:eastAsia="en-AU"/>
        </w:rPr>
        <w:t xml:space="preserve">Control Ancillary Services </w:t>
      </w:r>
      <w:r w:rsidRPr="00215E19">
        <w:rPr>
          <w:bCs/>
          <w:lang w:eastAsia="en-AU"/>
        </w:rPr>
        <w:t xml:space="preserve">(FCAS) are required to maintain the frequency of the power system within the frequency operating standards. Raise and lower regulation services are used to address small fluctuations in frequency, while raise and lower contingency services are used to address larger frequency deviations. There are six contingency services: </w:t>
      </w:r>
    </w:p>
    <w:p w:rsidR="00275002" w:rsidRPr="0031019A" w:rsidRDefault="00275002" w:rsidP="006F3750">
      <w:pPr>
        <w:pStyle w:val="Bulletpoint"/>
      </w:pPr>
      <w:r w:rsidRPr="0031019A">
        <w:t>fast services, which arrest a frequency deviation within the first 6 seconds of a contingent event (raise and lower 6 second)</w:t>
      </w:r>
    </w:p>
    <w:p w:rsidR="00275002" w:rsidRPr="0031019A" w:rsidRDefault="00275002" w:rsidP="006F3750">
      <w:pPr>
        <w:pStyle w:val="Bulletpoint"/>
      </w:pPr>
      <w:r w:rsidRPr="0031019A">
        <w:t>slow services, which stabilise frequency deviations within 60 seconds of the event (raise and lower 60 second)</w:t>
      </w:r>
    </w:p>
    <w:p w:rsidR="00275002" w:rsidRPr="0031019A" w:rsidRDefault="00275002" w:rsidP="006F3750">
      <w:pPr>
        <w:pStyle w:val="Bulletpoint"/>
      </w:pPr>
      <w:proofErr w:type="gramStart"/>
      <w:r w:rsidRPr="0031019A">
        <w:t>delayed</w:t>
      </w:r>
      <w:proofErr w:type="gramEnd"/>
      <w:r w:rsidRPr="0031019A">
        <w:t xml:space="preserve"> services, which return the frequency to the normal operating band within 5 minutes (raise and lower 5 minute) at which time the five minute dispatch process will take effect.</w:t>
      </w:r>
    </w:p>
    <w:p w:rsidR="00275002" w:rsidRPr="00215E19" w:rsidRDefault="00275002" w:rsidP="00215E19">
      <w:pPr>
        <w:pStyle w:val="AERbodytext"/>
        <w:spacing w:before="120" w:after="120"/>
        <w:rPr>
          <w:bCs/>
          <w:lang w:eastAsia="en-AU"/>
        </w:rPr>
      </w:pPr>
      <w:r w:rsidRPr="00215E19">
        <w:rPr>
          <w:bCs/>
          <w:lang w:eastAsia="en-AU"/>
        </w:rPr>
        <w:t>The Electricity Rules stipulate that generators pay for raise contingency services and customers pay for lower contingency services. Regulation services are paid for on a “causer pays” basis determined every four weeks by AEMO.</w:t>
      </w:r>
    </w:p>
    <w:p w:rsidR="00EE46CE" w:rsidRPr="00215E19" w:rsidRDefault="00B62BB5" w:rsidP="00215E19">
      <w:pPr>
        <w:pStyle w:val="AERbodytext"/>
        <w:spacing w:before="120" w:after="120"/>
        <w:rPr>
          <w:bCs/>
          <w:lang w:eastAsia="en-AU"/>
        </w:rPr>
      </w:pPr>
      <w:bookmarkStart w:id="18" w:name="_Ref410383413"/>
      <w:r w:rsidRPr="00B62BB5">
        <w:rPr>
          <w:bCs/>
          <w:lang w:eastAsia="en-AU"/>
        </w:rPr>
        <w:t>The total cost of FCAS on the</w:t>
      </w:r>
      <w:r w:rsidR="00AD3D69">
        <w:rPr>
          <w:bCs/>
          <w:lang w:eastAsia="en-AU"/>
        </w:rPr>
        <w:t xml:space="preserve"> mainland for the week was $</w:t>
      </w:r>
      <w:r w:rsidR="00B64DF7">
        <w:rPr>
          <w:bCs/>
          <w:lang w:eastAsia="en-AU"/>
        </w:rPr>
        <w:t>14</w:t>
      </w:r>
      <w:r w:rsidR="00000BFE">
        <w:rPr>
          <w:bCs/>
          <w:lang w:eastAsia="en-AU"/>
        </w:rPr>
        <w:t> </w:t>
      </w:r>
      <w:r w:rsidR="00B64DF7">
        <w:rPr>
          <w:bCs/>
          <w:lang w:eastAsia="en-AU"/>
        </w:rPr>
        <w:t>239 </w:t>
      </w:r>
      <w:r w:rsidR="00AD3D69">
        <w:rPr>
          <w:bCs/>
          <w:lang w:eastAsia="en-AU"/>
        </w:rPr>
        <w:t>5</w:t>
      </w:r>
      <w:r w:rsidRPr="00B62BB5">
        <w:rPr>
          <w:bCs/>
          <w:lang w:eastAsia="en-AU"/>
        </w:rPr>
        <w:t xml:space="preserve">00 or </w:t>
      </w:r>
      <w:r w:rsidR="00000BFE">
        <w:rPr>
          <w:bCs/>
          <w:lang w:eastAsia="en-AU"/>
        </w:rPr>
        <w:t xml:space="preserve">around </w:t>
      </w:r>
      <w:r w:rsidR="00B64DF7">
        <w:rPr>
          <w:bCs/>
          <w:lang w:eastAsia="en-AU"/>
        </w:rPr>
        <w:t>14</w:t>
      </w:r>
      <w:r w:rsidRPr="00B62BB5">
        <w:rPr>
          <w:bCs/>
          <w:lang w:eastAsia="en-AU"/>
        </w:rPr>
        <w:t xml:space="preserve"> per cent of energy turnover on the mainland.</w:t>
      </w:r>
    </w:p>
    <w:p w:rsidR="00411897" w:rsidRPr="00215E19" w:rsidRDefault="00B62BB5" w:rsidP="00215E19">
      <w:pPr>
        <w:pStyle w:val="AERbodytext"/>
        <w:spacing w:before="120" w:after="120"/>
        <w:rPr>
          <w:bCs/>
          <w:lang w:eastAsia="en-AU"/>
        </w:rPr>
      </w:pPr>
      <w:r w:rsidRPr="00B62BB5">
        <w:rPr>
          <w:bCs/>
          <w:lang w:eastAsia="en-AU"/>
        </w:rPr>
        <w:t>The total cost of FCAS i</w:t>
      </w:r>
      <w:r w:rsidR="00AD3D69">
        <w:rPr>
          <w:bCs/>
          <w:lang w:eastAsia="en-AU"/>
        </w:rPr>
        <w:t>n Tasmania for the week was $</w:t>
      </w:r>
      <w:r w:rsidR="00000BFE">
        <w:rPr>
          <w:bCs/>
          <w:lang w:eastAsia="en-AU"/>
        </w:rPr>
        <w:t>17</w:t>
      </w:r>
      <w:r w:rsidR="00B64DF7">
        <w:rPr>
          <w:bCs/>
          <w:lang w:eastAsia="en-AU"/>
        </w:rPr>
        <w:t>9 </w:t>
      </w:r>
      <w:r w:rsidR="00000BFE">
        <w:rPr>
          <w:bCs/>
          <w:lang w:eastAsia="en-AU"/>
        </w:rPr>
        <w:t>5</w:t>
      </w:r>
      <w:r w:rsidRPr="00B62BB5">
        <w:rPr>
          <w:bCs/>
          <w:lang w:eastAsia="en-AU"/>
        </w:rPr>
        <w:t xml:space="preserve">00 or </w:t>
      </w:r>
      <w:r w:rsidR="00E115DE">
        <w:rPr>
          <w:bCs/>
          <w:lang w:eastAsia="en-AU"/>
        </w:rPr>
        <w:t>around</w:t>
      </w:r>
      <w:r w:rsidR="00AD3D69">
        <w:rPr>
          <w:bCs/>
          <w:lang w:eastAsia="en-AU"/>
        </w:rPr>
        <w:t xml:space="preserve"> </w:t>
      </w:r>
      <w:r w:rsidR="00000BFE">
        <w:rPr>
          <w:bCs/>
          <w:lang w:eastAsia="en-AU"/>
        </w:rPr>
        <w:t>1.</w:t>
      </w:r>
      <w:r w:rsidR="00E115DE">
        <w:rPr>
          <w:bCs/>
          <w:lang w:eastAsia="en-AU"/>
        </w:rPr>
        <w:t>5</w:t>
      </w:r>
      <w:r w:rsidRPr="00B62BB5">
        <w:rPr>
          <w:bCs/>
          <w:lang w:eastAsia="en-AU"/>
        </w:rPr>
        <w:t xml:space="preserve"> per cent of energy turnover in Tasmania.</w:t>
      </w:r>
    </w:p>
    <w:p w:rsidR="00F3590E" w:rsidRPr="00215E19" w:rsidRDefault="00F3590E" w:rsidP="00215E19">
      <w:pPr>
        <w:pStyle w:val="AERbodytext"/>
        <w:spacing w:before="120" w:after="120"/>
        <w:rPr>
          <w:bCs/>
          <w:lang w:eastAsia="en-AU"/>
        </w:rPr>
      </w:pPr>
      <w:r w:rsidRPr="00215E19">
        <w:rPr>
          <w:bCs/>
          <w:lang w:eastAsia="en-AU"/>
        </w:rPr>
        <w:fldChar w:fldCharType="begin"/>
      </w:r>
      <w:r w:rsidRPr="00215E19">
        <w:rPr>
          <w:bCs/>
          <w:lang w:eastAsia="en-AU"/>
        </w:rPr>
        <w:instrText xml:space="preserve"> REF _Ref418082853 \h </w:instrText>
      </w:r>
      <w:r w:rsidR="00215E19">
        <w:rPr>
          <w:bCs/>
          <w:lang w:eastAsia="en-AU"/>
        </w:rPr>
        <w:instrText xml:space="preserve"> \* MERGEFORMAT </w:instrText>
      </w:r>
      <w:r w:rsidRPr="00215E19">
        <w:rPr>
          <w:bCs/>
          <w:lang w:eastAsia="en-AU"/>
        </w:rPr>
      </w:r>
      <w:r w:rsidRPr="00215E19">
        <w:rPr>
          <w:bCs/>
          <w:lang w:eastAsia="en-AU"/>
        </w:rPr>
        <w:fldChar w:fldCharType="separate"/>
      </w:r>
      <w:r w:rsidR="009829BD" w:rsidRPr="009829BD">
        <w:rPr>
          <w:bCs/>
          <w:lang w:eastAsia="en-AU"/>
        </w:rPr>
        <w:t>Figure 8</w:t>
      </w:r>
      <w:r w:rsidRPr="00215E19">
        <w:rPr>
          <w:bCs/>
          <w:lang w:eastAsia="en-AU"/>
        </w:rPr>
        <w:fldChar w:fldCharType="end"/>
      </w:r>
      <w:r w:rsidRPr="00215E19">
        <w:rPr>
          <w:bCs/>
          <w:lang w:eastAsia="en-AU"/>
        </w:rPr>
        <w:t xml:space="preserve"> shows the daily breakdown of cost for each FCAS for the NEM, as well as the average cost since the beginning of the previous financial year. </w:t>
      </w:r>
    </w:p>
    <w:p w:rsidR="00275002" w:rsidRDefault="00275002" w:rsidP="000E2946">
      <w:pPr>
        <w:pStyle w:val="Caption"/>
      </w:pPr>
      <w:bookmarkStart w:id="19" w:name="_Ref418082853"/>
      <w:r>
        <w:t xml:space="preserve">Figure </w:t>
      </w:r>
      <w:fldSimple w:instr=" SEQ Figure \* ARABIC ">
        <w:r w:rsidR="009829BD">
          <w:rPr>
            <w:noProof/>
          </w:rPr>
          <w:t>8</w:t>
        </w:r>
      </w:fldSimple>
      <w:bookmarkEnd w:id="18"/>
      <w:bookmarkEnd w:id="19"/>
      <w:r w:rsidRPr="007707C6">
        <w:t>: Daily frequency control ancillary service cost</w:t>
      </w:r>
    </w:p>
    <w:p w:rsidR="00444A48" w:rsidRPr="00444A48" w:rsidRDefault="00B64DF7" w:rsidP="00444A48">
      <w:r w:rsidRPr="00B64DF7">
        <w:rPr>
          <w:noProof/>
          <w:lang w:eastAsia="en-AU"/>
        </w:rPr>
        <w:drawing>
          <wp:inline distT="0" distB="0" distL="0" distR="0" wp14:anchorId="4308A006" wp14:editId="3CEFD920">
            <wp:extent cx="5731510" cy="2893136"/>
            <wp:effectExtent l="0" t="0" r="2540" b="2540"/>
            <wp:docPr id="19" name="Picture 19" descr="Figure 8 shows the daily breakdown of cost for each FCAS for the NEM, as well as the average cost since the beginning of the previous financial year.&#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93136"/>
                    </a:xfrm>
                    <a:prstGeom prst="rect">
                      <a:avLst/>
                    </a:prstGeom>
                    <a:noFill/>
                    <a:ln>
                      <a:noFill/>
                    </a:ln>
                  </pic:spPr>
                </pic:pic>
              </a:graphicData>
            </a:graphic>
          </wp:inline>
        </w:drawing>
      </w:r>
    </w:p>
    <w:p w:rsidR="00317A81" w:rsidRPr="00317A81" w:rsidRDefault="00D92A31" w:rsidP="000738F4">
      <w:pPr>
        <w:jc w:val="both"/>
      </w:pPr>
      <w:r w:rsidRPr="00317A81">
        <w:t>On</w:t>
      </w:r>
      <w:r w:rsidR="004A1184" w:rsidRPr="00317A81">
        <w:t xml:space="preserve"> 1</w:t>
      </w:r>
      <w:r w:rsidR="00BE7DBC" w:rsidRPr="00317A81">
        <w:t> </w:t>
      </w:r>
      <w:r w:rsidRPr="00317A81">
        <w:t>November</w:t>
      </w:r>
      <w:r w:rsidR="00C9660A" w:rsidRPr="00317A81">
        <w:t xml:space="preserve"> the price for all local FCAS in South Australia reached the price cap for at least six dispatch intervals. A constraint managing an outage for the Heywood interconnector </w:t>
      </w:r>
      <w:r w:rsidR="00C9660A" w:rsidRPr="00317A81">
        <w:lastRenderedPageBreak/>
        <w:t>upgrade saw one transformer out meaning there was only one left. The remaining transf</w:t>
      </w:r>
      <w:r w:rsidR="008056FB">
        <w:t>ormer unexpectedly tripped and,</w:t>
      </w:r>
      <w:r w:rsidR="00C9660A" w:rsidRPr="00317A81">
        <w:t xml:space="preserve"> </w:t>
      </w:r>
      <w:r w:rsidR="008056FB">
        <w:t xml:space="preserve">consequently, </w:t>
      </w:r>
      <w:r w:rsidR="00C9660A" w:rsidRPr="00317A81">
        <w:t xml:space="preserve">all </w:t>
      </w:r>
      <w:r w:rsidR="008056FB">
        <w:t xml:space="preserve">of the </w:t>
      </w:r>
      <w:r w:rsidR="00C9660A" w:rsidRPr="00317A81">
        <w:t xml:space="preserve">FCAS </w:t>
      </w:r>
      <w:r w:rsidR="008056FB">
        <w:t xml:space="preserve">for South Australia had </w:t>
      </w:r>
      <w:r w:rsidR="00C9660A" w:rsidRPr="00317A81">
        <w:t>to be sourced locally. These prices will be the subject of $5000 report as required by the National Electricity Rules</w:t>
      </w:r>
      <w:r w:rsidR="00317A81" w:rsidRPr="00317A81">
        <w:t>.</w:t>
      </w:r>
    </w:p>
    <w:p w:rsidR="00D1516F" w:rsidRDefault="008056FB" w:rsidP="00383C6B">
      <w:pPr>
        <w:jc w:val="both"/>
      </w:pPr>
      <w:r>
        <w:t>For the</w:t>
      </w:r>
      <w:r w:rsidRPr="002828A0">
        <w:t xml:space="preserve"> majority of the week</w:t>
      </w:r>
      <w:r>
        <w:t xml:space="preserve">, </w:t>
      </w:r>
      <w:r w:rsidRPr="002828A0">
        <w:t xml:space="preserve">the </w:t>
      </w:r>
      <w:r w:rsidR="00C04914" w:rsidRPr="002828A0">
        <w:t>continued local raise and lower regulation services requirements for South Australia resulted in prices for th</w:t>
      </w:r>
      <w:r w:rsidR="00D1516F" w:rsidRPr="002828A0">
        <w:t>e</w:t>
      </w:r>
      <w:r w:rsidR="00C04914" w:rsidRPr="002828A0">
        <w:t xml:space="preserve">se </w:t>
      </w:r>
      <w:r w:rsidR="00D1516F" w:rsidRPr="002828A0">
        <w:t xml:space="preserve">services </w:t>
      </w:r>
      <w:r w:rsidR="00C04914" w:rsidRPr="002828A0">
        <w:t xml:space="preserve">at </w:t>
      </w:r>
      <w:r w:rsidR="00D1516F" w:rsidRPr="002828A0">
        <w:t xml:space="preserve">around </w:t>
      </w:r>
      <w:r w:rsidR="00C04914" w:rsidRPr="002828A0">
        <w:t>$30</w:t>
      </w:r>
      <w:r w:rsidR="003C0710" w:rsidRPr="002828A0">
        <w:t>0</w:t>
      </w:r>
      <w:r w:rsidR="0056783F" w:rsidRPr="002828A0">
        <w:t xml:space="preserve">/MW. </w:t>
      </w:r>
      <w:r w:rsidR="009C4FB9" w:rsidRPr="002828A0">
        <w:t>There were a few occasions where prices increased to</w:t>
      </w:r>
      <w:r w:rsidR="0012092C" w:rsidRPr="002828A0">
        <w:t xml:space="preserve"> </w:t>
      </w:r>
      <w:r w:rsidR="00317A81" w:rsidRPr="002828A0">
        <w:t>just below $5000/MW</w:t>
      </w:r>
      <w:r w:rsidR="0012092C" w:rsidRPr="002828A0">
        <w:t xml:space="preserve"> in both regulation services as </w:t>
      </w:r>
      <w:r w:rsidR="002828A0" w:rsidRPr="002828A0">
        <w:t>was forecast</w:t>
      </w:r>
      <w:r w:rsidR="00D1516F" w:rsidRPr="002828A0">
        <w:t>.</w:t>
      </w:r>
    </w:p>
    <w:p w:rsidR="00950B15" w:rsidRPr="00405CDE" w:rsidRDefault="00950B15" w:rsidP="00950B15">
      <w:pPr>
        <w:pStyle w:val="AERHeading1"/>
        <w:keepNext/>
        <w:rPr>
          <w:rFonts w:cs="Arial"/>
        </w:rPr>
      </w:pPr>
      <w:r w:rsidRPr="00405CDE">
        <w:rPr>
          <w:rFonts w:cs="Arial"/>
        </w:rPr>
        <w:t>Detailed market analysis of significant price events</w:t>
      </w:r>
    </w:p>
    <w:p w:rsidR="00950B15" w:rsidRDefault="00950B15" w:rsidP="00950B15">
      <w:pPr>
        <w:pStyle w:val="AERbodytext"/>
        <w:spacing w:before="120" w:after="120"/>
        <w:rPr>
          <w:bCs/>
          <w:lang w:eastAsia="en-AU"/>
        </w:rPr>
      </w:pPr>
      <w:r w:rsidRPr="00215E19">
        <w:rPr>
          <w:bCs/>
          <w:lang w:eastAsia="en-AU"/>
        </w:rPr>
        <w:t xml:space="preserve">We provide more detailed analysis of events where the spot price was greater than three times the weekly average price in a region and above $250/MWh or was below </w:t>
      </w:r>
      <w:r w:rsidRPr="00215E19">
        <w:rPr>
          <w:bCs/>
          <w:lang w:eastAsia="en-AU"/>
        </w:rPr>
        <w:noBreakHyphen/>
        <w:t xml:space="preserve">$100/MWh. </w:t>
      </w:r>
    </w:p>
    <w:p w:rsidR="00950B15" w:rsidRPr="00002B2F" w:rsidRDefault="00950B15" w:rsidP="00950B15">
      <w:pPr>
        <w:pStyle w:val="AERHeading3"/>
      </w:pPr>
      <w:r>
        <w:t>Queensland</w:t>
      </w:r>
      <w:r w:rsidRPr="00002B2F">
        <w:t xml:space="preserve"> </w:t>
      </w:r>
    </w:p>
    <w:p w:rsidR="00950B15" w:rsidRPr="00950B15" w:rsidRDefault="00950B15" w:rsidP="00950B15">
      <w:pPr>
        <w:pStyle w:val="AERHeading3"/>
        <w:rPr>
          <w:rFonts w:cs="Arial"/>
          <w:b w:val="0"/>
          <w:bCs w:val="0"/>
          <w:color w:val="auto"/>
          <w:sz w:val="22"/>
          <w:szCs w:val="22"/>
        </w:rPr>
      </w:pPr>
      <w:r w:rsidRPr="00950B15">
        <w:rPr>
          <w:rFonts w:cs="Arial"/>
          <w:b w:val="0"/>
          <w:bCs w:val="0"/>
          <w:color w:val="auto"/>
          <w:sz w:val="22"/>
          <w:szCs w:val="22"/>
        </w:rPr>
        <w:t xml:space="preserve">There was one occasion where the spot price in Queensland was below </w:t>
      </w:r>
      <w:r w:rsidR="00122831" w:rsidRPr="00215E19">
        <w:rPr>
          <w:lang w:eastAsia="en-AU"/>
        </w:rPr>
        <w:noBreakHyphen/>
      </w:r>
      <w:r w:rsidRPr="00950B15">
        <w:rPr>
          <w:rFonts w:cs="Arial"/>
          <w:b w:val="0"/>
          <w:bCs w:val="0"/>
          <w:color w:val="auto"/>
          <w:sz w:val="22"/>
          <w:szCs w:val="22"/>
        </w:rPr>
        <w:t>$100/MWh.</w:t>
      </w:r>
    </w:p>
    <w:p w:rsidR="00950B15" w:rsidRDefault="00113AE0" w:rsidP="00950B15">
      <w:pPr>
        <w:pStyle w:val="AERHeading3"/>
      </w:pPr>
      <w:r>
        <w:t>Wednes</w:t>
      </w:r>
      <w:r w:rsidR="00950B15">
        <w:t xml:space="preserve">day, </w:t>
      </w:r>
      <w:r>
        <w:t>4</w:t>
      </w:r>
      <w:r w:rsidR="00950B15">
        <w:t xml:space="preserve"> November</w:t>
      </w:r>
    </w:p>
    <w:p w:rsidR="00950B15" w:rsidRPr="005D2FBD" w:rsidRDefault="00950B15" w:rsidP="00950B15">
      <w:pPr>
        <w:pStyle w:val="Caption"/>
      </w:pPr>
      <w:r>
        <w:t xml:space="preserve">Table </w:t>
      </w:r>
      <w:fldSimple w:instr=" SEQ Table \* ARABIC ">
        <w:r w:rsidR="009829BD">
          <w:rPr>
            <w:noProof/>
          </w:rPr>
          <w:t>3</w:t>
        </w:r>
      </w:fldSimple>
      <w:r>
        <w:t>:</w:t>
      </w:r>
      <w:r w:rsidRPr="00431FC4">
        <w:t xml:space="preserve"> Price, Demand and Availability</w:t>
      </w:r>
    </w:p>
    <w:tbl>
      <w:tblPr>
        <w:tblStyle w:val="AERTable-Text"/>
        <w:tblW w:w="5000" w:type="pct"/>
        <w:tblLook w:val="04A0" w:firstRow="1" w:lastRow="0" w:firstColumn="1" w:lastColumn="0" w:noHBand="0" w:noVBand="1"/>
      </w:tblPr>
      <w:tblGrid>
        <w:gridCol w:w="986"/>
        <w:gridCol w:w="1129"/>
        <w:gridCol w:w="928"/>
        <w:gridCol w:w="928"/>
        <w:gridCol w:w="773"/>
        <w:gridCol w:w="928"/>
        <w:gridCol w:w="928"/>
        <w:gridCol w:w="786"/>
        <w:gridCol w:w="928"/>
        <w:gridCol w:w="928"/>
      </w:tblGrid>
      <w:tr w:rsidR="00950B15" w:rsidRPr="00405CDE" w:rsidTr="00113AE0">
        <w:trPr>
          <w:cnfStyle w:val="100000000000" w:firstRow="1" w:lastRow="0" w:firstColumn="0" w:lastColumn="0" w:oddVBand="0" w:evenVBand="0" w:oddHBand="0" w:evenHBand="0" w:firstRowFirstColumn="0" w:firstRowLastColumn="0" w:lastRowFirstColumn="0" w:lastRowLastColumn="0"/>
          <w:tblHeader/>
        </w:trPr>
        <w:tc>
          <w:tcPr>
            <w:tcW w:w="533" w:type="pct"/>
            <w:tcBorders>
              <w:bottom w:val="nil"/>
            </w:tcBorders>
            <w:hideMark/>
          </w:tcPr>
          <w:p w:rsidR="00950B15" w:rsidRPr="00DC24BF" w:rsidRDefault="00950B15" w:rsidP="003F7976">
            <w:pPr>
              <w:pStyle w:val="TableHeading"/>
              <w:jc w:val="center"/>
              <w:rPr>
                <w:rFonts w:cs="Arial"/>
                <w:sz w:val="20"/>
                <w:szCs w:val="20"/>
              </w:rPr>
            </w:pPr>
            <w:r w:rsidRPr="00DC24BF">
              <w:rPr>
                <w:rFonts w:cs="Arial"/>
                <w:sz w:val="20"/>
                <w:szCs w:val="20"/>
              </w:rPr>
              <w:t xml:space="preserve">Time </w:t>
            </w:r>
          </w:p>
        </w:tc>
        <w:tc>
          <w:tcPr>
            <w:tcW w:w="1615" w:type="pct"/>
            <w:gridSpan w:val="3"/>
            <w:tcBorders>
              <w:bottom w:val="nil"/>
            </w:tcBorders>
            <w:hideMark/>
          </w:tcPr>
          <w:p w:rsidR="00950B15" w:rsidRPr="00DC24BF" w:rsidRDefault="00950B15" w:rsidP="003F7976">
            <w:pPr>
              <w:pStyle w:val="TableHeading"/>
              <w:jc w:val="center"/>
              <w:rPr>
                <w:rFonts w:cs="Arial"/>
                <w:sz w:val="20"/>
                <w:szCs w:val="20"/>
              </w:rPr>
            </w:pPr>
            <w:r w:rsidRPr="00DC24BF">
              <w:rPr>
                <w:rFonts w:cs="Arial"/>
                <w:sz w:val="20"/>
                <w:szCs w:val="20"/>
              </w:rPr>
              <w:t>Price ($/MWh)</w:t>
            </w:r>
          </w:p>
        </w:tc>
        <w:tc>
          <w:tcPr>
            <w:tcW w:w="1422" w:type="pct"/>
            <w:gridSpan w:val="3"/>
            <w:tcBorders>
              <w:bottom w:val="nil"/>
            </w:tcBorders>
            <w:hideMark/>
          </w:tcPr>
          <w:p w:rsidR="00950B15" w:rsidRPr="00DC24BF" w:rsidRDefault="00950B15" w:rsidP="003F7976">
            <w:pPr>
              <w:pStyle w:val="TableHeading"/>
              <w:jc w:val="center"/>
              <w:rPr>
                <w:rFonts w:cs="Arial"/>
                <w:sz w:val="20"/>
                <w:szCs w:val="20"/>
              </w:rPr>
            </w:pPr>
            <w:r w:rsidRPr="00DC24BF">
              <w:rPr>
                <w:rFonts w:cs="Arial"/>
                <w:sz w:val="20"/>
                <w:szCs w:val="20"/>
              </w:rPr>
              <w:t>Demand (MW)</w:t>
            </w:r>
          </w:p>
        </w:tc>
        <w:tc>
          <w:tcPr>
            <w:tcW w:w="1429" w:type="pct"/>
            <w:gridSpan w:val="3"/>
            <w:tcBorders>
              <w:bottom w:val="nil"/>
            </w:tcBorders>
            <w:hideMark/>
          </w:tcPr>
          <w:p w:rsidR="00950B15" w:rsidRPr="00DC24BF" w:rsidRDefault="00950B15" w:rsidP="003F7976">
            <w:pPr>
              <w:pStyle w:val="TableHeading"/>
              <w:jc w:val="center"/>
              <w:rPr>
                <w:rFonts w:cs="Arial"/>
                <w:sz w:val="20"/>
                <w:szCs w:val="20"/>
              </w:rPr>
            </w:pPr>
            <w:r w:rsidRPr="00DC24BF">
              <w:rPr>
                <w:rFonts w:cs="Arial"/>
                <w:sz w:val="20"/>
                <w:szCs w:val="20"/>
              </w:rPr>
              <w:t>Availability (MW)</w:t>
            </w:r>
          </w:p>
        </w:tc>
      </w:tr>
      <w:tr w:rsidR="00950B15" w:rsidRPr="00405CDE" w:rsidTr="00113AE0">
        <w:trPr>
          <w:cnfStyle w:val="100000000000" w:firstRow="1" w:lastRow="0" w:firstColumn="0" w:lastColumn="0" w:oddVBand="0" w:evenVBand="0" w:oddHBand="0" w:evenHBand="0" w:firstRowFirstColumn="0" w:firstRowLastColumn="0" w:lastRowFirstColumn="0" w:lastRowLastColumn="0"/>
          <w:tblHeader/>
        </w:trPr>
        <w:tc>
          <w:tcPr>
            <w:tcW w:w="533" w:type="pct"/>
            <w:tcBorders>
              <w:bottom w:val="nil"/>
            </w:tcBorders>
            <w:shd w:val="clear" w:color="auto" w:fill="007192" w:themeFill="accent3" w:themeFillShade="BF"/>
            <w:hideMark/>
          </w:tcPr>
          <w:p w:rsidR="00950B15" w:rsidRPr="00DC24BF" w:rsidRDefault="00950B15" w:rsidP="003F7976">
            <w:pPr>
              <w:pStyle w:val="tableheadingline2"/>
              <w:rPr>
                <w:rFonts w:cs="Arial"/>
                <w:sz w:val="20"/>
                <w:szCs w:val="20"/>
              </w:rPr>
            </w:pPr>
            <w:r w:rsidRPr="00DC24BF">
              <w:rPr>
                <w:rFonts w:cs="Arial"/>
                <w:sz w:val="20"/>
                <w:szCs w:val="20"/>
              </w:rPr>
              <w:t> </w:t>
            </w:r>
          </w:p>
        </w:tc>
        <w:tc>
          <w:tcPr>
            <w:tcW w:w="611" w:type="pct"/>
            <w:tcBorders>
              <w:bottom w:val="nil"/>
            </w:tcBorders>
            <w:shd w:val="clear" w:color="auto" w:fill="007192" w:themeFill="accent3" w:themeFillShade="BF"/>
            <w:hideMark/>
          </w:tcPr>
          <w:p w:rsidR="00950B15" w:rsidRPr="00DC24BF" w:rsidRDefault="00950B15" w:rsidP="003F7976">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950B15" w:rsidRPr="00DC24BF" w:rsidRDefault="00950B15" w:rsidP="003F7976">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950B15" w:rsidRPr="00DC24BF" w:rsidRDefault="00950B15" w:rsidP="003F7976">
            <w:pPr>
              <w:pStyle w:val="tableheadingline2"/>
              <w:rPr>
                <w:rFonts w:cs="Arial"/>
                <w:sz w:val="20"/>
                <w:szCs w:val="20"/>
              </w:rPr>
            </w:pPr>
            <w:r w:rsidRPr="00DC24BF">
              <w:rPr>
                <w:rFonts w:cs="Arial"/>
                <w:sz w:val="20"/>
                <w:szCs w:val="20"/>
              </w:rPr>
              <w:t>12 hr forecast</w:t>
            </w:r>
          </w:p>
        </w:tc>
        <w:tc>
          <w:tcPr>
            <w:tcW w:w="418" w:type="pct"/>
            <w:tcBorders>
              <w:bottom w:val="nil"/>
            </w:tcBorders>
            <w:shd w:val="clear" w:color="auto" w:fill="007192" w:themeFill="accent3" w:themeFillShade="BF"/>
            <w:hideMark/>
          </w:tcPr>
          <w:p w:rsidR="00950B15" w:rsidRPr="00DC24BF" w:rsidRDefault="00950B15" w:rsidP="003F7976">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950B15" w:rsidRPr="00DC24BF" w:rsidRDefault="00950B15" w:rsidP="003F7976">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950B15" w:rsidRPr="00DC24BF" w:rsidRDefault="00950B15" w:rsidP="003F7976">
            <w:pPr>
              <w:pStyle w:val="tableheadingline2"/>
              <w:rPr>
                <w:rFonts w:cs="Arial"/>
                <w:sz w:val="20"/>
                <w:szCs w:val="20"/>
              </w:rPr>
            </w:pPr>
            <w:r w:rsidRPr="00DC24BF">
              <w:rPr>
                <w:rFonts w:cs="Arial"/>
                <w:sz w:val="20"/>
                <w:szCs w:val="20"/>
              </w:rPr>
              <w:t>12 hr forecast</w:t>
            </w:r>
          </w:p>
        </w:tc>
        <w:tc>
          <w:tcPr>
            <w:tcW w:w="425" w:type="pct"/>
            <w:tcBorders>
              <w:bottom w:val="nil"/>
            </w:tcBorders>
            <w:shd w:val="clear" w:color="auto" w:fill="007192" w:themeFill="accent3" w:themeFillShade="BF"/>
            <w:hideMark/>
          </w:tcPr>
          <w:p w:rsidR="00950B15" w:rsidRPr="00DC24BF" w:rsidRDefault="00950B15" w:rsidP="003F7976">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950B15" w:rsidRPr="00DC24BF" w:rsidRDefault="00950B15" w:rsidP="003F7976">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950B15" w:rsidRPr="00DC24BF" w:rsidRDefault="00950B15" w:rsidP="003F7976">
            <w:pPr>
              <w:pStyle w:val="tableheadingline2"/>
              <w:rPr>
                <w:rFonts w:cs="Arial"/>
                <w:sz w:val="20"/>
                <w:szCs w:val="20"/>
              </w:rPr>
            </w:pPr>
            <w:r w:rsidRPr="00DC24BF">
              <w:rPr>
                <w:rFonts w:cs="Arial"/>
                <w:sz w:val="20"/>
                <w:szCs w:val="20"/>
              </w:rPr>
              <w:t>12 hr forecast</w:t>
            </w:r>
          </w:p>
        </w:tc>
      </w:tr>
      <w:tr w:rsidR="00113AE0" w:rsidRPr="00405CDE" w:rsidTr="00113AE0">
        <w:trPr>
          <w:trHeight w:val="510"/>
        </w:trPr>
        <w:tc>
          <w:tcPr>
            <w:tcW w:w="533" w:type="pct"/>
            <w:tcBorders>
              <w:top w:val="nil"/>
              <w:bottom w:val="nil"/>
            </w:tcBorders>
            <w:vAlign w:val="center"/>
          </w:tcPr>
          <w:p w:rsidR="00113AE0" w:rsidRPr="00950B15" w:rsidRDefault="00113AE0" w:rsidP="00113AE0">
            <w:pPr>
              <w:pStyle w:val="NormalWeb"/>
              <w:jc w:val="center"/>
              <w:rPr>
                <w:rFonts w:ascii="Arial" w:hAnsi="Arial" w:cs="Arial"/>
                <w:sz w:val="18"/>
                <w:szCs w:val="18"/>
              </w:rPr>
            </w:pPr>
            <w:r>
              <w:rPr>
                <w:rFonts w:ascii="Arial" w:hAnsi="Arial" w:cs="Arial"/>
                <w:b/>
                <w:bCs/>
                <w:sz w:val="18"/>
                <w:szCs w:val="18"/>
              </w:rPr>
              <w:t>6 am</w:t>
            </w:r>
          </w:p>
        </w:tc>
        <w:tc>
          <w:tcPr>
            <w:tcW w:w="611" w:type="pct"/>
            <w:tcBorders>
              <w:top w:val="nil"/>
              <w:bottom w:val="nil"/>
            </w:tcBorders>
            <w:vAlign w:val="center"/>
          </w:tcPr>
          <w:p w:rsidR="00113AE0" w:rsidRPr="00113AE0" w:rsidRDefault="00113AE0">
            <w:pPr>
              <w:pStyle w:val="NormalWeb"/>
              <w:jc w:val="center"/>
              <w:rPr>
                <w:rFonts w:asciiTheme="minorHAnsi" w:hAnsiTheme="minorHAnsi" w:cstheme="minorHAnsi"/>
                <w:sz w:val="18"/>
                <w:szCs w:val="18"/>
              </w:rPr>
            </w:pPr>
            <w:r w:rsidRPr="00113AE0">
              <w:rPr>
                <w:rFonts w:asciiTheme="minorHAnsi" w:hAnsiTheme="minorHAnsi" w:cstheme="minorHAnsi"/>
                <w:sz w:val="18"/>
                <w:szCs w:val="18"/>
              </w:rPr>
              <w:t>-164.75</w:t>
            </w:r>
          </w:p>
        </w:tc>
        <w:tc>
          <w:tcPr>
            <w:tcW w:w="502" w:type="pct"/>
            <w:tcBorders>
              <w:top w:val="nil"/>
              <w:bottom w:val="nil"/>
            </w:tcBorders>
            <w:vAlign w:val="center"/>
          </w:tcPr>
          <w:p w:rsidR="00113AE0" w:rsidRPr="00113AE0" w:rsidRDefault="00113AE0">
            <w:pPr>
              <w:pStyle w:val="NormalWeb"/>
              <w:jc w:val="center"/>
              <w:rPr>
                <w:rFonts w:asciiTheme="minorHAnsi" w:hAnsiTheme="minorHAnsi" w:cstheme="minorHAnsi"/>
                <w:sz w:val="18"/>
                <w:szCs w:val="18"/>
              </w:rPr>
            </w:pPr>
            <w:r w:rsidRPr="00113AE0">
              <w:rPr>
                <w:rFonts w:asciiTheme="minorHAnsi" w:hAnsiTheme="minorHAnsi" w:cstheme="minorHAnsi"/>
                <w:sz w:val="18"/>
                <w:szCs w:val="18"/>
              </w:rPr>
              <w:t>20.88</w:t>
            </w:r>
          </w:p>
        </w:tc>
        <w:tc>
          <w:tcPr>
            <w:tcW w:w="502" w:type="pct"/>
            <w:tcBorders>
              <w:top w:val="nil"/>
              <w:bottom w:val="nil"/>
            </w:tcBorders>
            <w:vAlign w:val="center"/>
          </w:tcPr>
          <w:p w:rsidR="00113AE0" w:rsidRPr="00113AE0" w:rsidRDefault="00113AE0">
            <w:pPr>
              <w:pStyle w:val="NormalWeb"/>
              <w:jc w:val="center"/>
              <w:rPr>
                <w:rFonts w:asciiTheme="minorHAnsi" w:hAnsiTheme="minorHAnsi" w:cstheme="minorHAnsi"/>
                <w:sz w:val="18"/>
                <w:szCs w:val="18"/>
              </w:rPr>
            </w:pPr>
            <w:r w:rsidRPr="00113AE0">
              <w:rPr>
                <w:rFonts w:asciiTheme="minorHAnsi" w:hAnsiTheme="minorHAnsi" w:cstheme="minorHAnsi"/>
                <w:sz w:val="18"/>
                <w:szCs w:val="18"/>
              </w:rPr>
              <w:t>26.02</w:t>
            </w:r>
          </w:p>
        </w:tc>
        <w:tc>
          <w:tcPr>
            <w:tcW w:w="418" w:type="pct"/>
            <w:tcBorders>
              <w:top w:val="nil"/>
              <w:bottom w:val="nil"/>
            </w:tcBorders>
            <w:vAlign w:val="center"/>
          </w:tcPr>
          <w:p w:rsidR="00113AE0" w:rsidRPr="00113AE0" w:rsidRDefault="00113AE0">
            <w:pPr>
              <w:pStyle w:val="NormalWeb"/>
              <w:jc w:val="center"/>
              <w:rPr>
                <w:rFonts w:asciiTheme="minorHAnsi" w:hAnsiTheme="minorHAnsi" w:cstheme="minorHAnsi"/>
                <w:sz w:val="18"/>
                <w:szCs w:val="18"/>
              </w:rPr>
            </w:pPr>
            <w:r w:rsidRPr="00113AE0">
              <w:rPr>
                <w:rFonts w:asciiTheme="minorHAnsi" w:hAnsiTheme="minorHAnsi" w:cstheme="minorHAnsi"/>
                <w:sz w:val="18"/>
                <w:szCs w:val="18"/>
              </w:rPr>
              <w:t>5469</w:t>
            </w:r>
          </w:p>
        </w:tc>
        <w:tc>
          <w:tcPr>
            <w:tcW w:w="502" w:type="pct"/>
            <w:tcBorders>
              <w:top w:val="nil"/>
              <w:bottom w:val="nil"/>
            </w:tcBorders>
            <w:vAlign w:val="center"/>
          </w:tcPr>
          <w:p w:rsidR="00113AE0" w:rsidRPr="00113AE0" w:rsidRDefault="00113AE0">
            <w:pPr>
              <w:pStyle w:val="NormalWeb"/>
              <w:jc w:val="center"/>
              <w:rPr>
                <w:rFonts w:asciiTheme="minorHAnsi" w:hAnsiTheme="minorHAnsi" w:cstheme="minorHAnsi"/>
                <w:sz w:val="18"/>
                <w:szCs w:val="18"/>
              </w:rPr>
            </w:pPr>
            <w:r w:rsidRPr="00113AE0">
              <w:rPr>
                <w:rFonts w:asciiTheme="minorHAnsi" w:hAnsiTheme="minorHAnsi" w:cstheme="minorHAnsi"/>
                <w:sz w:val="18"/>
                <w:szCs w:val="18"/>
              </w:rPr>
              <w:t>5432</w:t>
            </w:r>
          </w:p>
        </w:tc>
        <w:tc>
          <w:tcPr>
            <w:tcW w:w="502" w:type="pct"/>
            <w:tcBorders>
              <w:top w:val="nil"/>
              <w:bottom w:val="nil"/>
            </w:tcBorders>
            <w:vAlign w:val="center"/>
          </w:tcPr>
          <w:p w:rsidR="00113AE0" w:rsidRPr="00113AE0" w:rsidRDefault="00113AE0">
            <w:pPr>
              <w:pStyle w:val="NormalWeb"/>
              <w:jc w:val="center"/>
              <w:rPr>
                <w:rFonts w:asciiTheme="minorHAnsi" w:hAnsiTheme="minorHAnsi" w:cstheme="minorHAnsi"/>
                <w:sz w:val="18"/>
                <w:szCs w:val="18"/>
              </w:rPr>
            </w:pPr>
            <w:r w:rsidRPr="00113AE0">
              <w:rPr>
                <w:rFonts w:asciiTheme="minorHAnsi" w:hAnsiTheme="minorHAnsi" w:cstheme="minorHAnsi"/>
                <w:sz w:val="18"/>
                <w:szCs w:val="18"/>
              </w:rPr>
              <w:t>5553</w:t>
            </w:r>
          </w:p>
        </w:tc>
        <w:tc>
          <w:tcPr>
            <w:tcW w:w="425" w:type="pct"/>
            <w:tcBorders>
              <w:top w:val="nil"/>
              <w:bottom w:val="nil"/>
            </w:tcBorders>
            <w:vAlign w:val="center"/>
          </w:tcPr>
          <w:p w:rsidR="00113AE0" w:rsidRPr="00113AE0" w:rsidRDefault="00113AE0">
            <w:pPr>
              <w:pStyle w:val="NormalWeb"/>
              <w:jc w:val="center"/>
              <w:rPr>
                <w:rFonts w:asciiTheme="minorHAnsi" w:hAnsiTheme="minorHAnsi" w:cstheme="minorHAnsi"/>
                <w:sz w:val="18"/>
                <w:szCs w:val="18"/>
              </w:rPr>
            </w:pPr>
            <w:r w:rsidRPr="00113AE0">
              <w:rPr>
                <w:rFonts w:asciiTheme="minorHAnsi" w:hAnsiTheme="minorHAnsi" w:cstheme="minorHAnsi"/>
                <w:sz w:val="18"/>
                <w:szCs w:val="18"/>
              </w:rPr>
              <w:t>9832</w:t>
            </w:r>
          </w:p>
        </w:tc>
        <w:tc>
          <w:tcPr>
            <w:tcW w:w="502" w:type="pct"/>
            <w:tcBorders>
              <w:top w:val="nil"/>
              <w:bottom w:val="nil"/>
            </w:tcBorders>
            <w:vAlign w:val="center"/>
          </w:tcPr>
          <w:p w:rsidR="00113AE0" w:rsidRPr="00113AE0" w:rsidRDefault="00113AE0">
            <w:pPr>
              <w:pStyle w:val="NormalWeb"/>
              <w:jc w:val="center"/>
              <w:rPr>
                <w:rFonts w:asciiTheme="minorHAnsi" w:hAnsiTheme="minorHAnsi" w:cstheme="minorHAnsi"/>
                <w:sz w:val="18"/>
                <w:szCs w:val="18"/>
              </w:rPr>
            </w:pPr>
            <w:r w:rsidRPr="00113AE0">
              <w:rPr>
                <w:rFonts w:asciiTheme="minorHAnsi" w:hAnsiTheme="minorHAnsi" w:cstheme="minorHAnsi"/>
                <w:sz w:val="18"/>
                <w:szCs w:val="18"/>
              </w:rPr>
              <w:t>9887</w:t>
            </w:r>
          </w:p>
        </w:tc>
        <w:tc>
          <w:tcPr>
            <w:tcW w:w="502" w:type="pct"/>
            <w:tcBorders>
              <w:top w:val="nil"/>
              <w:bottom w:val="nil"/>
            </w:tcBorders>
            <w:vAlign w:val="center"/>
          </w:tcPr>
          <w:p w:rsidR="00113AE0" w:rsidRPr="00113AE0" w:rsidRDefault="00113AE0">
            <w:pPr>
              <w:pStyle w:val="NormalWeb"/>
              <w:jc w:val="center"/>
              <w:rPr>
                <w:rFonts w:asciiTheme="minorHAnsi" w:hAnsiTheme="minorHAnsi" w:cstheme="minorHAnsi"/>
                <w:sz w:val="18"/>
                <w:szCs w:val="18"/>
              </w:rPr>
            </w:pPr>
            <w:r w:rsidRPr="00113AE0">
              <w:rPr>
                <w:rFonts w:asciiTheme="minorHAnsi" w:hAnsiTheme="minorHAnsi" w:cstheme="minorHAnsi"/>
                <w:sz w:val="18"/>
                <w:szCs w:val="18"/>
              </w:rPr>
              <w:t>10 022</w:t>
            </w:r>
          </w:p>
        </w:tc>
      </w:tr>
    </w:tbl>
    <w:p w:rsidR="00950B15" w:rsidRDefault="00950B15" w:rsidP="00950B15">
      <w:pPr>
        <w:pStyle w:val="AERbodytext"/>
        <w:spacing w:before="120" w:after="120"/>
        <w:rPr>
          <w:bCs/>
          <w:lang w:eastAsia="en-AU"/>
        </w:rPr>
      </w:pPr>
    </w:p>
    <w:p w:rsidR="00950B15" w:rsidRDefault="00950B15" w:rsidP="00950B15">
      <w:pPr>
        <w:pStyle w:val="AERbodytext"/>
        <w:spacing w:before="120" w:after="120"/>
      </w:pPr>
      <w:r w:rsidRPr="00D70F71">
        <w:t xml:space="preserve">Demand and available capacity were close to forecast four hours ahead. </w:t>
      </w:r>
    </w:p>
    <w:p w:rsidR="00950B15" w:rsidRPr="00215E19" w:rsidRDefault="00D70F71" w:rsidP="00950B15">
      <w:pPr>
        <w:pStyle w:val="AERbodytext"/>
        <w:spacing w:before="120" w:after="120"/>
        <w:rPr>
          <w:bCs/>
          <w:lang w:eastAsia="en-AU"/>
        </w:rPr>
      </w:pPr>
      <w:r>
        <w:t xml:space="preserve">At 5.52 am CS Energy rebid 440 MW of capacity at Gladstone from the price cap to the price floor. The reason given was “0536A dispatch price lower than 5min forecast-SL”. This resulted in the price dropping from </w:t>
      </w:r>
      <w:r w:rsidR="00122831" w:rsidRPr="00215E19">
        <w:rPr>
          <w:bCs/>
          <w:lang w:eastAsia="en-AU"/>
        </w:rPr>
        <w:noBreakHyphen/>
      </w:r>
      <w:r>
        <w:t>$0.05/MWh at 5.50 pm to the price floor at 5.55 pm. The dispatch price increased to $12</w:t>
      </w:r>
      <w:r w:rsidR="00122831">
        <w:t xml:space="preserve">/MWh </w:t>
      </w:r>
      <w:r>
        <w:t>at 6 pm when capacity was rebid to higher prices and there was a 143 MW increase in demand.</w:t>
      </w:r>
    </w:p>
    <w:p w:rsidR="00950B15" w:rsidRPr="00002B2F" w:rsidRDefault="00113AE0" w:rsidP="00950B15">
      <w:pPr>
        <w:pStyle w:val="AERHeading3"/>
      </w:pPr>
      <w:r>
        <w:t>South Australia</w:t>
      </w:r>
    </w:p>
    <w:p w:rsidR="00950B15" w:rsidRPr="00215E19" w:rsidRDefault="00950B15" w:rsidP="00950B15">
      <w:pPr>
        <w:pStyle w:val="AERbodytext"/>
        <w:spacing w:before="120" w:after="120"/>
        <w:rPr>
          <w:bCs/>
          <w:lang w:eastAsia="en-AU"/>
        </w:rPr>
      </w:pPr>
      <w:r w:rsidRPr="00215E19">
        <w:rPr>
          <w:bCs/>
          <w:lang w:eastAsia="en-AU"/>
        </w:rPr>
        <w:t>There w</w:t>
      </w:r>
      <w:r>
        <w:rPr>
          <w:bCs/>
          <w:lang w:eastAsia="en-AU"/>
        </w:rPr>
        <w:t>ere</w:t>
      </w:r>
      <w:r w:rsidRPr="00215E19">
        <w:rPr>
          <w:bCs/>
          <w:lang w:eastAsia="en-AU"/>
        </w:rPr>
        <w:t xml:space="preserve"> </w:t>
      </w:r>
      <w:r>
        <w:rPr>
          <w:bCs/>
          <w:lang w:eastAsia="en-AU"/>
        </w:rPr>
        <w:t>four</w:t>
      </w:r>
      <w:r w:rsidRPr="00215E19">
        <w:rPr>
          <w:bCs/>
          <w:lang w:eastAsia="en-AU"/>
        </w:rPr>
        <w:t xml:space="preserve"> occasion</w:t>
      </w:r>
      <w:r>
        <w:rPr>
          <w:bCs/>
          <w:lang w:eastAsia="en-AU"/>
        </w:rPr>
        <w:t>s</w:t>
      </w:r>
      <w:r w:rsidRPr="00215E19">
        <w:rPr>
          <w:bCs/>
          <w:lang w:eastAsia="en-AU"/>
        </w:rPr>
        <w:t xml:space="preserve"> where the spot price in South Australia was greater than three times the South Australia weekly average price of $5</w:t>
      </w:r>
      <w:r>
        <w:rPr>
          <w:bCs/>
          <w:lang w:eastAsia="en-AU"/>
        </w:rPr>
        <w:t>6</w:t>
      </w:r>
      <w:r w:rsidRPr="00215E19">
        <w:rPr>
          <w:bCs/>
          <w:lang w:eastAsia="en-AU"/>
        </w:rPr>
        <w:t>/MWh and above $250/MWh.</w:t>
      </w:r>
    </w:p>
    <w:p w:rsidR="00950B15" w:rsidRDefault="00950B15" w:rsidP="00950B15">
      <w:pPr>
        <w:pStyle w:val="AERHeading3"/>
      </w:pPr>
      <w:r>
        <w:t>Sunday, 1 November</w:t>
      </w:r>
    </w:p>
    <w:p w:rsidR="00950B15" w:rsidRPr="005D2FBD" w:rsidRDefault="00950B15" w:rsidP="00950B15">
      <w:pPr>
        <w:pStyle w:val="Caption"/>
      </w:pPr>
      <w:r>
        <w:t xml:space="preserve">Table </w:t>
      </w:r>
      <w:fldSimple w:instr=" SEQ Table \* ARABIC ">
        <w:r w:rsidR="009829BD">
          <w:rPr>
            <w:noProof/>
          </w:rPr>
          <w:t>4</w:t>
        </w:r>
      </w:fldSimple>
      <w:r>
        <w:t>:</w:t>
      </w:r>
      <w:r w:rsidRPr="00431FC4">
        <w:t xml:space="preserve"> Price, Demand and Availability</w:t>
      </w:r>
    </w:p>
    <w:tbl>
      <w:tblPr>
        <w:tblStyle w:val="AERTable-Text"/>
        <w:tblW w:w="5000" w:type="pct"/>
        <w:tblLook w:val="04A0" w:firstRow="1" w:lastRow="0" w:firstColumn="1" w:lastColumn="0" w:noHBand="0" w:noVBand="1"/>
      </w:tblPr>
      <w:tblGrid>
        <w:gridCol w:w="987"/>
        <w:gridCol w:w="1129"/>
        <w:gridCol w:w="928"/>
        <w:gridCol w:w="928"/>
        <w:gridCol w:w="772"/>
        <w:gridCol w:w="928"/>
        <w:gridCol w:w="928"/>
        <w:gridCol w:w="786"/>
        <w:gridCol w:w="928"/>
        <w:gridCol w:w="928"/>
      </w:tblGrid>
      <w:tr w:rsidR="00950B15" w:rsidRPr="00405CDE" w:rsidTr="003F7976">
        <w:trPr>
          <w:cnfStyle w:val="100000000000" w:firstRow="1" w:lastRow="0" w:firstColumn="0" w:lastColumn="0" w:oddVBand="0" w:evenVBand="0" w:oddHBand="0" w:evenHBand="0" w:firstRowFirstColumn="0" w:firstRowLastColumn="0" w:lastRowFirstColumn="0" w:lastRowLastColumn="0"/>
          <w:tblHeader/>
        </w:trPr>
        <w:tc>
          <w:tcPr>
            <w:tcW w:w="506" w:type="pct"/>
            <w:tcBorders>
              <w:bottom w:val="nil"/>
            </w:tcBorders>
            <w:hideMark/>
          </w:tcPr>
          <w:p w:rsidR="00950B15" w:rsidRPr="00DC24BF" w:rsidRDefault="00950B15" w:rsidP="003F7976">
            <w:pPr>
              <w:pStyle w:val="TableHeading"/>
              <w:jc w:val="center"/>
              <w:rPr>
                <w:rFonts w:cs="Arial"/>
                <w:sz w:val="20"/>
                <w:szCs w:val="20"/>
              </w:rPr>
            </w:pPr>
            <w:r w:rsidRPr="00DC24BF">
              <w:rPr>
                <w:rFonts w:cs="Arial"/>
                <w:sz w:val="20"/>
                <w:szCs w:val="20"/>
              </w:rPr>
              <w:t xml:space="preserve">Time </w:t>
            </w:r>
          </w:p>
        </w:tc>
        <w:tc>
          <w:tcPr>
            <w:tcW w:w="1624" w:type="pct"/>
            <w:gridSpan w:val="3"/>
            <w:tcBorders>
              <w:bottom w:val="nil"/>
            </w:tcBorders>
            <w:hideMark/>
          </w:tcPr>
          <w:p w:rsidR="00950B15" w:rsidRPr="00DC24BF" w:rsidRDefault="00950B15" w:rsidP="003F7976">
            <w:pPr>
              <w:pStyle w:val="TableHeading"/>
              <w:jc w:val="center"/>
              <w:rPr>
                <w:rFonts w:cs="Arial"/>
                <w:sz w:val="20"/>
                <w:szCs w:val="20"/>
              </w:rPr>
            </w:pPr>
            <w:r w:rsidRPr="00DC24BF">
              <w:rPr>
                <w:rFonts w:cs="Arial"/>
                <w:sz w:val="20"/>
                <w:szCs w:val="20"/>
              </w:rPr>
              <w:t>Price ($/MWh)</w:t>
            </w:r>
          </w:p>
        </w:tc>
        <w:tc>
          <w:tcPr>
            <w:tcW w:w="1422" w:type="pct"/>
            <w:gridSpan w:val="3"/>
            <w:tcBorders>
              <w:bottom w:val="nil"/>
            </w:tcBorders>
            <w:hideMark/>
          </w:tcPr>
          <w:p w:rsidR="00950B15" w:rsidRPr="00DC24BF" w:rsidRDefault="00950B15" w:rsidP="003F7976">
            <w:pPr>
              <w:pStyle w:val="TableHeading"/>
              <w:jc w:val="center"/>
              <w:rPr>
                <w:rFonts w:cs="Arial"/>
                <w:sz w:val="20"/>
                <w:szCs w:val="20"/>
              </w:rPr>
            </w:pPr>
            <w:r w:rsidRPr="00DC24BF">
              <w:rPr>
                <w:rFonts w:cs="Arial"/>
                <w:sz w:val="20"/>
                <w:szCs w:val="20"/>
              </w:rPr>
              <w:t>Demand (MW)</w:t>
            </w:r>
          </w:p>
        </w:tc>
        <w:tc>
          <w:tcPr>
            <w:tcW w:w="1447" w:type="pct"/>
            <w:gridSpan w:val="3"/>
            <w:tcBorders>
              <w:bottom w:val="nil"/>
            </w:tcBorders>
            <w:hideMark/>
          </w:tcPr>
          <w:p w:rsidR="00950B15" w:rsidRPr="00DC24BF" w:rsidRDefault="00950B15" w:rsidP="003F7976">
            <w:pPr>
              <w:pStyle w:val="TableHeading"/>
              <w:jc w:val="center"/>
              <w:rPr>
                <w:rFonts w:cs="Arial"/>
                <w:sz w:val="20"/>
                <w:szCs w:val="20"/>
              </w:rPr>
            </w:pPr>
            <w:r w:rsidRPr="00DC24BF">
              <w:rPr>
                <w:rFonts w:cs="Arial"/>
                <w:sz w:val="20"/>
                <w:szCs w:val="20"/>
              </w:rPr>
              <w:t>Availability (MW)</w:t>
            </w:r>
          </w:p>
        </w:tc>
      </w:tr>
      <w:tr w:rsidR="00950B15" w:rsidRPr="00405CDE" w:rsidTr="003F7976">
        <w:trPr>
          <w:cnfStyle w:val="100000000000" w:firstRow="1" w:lastRow="0" w:firstColumn="0" w:lastColumn="0" w:oddVBand="0" w:evenVBand="0" w:oddHBand="0" w:evenHBand="0" w:firstRowFirstColumn="0" w:firstRowLastColumn="0" w:lastRowFirstColumn="0" w:lastRowLastColumn="0"/>
          <w:tblHeader/>
        </w:trPr>
        <w:tc>
          <w:tcPr>
            <w:tcW w:w="506" w:type="pct"/>
            <w:tcBorders>
              <w:bottom w:val="nil"/>
            </w:tcBorders>
            <w:shd w:val="clear" w:color="auto" w:fill="007192" w:themeFill="accent3" w:themeFillShade="BF"/>
            <w:hideMark/>
          </w:tcPr>
          <w:p w:rsidR="00950B15" w:rsidRPr="00DC24BF" w:rsidRDefault="00950B15" w:rsidP="003F7976">
            <w:pPr>
              <w:pStyle w:val="tableheadingline2"/>
              <w:rPr>
                <w:rFonts w:cs="Arial"/>
                <w:sz w:val="20"/>
                <w:szCs w:val="20"/>
              </w:rPr>
            </w:pPr>
            <w:r w:rsidRPr="00DC24BF">
              <w:rPr>
                <w:rFonts w:cs="Arial"/>
                <w:sz w:val="20"/>
                <w:szCs w:val="20"/>
              </w:rPr>
              <w:t> </w:t>
            </w:r>
          </w:p>
        </w:tc>
        <w:tc>
          <w:tcPr>
            <w:tcW w:w="620" w:type="pct"/>
            <w:tcBorders>
              <w:bottom w:val="nil"/>
            </w:tcBorders>
            <w:shd w:val="clear" w:color="auto" w:fill="007192" w:themeFill="accent3" w:themeFillShade="BF"/>
            <w:hideMark/>
          </w:tcPr>
          <w:p w:rsidR="00950B15" w:rsidRPr="00DC24BF" w:rsidRDefault="00950B15" w:rsidP="003F7976">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950B15" w:rsidRPr="00DC24BF" w:rsidRDefault="00950B15" w:rsidP="003F7976">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950B15" w:rsidRPr="00DC24BF" w:rsidRDefault="00950B15" w:rsidP="003F7976">
            <w:pPr>
              <w:pStyle w:val="tableheadingline2"/>
              <w:rPr>
                <w:rFonts w:cs="Arial"/>
                <w:sz w:val="20"/>
                <w:szCs w:val="20"/>
              </w:rPr>
            </w:pPr>
            <w:r w:rsidRPr="00DC24BF">
              <w:rPr>
                <w:rFonts w:cs="Arial"/>
                <w:sz w:val="20"/>
                <w:szCs w:val="20"/>
              </w:rPr>
              <w:t>12 hr forecast</w:t>
            </w:r>
          </w:p>
        </w:tc>
        <w:tc>
          <w:tcPr>
            <w:tcW w:w="418" w:type="pct"/>
            <w:tcBorders>
              <w:bottom w:val="nil"/>
            </w:tcBorders>
            <w:shd w:val="clear" w:color="auto" w:fill="007192" w:themeFill="accent3" w:themeFillShade="BF"/>
            <w:hideMark/>
          </w:tcPr>
          <w:p w:rsidR="00950B15" w:rsidRPr="00DC24BF" w:rsidRDefault="00950B15" w:rsidP="003F7976">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950B15" w:rsidRPr="00DC24BF" w:rsidRDefault="00950B15" w:rsidP="003F7976">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950B15" w:rsidRPr="00DC24BF" w:rsidRDefault="00950B15" w:rsidP="003F7976">
            <w:pPr>
              <w:pStyle w:val="tableheadingline2"/>
              <w:rPr>
                <w:rFonts w:cs="Arial"/>
                <w:sz w:val="20"/>
                <w:szCs w:val="20"/>
              </w:rPr>
            </w:pPr>
            <w:r w:rsidRPr="00DC24BF">
              <w:rPr>
                <w:rFonts w:cs="Arial"/>
                <w:sz w:val="20"/>
                <w:szCs w:val="20"/>
              </w:rPr>
              <w:t>12 hr forecast</w:t>
            </w:r>
          </w:p>
        </w:tc>
        <w:tc>
          <w:tcPr>
            <w:tcW w:w="443" w:type="pct"/>
            <w:tcBorders>
              <w:bottom w:val="nil"/>
            </w:tcBorders>
            <w:shd w:val="clear" w:color="auto" w:fill="007192" w:themeFill="accent3" w:themeFillShade="BF"/>
            <w:hideMark/>
          </w:tcPr>
          <w:p w:rsidR="00950B15" w:rsidRPr="00DC24BF" w:rsidRDefault="00950B15" w:rsidP="003F7976">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950B15" w:rsidRPr="00DC24BF" w:rsidRDefault="00950B15" w:rsidP="003F7976">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950B15" w:rsidRPr="00DC24BF" w:rsidRDefault="00950B15" w:rsidP="003F7976">
            <w:pPr>
              <w:pStyle w:val="tableheadingline2"/>
              <w:rPr>
                <w:rFonts w:cs="Arial"/>
                <w:sz w:val="20"/>
                <w:szCs w:val="20"/>
              </w:rPr>
            </w:pPr>
            <w:r w:rsidRPr="00DC24BF">
              <w:rPr>
                <w:rFonts w:cs="Arial"/>
                <w:sz w:val="20"/>
                <w:szCs w:val="20"/>
              </w:rPr>
              <w:t>12 hr forecast</w:t>
            </w:r>
          </w:p>
        </w:tc>
      </w:tr>
      <w:tr w:rsidR="00950B15" w:rsidRPr="00405CDE" w:rsidTr="003F7976">
        <w:trPr>
          <w:trHeight w:val="510"/>
        </w:trPr>
        <w:tc>
          <w:tcPr>
            <w:tcW w:w="506" w:type="pct"/>
            <w:tcBorders>
              <w:top w:val="nil"/>
              <w:bottom w:val="nil"/>
            </w:tcBorders>
            <w:vAlign w:val="center"/>
          </w:tcPr>
          <w:p w:rsidR="00950B15" w:rsidRPr="00950B15" w:rsidRDefault="00950B15" w:rsidP="00950B15">
            <w:pPr>
              <w:pStyle w:val="NormalWeb"/>
              <w:jc w:val="center"/>
              <w:rPr>
                <w:rFonts w:ascii="Arial" w:hAnsi="Arial" w:cs="Arial"/>
                <w:sz w:val="18"/>
                <w:szCs w:val="18"/>
              </w:rPr>
            </w:pPr>
            <w:r w:rsidRPr="00950B15">
              <w:rPr>
                <w:rFonts w:ascii="Arial" w:hAnsi="Arial" w:cs="Arial"/>
                <w:b/>
                <w:bCs/>
                <w:sz w:val="18"/>
                <w:szCs w:val="18"/>
              </w:rPr>
              <w:t>10</w:t>
            </w:r>
            <w:r>
              <w:rPr>
                <w:rFonts w:ascii="Arial" w:hAnsi="Arial" w:cs="Arial"/>
                <w:b/>
                <w:bCs/>
                <w:sz w:val="18"/>
                <w:szCs w:val="18"/>
              </w:rPr>
              <w:t> pm</w:t>
            </w:r>
          </w:p>
        </w:tc>
        <w:tc>
          <w:tcPr>
            <w:tcW w:w="620" w:type="pct"/>
            <w:tcBorders>
              <w:top w:val="nil"/>
              <w:bottom w:val="nil"/>
            </w:tcBorders>
            <w:vAlign w:val="center"/>
          </w:tcPr>
          <w:p w:rsidR="00950B15" w:rsidRPr="00950B15" w:rsidRDefault="00950B15">
            <w:pPr>
              <w:pStyle w:val="NormalWeb"/>
              <w:jc w:val="center"/>
              <w:rPr>
                <w:rFonts w:ascii="Arial" w:hAnsi="Arial" w:cs="Arial"/>
                <w:sz w:val="18"/>
                <w:szCs w:val="18"/>
              </w:rPr>
            </w:pPr>
            <w:r w:rsidRPr="00950B15">
              <w:rPr>
                <w:rFonts w:ascii="Arial" w:hAnsi="Arial" w:cs="Arial"/>
                <w:sz w:val="18"/>
                <w:szCs w:val="18"/>
              </w:rPr>
              <w:t>388.33</w:t>
            </w:r>
          </w:p>
        </w:tc>
        <w:tc>
          <w:tcPr>
            <w:tcW w:w="502" w:type="pct"/>
            <w:tcBorders>
              <w:top w:val="nil"/>
              <w:bottom w:val="nil"/>
            </w:tcBorders>
            <w:vAlign w:val="center"/>
          </w:tcPr>
          <w:p w:rsidR="00950B15" w:rsidRPr="00950B15" w:rsidRDefault="00950B15">
            <w:pPr>
              <w:pStyle w:val="NormalWeb"/>
              <w:jc w:val="center"/>
              <w:rPr>
                <w:rFonts w:ascii="Arial" w:hAnsi="Arial" w:cs="Arial"/>
                <w:sz w:val="18"/>
                <w:szCs w:val="18"/>
              </w:rPr>
            </w:pPr>
            <w:r w:rsidRPr="00950B15">
              <w:rPr>
                <w:rFonts w:ascii="Arial" w:hAnsi="Arial" w:cs="Arial"/>
                <w:sz w:val="18"/>
                <w:szCs w:val="18"/>
              </w:rPr>
              <w:t>26.13</w:t>
            </w:r>
          </w:p>
        </w:tc>
        <w:tc>
          <w:tcPr>
            <w:tcW w:w="502" w:type="pct"/>
            <w:tcBorders>
              <w:top w:val="nil"/>
              <w:bottom w:val="nil"/>
            </w:tcBorders>
            <w:vAlign w:val="center"/>
          </w:tcPr>
          <w:p w:rsidR="00950B15" w:rsidRPr="00950B15" w:rsidRDefault="00950B15">
            <w:pPr>
              <w:pStyle w:val="NormalWeb"/>
              <w:jc w:val="center"/>
              <w:rPr>
                <w:rFonts w:ascii="Arial" w:hAnsi="Arial" w:cs="Arial"/>
                <w:sz w:val="18"/>
                <w:szCs w:val="18"/>
              </w:rPr>
            </w:pPr>
            <w:r w:rsidRPr="00950B15">
              <w:rPr>
                <w:rFonts w:ascii="Arial" w:hAnsi="Arial" w:cs="Arial"/>
                <w:sz w:val="18"/>
                <w:szCs w:val="18"/>
              </w:rPr>
              <w:t>32.81</w:t>
            </w:r>
          </w:p>
        </w:tc>
        <w:tc>
          <w:tcPr>
            <w:tcW w:w="418" w:type="pct"/>
            <w:tcBorders>
              <w:top w:val="nil"/>
              <w:bottom w:val="nil"/>
            </w:tcBorders>
            <w:vAlign w:val="center"/>
          </w:tcPr>
          <w:p w:rsidR="00950B15" w:rsidRPr="00950B15" w:rsidRDefault="00950B15">
            <w:pPr>
              <w:pStyle w:val="NormalWeb"/>
              <w:jc w:val="center"/>
              <w:rPr>
                <w:rFonts w:ascii="Arial" w:hAnsi="Arial" w:cs="Arial"/>
                <w:sz w:val="18"/>
                <w:szCs w:val="18"/>
              </w:rPr>
            </w:pPr>
            <w:r w:rsidRPr="00950B15">
              <w:rPr>
                <w:rFonts w:ascii="Arial" w:hAnsi="Arial" w:cs="Arial"/>
                <w:sz w:val="18"/>
                <w:szCs w:val="18"/>
              </w:rPr>
              <w:t>1290</w:t>
            </w:r>
          </w:p>
        </w:tc>
        <w:tc>
          <w:tcPr>
            <w:tcW w:w="502" w:type="pct"/>
            <w:tcBorders>
              <w:top w:val="nil"/>
              <w:bottom w:val="nil"/>
            </w:tcBorders>
            <w:vAlign w:val="center"/>
          </w:tcPr>
          <w:p w:rsidR="00950B15" w:rsidRPr="00950B15" w:rsidRDefault="00950B15">
            <w:pPr>
              <w:pStyle w:val="NormalWeb"/>
              <w:jc w:val="center"/>
              <w:rPr>
                <w:rFonts w:ascii="Arial" w:hAnsi="Arial" w:cs="Arial"/>
                <w:sz w:val="18"/>
                <w:szCs w:val="18"/>
              </w:rPr>
            </w:pPr>
            <w:r w:rsidRPr="00950B15">
              <w:rPr>
                <w:rFonts w:ascii="Arial" w:hAnsi="Arial" w:cs="Arial"/>
                <w:sz w:val="18"/>
                <w:szCs w:val="18"/>
              </w:rPr>
              <w:t>1256</w:t>
            </w:r>
          </w:p>
        </w:tc>
        <w:tc>
          <w:tcPr>
            <w:tcW w:w="502" w:type="pct"/>
            <w:tcBorders>
              <w:top w:val="nil"/>
              <w:bottom w:val="nil"/>
            </w:tcBorders>
            <w:vAlign w:val="center"/>
          </w:tcPr>
          <w:p w:rsidR="00950B15" w:rsidRPr="00950B15" w:rsidRDefault="00950B15">
            <w:pPr>
              <w:pStyle w:val="NormalWeb"/>
              <w:jc w:val="center"/>
              <w:rPr>
                <w:rFonts w:ascii="Arial" w:hAnsi="Arial" w:cs="Arial"/>
                <w:sz w:val="18"/>
                <w:szCs w:val="18"/>
              </w:rPr>
            </w:pPr>
            <w:r w:rsidRPr="00950B15">
              <w:rPr>
                <w:rFonts w:ascii="Arial" w:hAnsi="Arial" w:cs="Arial"/>
                <w:sz w:val="18"/>
                <w:szCs w:val="18"/>
              </w:rPr>
              <w:t>1249</w:t>
            </w:r>
          </w:p>
        </w:tc>
        <w:tc>
          <w:tcPr>
            <w:tcW w:w="443" w:type="pct"/>
            <w:tcBorders>
              <w:top w:val="nil"/>
              <w:bottom w:val="nil"/>
            </w:tcBorders>
            <w:vAlign w:val="center"/>
          </w:tcPr>
          <w:p w:rsidR="00950B15" w:rsidRPr="00950B15" w:rsidRDefault="00950B15">
            <w:pPr>
              <w:pStyle w:val="NormalWeb"/>
              <w:jc w:val="center"/>
              <w:rPr>
                <w:rFonts w:ascii="Arial" w:hAnsi="Arial" w:cs="Arial"/>
                <w:sz w:val="18"/>
                <w:szCs w:val="18"/>
              </w:rPr>
            </w:pPr>
            <w:r w:rsidRPr="00950B15">
              <w:rPr>
                <w:rFonts w:ascii="Arial" w:hAnsi="Arial" w:cs="Arial"/>
                <w:sz w:val="18"/>
                <w:szCs w:val="18"/>
              </w:rPr>
              <w:t>2313</w:t>
            </w:r>
          </w:p>
        </w:tc>
        <w:tc>
          <w:tcPr>
            <w:tcW w:w="502" w:type="pct"/>
            <w:tcBorders>
              <w:top w:val="nil"/>
              <w:bottom w:val="nil"/>
            </w:tcBorders>
            <w:vAlign w:val="center"/>
          </w:tcPr>
          <w:p w:rsidR="00950B15" w:rsidRPr="00950B15" w:rsidRDefault="00950B15">
            <w:pPr>
              <w:pStyle w:val="NormalWeb"/>
              <w:jc w:val="center"/>
              <w:rPr>
                <w:rFonts w:ascii="Arial" w:hAnsi="Arial" w:cs="Arial"/>
                <w:sz w:val="18"/>
                <w:szCs w:val="18"/>
              </w:rPr>
            </w:pPr>
            <w:r w:rsidRPr="00950B15">
              <w:rPr>
                <w:rFonts w:ascii="Arial" w:hAnsi="Arial" w:cs="Arial"/>
                <w:sz w:val="18"/>
                <w:szCs w:val="18"/>
              </w:rPr>
              <w:t>2354</w:t>
            </w:r>
          </w:p>
        </w:tc>
        <w:tc>
          <w:tcPr>
            <w:tcW w:w="502" w:type="pct"/>
            <w:tcBorders>
              <w:top w:val="nil"/>
              <w:bottom w:val="nil"/>
            </w:tcBorders>
            <w:vAlign w:val="center"/>
          </w:tcPr>
          <w:p w:rsidR="00950B15" w:rsidRPr="00950B15" w:rsidRDefault="00950B15">
            <w:pPr>
              <w:pStyle w:val="NormalWeb"/>
              <w:jc w:val="center"/>
              <w:rPr>
                <w:rFonts w:ascii="Arial" w:hAnsi="Arial" w:cs="Arial"/>
                <w:sz w:val="18"/>
                <w:szCs w:val="18"/>
              </w:rPr>
            </w:pPr>
            <w:r w:rsidRPr="00950B15">
              <w:rPr>
                <w:rFonts w:ascii="Arial" w:hAnsi="Arial" w:cs="Arial"/>
                <w:sz w:val="18"/>
                <w:szCs w:val="18"/>
              </w:rPr>
              <w:t>2296</w:t>
            </w:r>
          </w:p>
        </w:tc>
      </w:tr>
      <w:tr w:rsidR="00950B15" w:rsidRPr="00405CDE" w:rsidTr="003F7976">
        <w:trPr>
          <w:cnfStyle w:val="000000010000" w:firstRow="0" w:lastRow="0" w:firstColumn="0" w:lastColumn="0" w:oddVBand="0" w:evenVBand="0" w:oddHBand="0" w:evenHBand="1" w:firstRowFirstColumn="0" w:firstRowLastColumn="0" w:lastRowFirstColumn="0" w:lastRowLastColumn="0"/>
          <w:trHeight w:val="510"/>
        </w:trPr>
        <w:tc>
          <w:tcPr>
            <w:tcW w:w="506" w:type="pct"/>
            <w:tcBorders>
              <w:top w:val="nil"/>
              <w:bottom w:val="nil"/>
            </w:tcBorders>
            <w:vAlign w:val="center"/>
          </w:tcPr>
          <w:p w:rsidR="00950B15" w:rsidRPr="00950B15" w:rsidRDefault="00950B15" w:rsidP="00950B15">
            <w:pPr>
              <w:pStyle w:val="NormalWeb"/>
              <w:jc w:val="center"/>
              <w:rPr>
                <w:rFonts w:ascii="Arial" w:hAnsi="Arial" w:cs="Arial"/>
                <w:sz w:val="18"/>
                <w:szCs w:val="18"/>
              </w:rPr>
            </w:pPr>
            <w:r w:rsidRPr="00950B15">
              <w:rPr>
                <w:rFonts w:ascii="Arial" w:hAnsi="Arial" w:cs="Arial"/>
                <w:b/>
                <w:bCs/>
                <w:sz w:val="18"/>
                <w:szCs w:val="18"/>
              </w:rPr>
              <w:t>10</w:t>
            </w:r>
            <w:r>
              <w:rPr>
                <w:rFonts w:ascii="Arial" w:hAnsi="Arial" w:cs="Arial"/>
                <w:b/>
                <w:bCs/>
                <w:sz w:val="18"/>
                <w:szCs w:val="18"/>
              </w:rPr>
              <w:t>.</w:t>
            </w:r>
            <w:r w:rsidRPr="00950B15">
              <w:rPr>
                <w:rFonts w:ascii="Arial" w:hAnsi="Arial" w:cs="Arial"/>
                <w:b/>
                <w:bCs/>
                <w:sz w:val="18"/>
                <w:szCs w:val="18"/>
              </w:rPr>
              <w:t>30</w:t>
            </w:r>
            <w:r>
              <w:rPr>
                <w:rFonts w:ascii="Arial" w:hAnsi="Arial" w:cs="Arial"/>
                <w:b/>
                <w:bCs/>
                <w:sz w:val="18"/>
                <w:szCs w:val="18"/>
              </w:rPr>
              <w:t> pm</w:t>
            </w:r>
          </w:p>
        </w:tc>
        <w:tc>
          <w:tcPr>
            <w:tcW w:w="620" w:type="pct"/>
            <w:tcBorders>
              <w:top w:val="nil"/>
              <w:bottom w:val="nil"/>
            </w:tcBorders>
            <w:vAlign w:val="center"/>
          </w:tcPr>
          <w:p w:rsidR="00950B15" w:rsidRPr="00950B15" w:rsidRDefault="00950B15">
            <w:pPr>
              <w:pStyle w:val="NormalWeb"/>
              <w:jc w:val="center"/>
              <w:rPr>
                <w:rFonts w:ascii="Arial" w:hAnsi="Arial" w:cs="Arial"/>
                <w:sz w:val="18"/>
                <w:szCs w:val="18"/>
              </w:rPr>
            </w:pPr>
            <w:r w:rsidRPr="00950B15">
              <w:rPr>
                <w:rFonts w:ascii="Arial" w:hAnsi="Arial" w:cs="Arial"/>
                <w:sz w:val="18"/>
                <w:szCs w:val="18"/>
              </w:rPr>
              <w:t>1820.80</w:t>
            </w:r>
          </w:p>
        </w:tc>
        <w:tc>
          <w:tcPr>
            <w:tcW w:w="502" w:type="pct"/>
            <w:tcBorders>
              <w:top w:val="nil"/>
              <w:bottom w:val="nil"/>
            </w:tcBorders>
            <w:vAlign w:val="center"/>
          </w:tcPr>
          <w:p w:rsidR="00950B15" w:rsidRPr="00950B15" w:rsidRDefault="00950B15">
            <w:pPr>
              <w:pStyle w:val="NormalWeb"/>
              <w:jc w:val="center"/>
              <w:rPr>
                <w:rFonts w:ascii="Arial" w:hAnsi="Arial" w:cs="Arial"/>
                <w:sz w:val="18"/>
                <w:szCs w:val="18"/>
              </w:rPr>
            </w:pPr>
            <w:r w:rsidRPr="00950B15">
              <w:rPr>
                <w:rFonts w:ascii="Arial" w:hAnsi="Arial" w:cs="Arial"/>
                <w:sz w:val="18"/>
                <w:szCs w:val="18"/>
              </w:rPr>
              <w:t>22.06</w:t>
            </w:r>
          </w:p>
        </w:tc>
        <w:tc>
          <w:tcPr>
            <w:tcW w:w="502" w:type="pct"/>
            <w:tcBorders>
              <w:top w:val="nil"/>
              <w:bottom w:val="nil"/>
            </w:tcBorders>
            <w:vAlign w:val="center"/>
          </w:tcPr>
          <w:p w:rsidR="00950B15" w:rsidRPr="00950B15" w:rsidRDefault="00950B15">
            <w:pPr>
              <w:pStyle w:val="NormalWeb"/>
              <w:jc w:val="center"/>
              <w:rPr>
                <w:rFonts w:ascii="Arial" w:hAnsi="Arial" w:cs="Arial"/>
                <w:sz w:val="18"/>
                <w:szCs w:val="18"/>
              </w:rPr>
            </w:pPr>
            <w:r w:rsidRPr="00950B15">
              <w:rPr>
                <w:rFonts w:ascii="Arial" w:hAnsi="Arial" w:cs="Arial"/>
                <w:sz w:val="18"/>
                <w:szCs w:val="18"/>
              </w:rPr>
              <w:t>27.46</w:t>
            </w:r>
          </w:p>
        </w:tc>
        <w:tc>
          <w:tcPr>
            <w:tcW w:w="418" w:type="pct"/>
            <w:tcBorders>
              <w:top w:val="nil"/>
              <w:bottom w:val="nil"/>
            </w:tcBorders>
            <w:vAlign w:val="center"/>
          </w:tcPr>
          <w:p w:rsidR="00950B15" w:rsidRPr="00950B15" w:rsidRDefault="00950B15">
            <w:pPr>
              <w:pStyle w:val="NormalWeb"/>
              <w:jc w:val="center"/>
              <w:rPr>
                <w:rFonts w:ascii="Arial" w:hAnsi="Arial" w:cs="Arial"/>
                <w:sz w:val="18"/>
                <w:szCs w:val="18"/>
              </w:rPr>
            </w:pPr>
            <w:r w:rsidRPr="00950B15">
              <w:rPr>
                <w:rFonts w:ascii="Arial" w:hAnsi="Arial" w:cs="Arial"/>
                <w:sz w:val="18"/>
                <w:szCs w:val="18"/>
              </w:rPr>
              <w:t>1113</w:t>
            </w:r>
          </w:p>
        </w:tc>
        <w:tc>
          <w:tcPr>
            <w:tcW w:w="502" w:type="pct"/>
            <w:tcBorders>
              <w:top w:val="nil"/>
              <w:bottom w:val="nil"/>
            </w:tcBorders>
            <w:vAlign w:val="center"/>
          </w:tcPr>
          <w:p w:rsidR="00950B15" w:rsidRPr="00950B15" w:rsidRDefault="00950B15">
            <w:pPr>
              <w:pStyle w:val="NormalWeb"/>
              <w:jc w:val="center"/>
              <w:rPr>
                <w:rFonts w:ascii="Arial" w:hAnsi="Arial" w:cs="Arial"/>
                <w:sz w:val="18"/>
                <w:szCs w:val="18"/>
              </w:rPr>
            </w:pPr>
            <w:r w:rsidRPr="00950B15">
              <w:rPr>
                <w:rFonts w:ascii="Arial" w:hAnsi="Arial" w:cs="Arial"/>
                <w:sz w:val="18"/>
                <w:szCs w:val="18"/>
              </w:rPr>
              <w:t>1224</w:t>
            </w:r>
          </w:p>
        </w:tc>
        <w:tc>
          <w:tcPr>
            <w:tcW w:w="502" w:type="pct"/>
            <w:tcBorders>
              <w:top w:val="nil"/>
              <w:bottom w:val="nil"/>
            </w:tcBorders>
            <w:vAlign w:val="center"/>
          </w:tcPr>
          <w:p w:rsidR="00950B15" w:rsidRPr="00950B15" w:rsidRDefault="00950B15">
            <w:pPr>
              <w:pStyle w:val="NormalWeb"/>
              <w:jc w:val="center"/>
              <w:rPr>
                <w:rFonts w:ascii="Arial" w:hAnsi="Arial" w:cs="Arial"/>
                <w:sz w:val="18"/>
                <w:szCs w:val="18"/>
              </w:rPr>
            </w:pPr>
            <w:r w:rsidRPr="00950B15">
              <w:rPr>
                <w:rFonts w:ascii="Arial" w:hAnsi="Arial" w:cs="Arial"/>
                <w:sz w:val="18"/>
                <w:szCs w:val="18"/>
              </w:rPr>
              <w:t>1219</w:t>
            </w:r>
          </w:p>
        </w:tc>
        <w:tc>
          <w:tcPr>
            <w:tcW w:w="443" w:type="pct"/>
            <w:tcBorders>
              <w:top w:val="nil"/>
              <w:bottom w:val="nil"/>
            </w:tcBorders>
            <w:vAlign w:val="center"/>
          </w:tcPr>
          <w:p w:rsidR="00950B15" w:rsidRPr="00950B15" w:rsidRDefault="00950B15">
            <w:pPr>
              <w:pStyle w:val="NormalWeb"/>
              <w:jc w:val="center"/>
              <w:rPr>
                <w:rFonts w:ascii="Arial" w:hAnsi="Arial" w:cs="Arial"/>
                <w:sz w:val="18"/>
                <w:szCs w:val="18"/>
              </w:rPr>
            </w:pPr>
            <w:r w:rsidRPr="00950B15">
              <w:rPr>
                <w:rFonts w:ascii="Arial" w:hAnsi="Arial" w:cs="Arial"/>
                <w:sz w:val="18"/>
                <w:szCs w:val="18"/>
              </w:rPr>
              <w:t>2231</w:t>
            </w:r>
          </w:p>
        </w:tc>
        <w:tc>
          <w:tcPr>
            <w:tcW w:w="502" w:type="pct"/>
            <w:tcBorders>
              <w:top w:val="nil"/>
              <w:bottom w:val="nil"/>
            </w:tcBorders>
            <w:vAlign w:val="center"/>
          </w:tcPr>
          <w:p w:rsidR="00950B15" w:rsidRPr="00950B15" w:rsidRDefault="00950B15">
            <w:pPr>
              <w:pStyle w:val="NormalWeb"/>
              <w:jc w:val="center"/>
              <w:rPr>
                <w:rFonts w:ascii="Arial" w:hAnsi="Arial" w:cs="Arial"/>
                <w:sz w:val="18"/>
                <w:szCs w:val="18"/>
              </w:rPr>
            </w:pPr>
            <w:r w:rsidRPr="00950B15">
              <w:rPr>
                <w:rFonts w:ascii="Arial" w:hAnsi="Arial" w:cs="Arial"/>
                <w:sz w:val="18"/>
                <w:szCs w:val="18"/>
              </w:rPr>
              <w:t>2334</w:t>
            </w:r>
          </w:p>
        </w:tc>
        <w:tc>
          <w:tcPr>
            <w:tcW w:w="502" w:type="pct"/>
            <w:tcBorders>
              <w:top w:val="nil"/>
              <w:bottom w:val="nil"/>
            </w:tcBorders>
            <w:vAlign w:val="center"/>
          </w:tcPr>
          <w:p w:rsidR="00950B15" w:rsidRPr="00950B15" w:rsidRDefault="00950B15">
            <w:pPr>
              <w:pStyle w:val="NormalWeb"/>
              <w:jc w:val="center"/>
              <w:rPr>
                <w:rFonts w:ascii="Arial" w:hAnsi="Arial" w:cs="Arial"/>
                <w:sz w:val="18"/>
                <w:szCs w:val="18"/>
              </w:rPr>
            </w:pPr>
            <w:r w:rsidRPr="00950B15">
              <w:rPr>
                <w:rFonts w:ascii="Arial" w:hAnsi="Arial" w:cs="Arial"/>
                <w:sz w:val="18"/>
                <w:szCs w:val="18"/>
              </w:rPr>
              <w:t>2267</w:t>
            </w:r>
          </w:p>
        </w:tc>
      </w:tr>
    </w:tbl>
    <w:p w:rsidR="00950B15" w:rsidRDefault="00950B15" w:rsidP="00950B15">
      <w:pPr>
        <w:pStyle w:val="AERbodytext"/>
        <w:spacing w:before="120" w:after="120"/>
      </w:pPr>
      <w:r w:rsidRPr="00AF3A41">
        <w:lastRenderedPageBreak/>
        <w:t xml:space="preserve">Demand and available capacity were close to forecast four hours ahead. </w:t>
      </w:r>
    </w:p>
    <w:p w:rsidR="00AF3A41" w:rsidRDefault="008056FB" w:rsidP="00950B15">
      <w:pPr>
        <w:pStyle w:val="AERbodytext"/>
        <w:spacing w:before="120" w:after="120"/>
      </w:pPr>
      <w:r>
        <w:t xml:space="preserve">One </w:t>
      </w:r>
      <w:r w:rsidR="00AF3A41">
        <w:t xml:space="preserve">Heywood transformer </w:t>
      </w:r>
      <w:r>
        <w:t xml:space="preserve">was out of service for a planned outage </w:t>
      </w:r>
      <w:r w:rsidR="00AF3A41">
        <w:t>as part of the upgrade to the Heywood interconnector. At around 10 pm the remaining Heywood transformer tripped resulting in the loss of the Heywood interconnector</w:t>
      </w:r>
      <w:r w:rsidR="00253FC6">
        <w:t xml:space="preserve"> (</w:t>
      </w:r>
      <w:proofErr w:type="spellStart"/>
      <w:r w:rsidR="00253FC6">
        <w:t>Electranet</w:t>
      </w:r>
      <w:proofErr w:type="spellEnd"/>
      <w:r w:rsidR="00253FC6">
        <w:t xml:space="preserve"> are still investigating the cause)</w:t>
      </w:r>
      <w:r w:rsidR="00DD27EA">
        <w:t xml:space="preserve">. It was importing at around </w:t>
      </w:r>
      <w:r w:rsidR="00253FC6">
        <w:t>210</w:t>
      </w:r>
      <w:r w:rsidR="00DD27EA">
        <w:t> MW before the trip</w:t>
      </w:r>
      <w:r w:rsidR="00AF3A41">
        <w:t xml:space="preserve">. This resulted in </w:t>
      </w:r>
      <w:r w:rsidR="00DD27EA">
        <w:t xml:space="preserve">all </w:t>
      </w:r>
      <w:r w:rsidR="00AF3A41">
        <w:t>FCAS having to be locally sourced in South Australia</w:t>
      </w:r>
      <w:r w:rsidR="00322300">
        <w:t xml:space="preserve"> and under frequency load shedding in South Australia</w:t>
      </w:r>
      <w:r w:rsidR="00253FC6">
        <w:t xml:space="preserve"> with around 160 MW of load shed</w:t>
      </w:r>
      <w:r w:rsidR="00322300">
        <w:t>.</w:t>
      </w:r>
      <w:r w:rsidR="00DD27EA">
        <w:t xml:space="preserve"> The interaction of the Energy and FCAS markets saw the dispatch price for energy reach $2174/MWh at 10 pm.</w:t>
      </w:r>
      <w:r w:rsidR="00322300">
        <w:t xml:space="preserve"> FCAS prices reached the price cap at the same and events will be detailed in a $5000 FCAS report the AER is obliged to write.</w:t>
      </w:r>
    </w:p>
    <w:p w:rsidR="00113AE0" w:rsidRDefault="00113AE0" w:rsidP="00113AE0">
      <w:pPr>
        <w:pStyle w:val="AERHeading3"/>
      </w:pPr>
      <w:r>
        <w:t xml:space="preserve">Tuesday, 3 November </w:t>
      </w:r>
    </w:p>
    <w:p w:rsidR="00113AE0" w:rsidRPr="005D2FBD" w:rsidRDefault="00113AE0" w:rsidP="00113AE0">
      <w:pPr>
        <w:pStyle w:val="Caption"/>
      </w:pPr>
      <w:r>
        <w:t xml:space="preserve">Table </w:t>
      </w:r>
      <w:fldSimple w:instr=" SEQ Table \* ARABIC ">
        <w:r w:rsidR="009829BD">
          <w:rPr>
            <w:noProof/>
          </w:rPr>
          <w:t>5</w:t>
        </w:r>
      </w:fldSimple>
      <w:r>
        <w:t>:</w:t>
      </w:r>
      <w:r w:rsidRPr="00431FC4">
        <w:t xml:space="preserve"> Price, Demand and Availability</w:t>
      </w:r>
    </w:p>
    <w:tbl>
      <w:tblPr>
        <w:tblStyle w:val="AERTable-Text"/>
        <w:tblW w:w="5000" w:type="pct"/>
        <w:tblLook w:val="04A0" w:firstRow="1" w:lastRow="0" w:firstColumn="1" w:lastColumn="0" w:noHBand="0" w:noVBand="1"/>
      </w:tblPr>
      <w:tblGrid>
        <w:gridCol w:w="986"/>
        <w:gridCol w:w="1129"/>
        <w:gridCol w:w="928"/>
        <w:gridCol w:w="928"/>
        <w:gridCol w:w="773"/>
        <w:gridCol w:w="928"/>
        <w:gridCol w:w="928"/>
        <w:gridCol w:w="786"/>
        <w:gridCol w:w="928"/>
        <w:gridCol w:w="928"/>
      </w:tblGrid>
      <w:tr w:rsidR="00113AE0" w:rsidRPr="00405CDE" w:rsidTr="00113AE0">
        <w:trPr>
          <w:cnfStyle w:val="100000000000" w:firstRow="1" w:lastRow="0" w:firstColumn="0" w:lastColumn="0" w:oddVBand="0" w:evenVBand="0" w:oddHBand="0" w:evenHBand="0" w:firstRowFirstColumn="0" w:firstRowLastColumn="0" w:lastRowFirstColumn="0" w:lastRowLastColumn="0"/>
          <w:tblHeader/>
        </w:trPr>
        <w:tc>
          <w:tcPr>
            <w:tcW w:w="533" w:type="pct"/>
            <w:tcBorders>
              <w:bottom w:val="nil"/>
            </w:tcBorders>
            <w:hideMark/>
          </w:tcPr>
          <w:p w:rsidR="00113AE0" w:rsidRPr="00DC24BF" w:rsidRDefault="00113AE0" w:rsidP="003F7976">
            <w:pPr>
              <w:pStyle w:val="TableHeading"/>
              <w:jc w:val="center"/>
              <w:rPr>
                <w:rFonts w:cs="Arial"/>
                <w:sz w:val="20"/>
                <w:szCs w:val="20"/>
              </w:rPr>
            </w:pPr>
            <w:r w:rsidRPr="00DC24BF">
              <w:rPr>
                <w:rFonts w:cs="Arial"/>
                <w:sz w:val="20"/>
                <w:szCs w:val="20"/>
              </w:rPr>
              <w:t xml:space="preserve">Time </w:t>
            </w:r>
          </w:p>
        </w:tc>
        <w:tc>
          <w:tcPr>
            <w:tcW w:w="1615" w:type="pct"/>
            <w:gridSpan w:val="3"/>
            <w:tcBorders>
              <w:bottom w:val="nil"/>
            </w:tcBorders>
            <w:hideMark/>
          </w:tcPr>
          <w:p w:rsidR="00113AE0" w:rsidRPr="00DC24BF" w:rsidRDefault="00113AE0" w:rsidP="003F7976">
            <w:pPr>
              <w:pStyle w:val="TableHeading"/>
              <w:jc w:val="center"/>
              <w:rPr>
                <w:rFonts w:cs="Arial"/>
                <w:sz w:val="20"/>
                <w:szCs w:val="20"/>
              </w:rPr>
            </w:pPr>
            <w:r w:rsidRPr="00DC24BF">
              <w:rPr>
                <w:rFonts w:cs="Arial"/>
                <w:sz w:val="20"/>
                <w:szCs w:val="20"/>
              </w:rPr>
              <w:t>Price ($/MWh)</w:t>
            </w:r>
          </w:p>
        </w:tc>
        <w:tc>
          <w:tcPr>
            <w:tcW w:w="1422" w:type="pct"/>
            <w:gridSpan w:val="3"/>
            <w:tcBorders>
              <w:bottom w:val="nil"/>
            </w:tcBorders>
            <w:hideMark/>
          </w:tcPr>
          <w:p w:rsidR="00113AE0" w:rsidRPr="00DC24BF" w:rsidRDefault="00113AE0" w:rsidP="003F7976">
            <w:pPr>
              <w:pStyle w:val="TableHeading"/>
              <w:jc w:val="center"/>
              <w:rPr>
                <w:rFonts w:cs="Arial"/>
                <w:sz w:val="20"/>
                <w:szCs w:val="20"/>
              </w:rPr>
            </w:pPr>
            <w:r w:rsidRPr="00DC24BF">
              <w:rPr>
                <w:rFonts w:cs="Arial"/>
                <w:sz w:val="20"/>
                <w:szCs w:val="20"/>
              </w:rPr>
              <w:t>Demand (MW)</w:t>
            </w:r>
          </w:p>
        </w:tc>
        <w:tc>
          <w:tcPr>
            <w:tcW w:w="1429" w:type="pct"/>
            <w:gridSpan w:val="3"/>
            <w:tcBorders>
              <w:bottom w:val="nil"/>
            </w:tcBorders>
            <w:hideMark/>
          </w:tcPr>
          <w:p w:rsidR="00113AE0" w:rsidRPr="00DC24BF" w:rsidRDefault="00113AE0" w:rsidP="003F7976">
            <w:pPr>
              <w:pStyle w:val="TableHeading"/>
              <w:jc w:val="center"/>
              <w:rPr>
                <w:rFonts w:cs="Arial"/>
                <w:sz w:val="20"/>
                <w:szCs w:val="20"/>
              </w:rPr>
            </w:pPr>
            <w:r w:rsidRPr="00DC24BF">
              <w:rPr>
                <w:rFonts w:cs="Arial"/>
                <w:sz w:val="20"/>
                <w:szCs w:val="20"/>
              </w:rPr>
              <w:t>Availability (MW)</w:t>
            </w:r>
          </w:p>
        </w:tc>
      </w:tr>
      <w:tr w:rsidR="00113AE0" w:rsidRPr="00405CDE" w:rsidTr="00113AE0">
        <w:trPr>
          <w:cnfStyle w:val="100000000000" w:firstRow="1" w:lastRow="0" w:firstColumn="0" w:lastColumn="0" w:oddVBand="0" w:evenVBand="0" w:oddHBand="0" w:evenHBand="0" w:firstRowFirstColumn="0" w:firstRowLastColumn="0" w:lastRowFirstColumn="0" w:lastRowLastColumn="0"/>
          <w:tblHeader/>
        </w:trPr>
        <w:tc>
          <w:tcPr>
            <w:tcW w:w="533" w:type="pct"/>
            <w:tcBorders>
              <w:bottom w:val="nil"/>
            </w:tcBorders>
            <w:shd w:val="clear" w:color="auto" w:fill="007192" w:themeFill="accent3" w:themeFillShade="BF"/>
            <w:hideMark/>
          </w:tcPr>
          <w:p w:rsidR="00113AE0" w:rsidRPr="00DC24BF" w:rsidRDefault="00113AE0" w:rsidP="003F7976">
            <w:pPr>
              <w:pStyle w:val="tableheadingline2"/>
              <w:rPr>
                <w:rFonts w:cs="Arial"/>
                <w:sz w:val="20"/>
                <w:szCs w:val="20"/>
              </w:rPr>
            </w:pPr>
            <w:r w:rsidRPr="00DC24BF">
              <w:rPr>
                <w:rFonts w:cs="Arial"/>
                <w:sz w:val="20"/>
                <w:szCs w:val="20"/>
              </w:rPr>
              <w:t> </w:t>
            </w:r>
          </w:p>
        </w:tc>
        <w:tc>
          <w:tcPr>
            <w:tcW w:w="611" w:type="pct"/>
            <w:tcBorders>
              <w:bottom w:val="nil"/>
            </w:tcBorders>
            <w:shd w:val="clear" w:color="auto" w:fill="007192" w:themeFill="accent3" w:themeFillShade="BF"/>
            <w:hideMark/>
          </w:tcPr>
          <w:p w:rsidR="00113AE0" w:rsidRPr="00DC24BF" w:rsidRDefault="00113AE0" w:rsidP="003F7976">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113AE0" w:rsidRPr="00DC24BF" w:rsidRDefault="00113AE0" w:rsidP="003F7976">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113AE0" w:rsidRPr="00DC24BF" w:rsidRDefault="00113AE0" w:rsidP="003F7976">
            <w:pPr>
              <w:pStyle w:val="tableheadingline2"/>
              <w:rPr>
                <w:rFonts w:cs="Arial"/>
                <w:sz w:val="20"/>
                <w:szCs w:val="20"/>
              </w:rPr>
            </w:pPr>
            <w:r w:rsidRPr="00DC24BF">
              <w:rPr>
                <w:rFonts w:cs="Arial"/>
                <w:sz w:val="20"/>
                <w:szCs w:val="20"/>
              </w:rPr>
              <w:t>12 hr forecast</w:t>
            </w:r>
          </w:p>
        </w:tc>
        <w:tc>
          <w:tcPr>
            <w:tcW w:w="418" w:type="pct"/>
            <w:tcBorders>
              <w:bottom w:val="nil"/>
            </w:tcBorders>
            <w:shd w:val="clear" w:color="auto" w:fill="007192" w:themeFill="accent3" w:themeFillShade="BF"/>
            <w:hideMark/>
          </w:tcPr>
          <w:p w:rsidR="00113AE0" w:rsidRPr="00DC24BF" w:rsidRDefault="00113AE0" w:rsidP="003F7976">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113AE0" w:rsidRPr="00DC24BF" w:rsidRDefault="00113AE0" w:rsidP="003F7976">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113AE0" w:rsidRPr="00DC24BF" w:rsidRDefault="00113AE0" w:rsidP="003F7976">
            <w:pPr>
              <w:pStyle w:val="tableheadingline2"/>
              <w:rPr>
                <w:rFonts w:cs="Arial"/>
                <w:sz w:val="20"/>
                <w:szCs w:val="20"/>
              </w:rPr>
            </w:pPr>
            <w:r w:rsidRPr="00DC24BF">
              <w:rPr>
                <w:rFonts w:cs="Arial"/>
                <w:sz w:val="20"/>
                <w:szCs w:val="20"/>
              </w:rPr>
              <w:t>12 hr forecast</w:t>
            </w:r>
          </w:p>
        </w:tc>
        <w:tc>
          <w:tcPr>
            <w:tcW w:w="425" w:type="pct"/>
            <w:tcBorders>
              <w:bottom w:val="nil"/>
            </w:tcBorders>
            <w:shd w:val="clear" w:color="auto" w:fill="007192" w:themeFill="accent3" w:themeFillShade="BF"/>
            <w:hideMark/>
          </w:tcPr>
          <w:p w:rsidR="00113AE0" w:rsidRPr="00DC24BF" w:rsidRDefault="00113AE0" w:rsidP="003F7976">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113AE0" w:rsidRPr="00DC24BF" w:rsidRDefault="00113AE0" w:rsidP="003F7976">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113AE0" w:rsidRPr="00DC24BF" w:rsidRDefault="00113AE0" w:rsidP="003F7976">
            <w:pPr>
              <w:pStyle w:val="tableheadingline2"/>
              <w:rPr>
                <w:rFonts w:cs="Arial"/>
                <w:sz w:val="20"/>
                <w:szCs w:val="20"/>
              </w:rPr>
            </w:pPr>
            <w:r w:rsidRPr="00DC24BF">
              <w:rPr>
                <w:rFonts w:cs="Arial"/>
                <w:sz w:val="20"/>
                <w:szCs w:val="20"/>
              </w:rPr>
              <w:t>12 hr forecast</w:t>
            </w:r>
          </w:p>
        </w:tc>
      </w:tr>
      <w:tr w:rsidR="00113AE0" w:rsidRPr="00405CDE" w:rsidTr="00113AE0">
        <w:trPr>
          <w:trHeight w:val="510"/>
        </w:trPr>
        <w:tc>
          <w:tcPr>
            <w:tcW w:w="533" w:type="pct"/>
            <w:tcBorders>
              <w:top w:val="nil"/>
              <w:bottom w:val="nil"/>
            </w:tcBorders>
            <w:vAlign w:val="center"/>
          </w:tcPr>
          <w:p w:rsidR="00113AE0" w:rsidRPr="00950B15" w:rsidRDefault="00113AE0" w:rsidP="003F7976">
            <w:pPr>
              <w:pStyle w:val="NormalWeb"/>
              <w:jc w:val="center"/>
              <w:rPr>
                <w:rFonts w:ascii="Arial" w:hAnsi="Arial" w:cs="Arial"/>
                <w:sz w:val="18"/>
                <w:szCs w:val="18"/>
              </w:rPr>
            </w:pPr>
            <w:r w:rsidRPr="00950B15">
              <w:rPr>
                <w:rFonts w:ascii="Arial" w:hAnsi="Arial" w:cs="Arial"/>
                <w:b/>
                <w:bCs/>
                <w:sz w:val="18"/>
                <w:szCs w:val="18"/>
              </w:rPr>
              <w:t>10</w:t>
            </w:r>
            <w:r>
              <w:rPr>
                <w:rFonts w:ascii="Arial" w:hAnsi="Arial" w:cs="Arial"/>
                <w:b/>
                <w:bCs/>
                <w:sz w:val="18"/>
                <w:szCs w:val="18"/>
              </w:rPr>
              <w:t> </w:t>
            </w:r>
            <w:r w:rsidR="00A26C2F">
              <w:rPr>
                <w:rFonts w:ascii="Arial" w:hAnsi="Arial" w:cs="Arial"/>
                <w:b/>
                <w:bCs/>
                <w:sz w:val="18"/>
                <w:szCs w:val="18"/>
              </w:rPr>
              <w:t>a</w:t>
            </w:r>
            <w:r>
              <w:rPr>
                <w:rFonts w:ascii="Arial" w:hAnsi="Arial" w:cs="Arial"/>
                <w:b/>
                <w:bCs/>
                <w:sz w:val="18"/>
                <w:szCs w:val="18"/>
              </w:rPr>
              <w:t>m</w:t>
            </w:r>
          </w:p>
        </w:tc>
        <w:tc>
          <w:tcPr>
            <w:tcW w:w="611" w:type="pct"/>
            <w:tcBorders>
              <w:top w:val="nil"/>
              <w:bottom w:val="nil"/>
            </w:tcBorders>
            <w:vAlign w:val="center"/>
          </w:tcPr>
          <w:p w:rsidR="00113AE0" w:rsidRPr="00113AE0" w:rsidRDefault="00113AE0">
            <w:pPr>
              <w:pStyle w:val="NormalWeb"/>
              <w:jc w:val="center"/>
              <w:rPr>
                <w:rFonts w:ascii="Arial" w:hAnsi="Arial" w:cs="Arial"/>
                <w:sz w:val="18"/>
                <w:szCs w:val="18"/>
              </w:rPr>
            </w:pPr>
            <w:r w:rsidRPr="00113AE0">
              <w:rPr>
                <w:rFonts w:ascii="Arial" w:hAnsi="Arial" w:cs="Arial"/>
                <w:sz w:val="18"/>
                <w:szCs w:val="18"/>
              </w:rPr>
              <w:t>2261.59</w:t>
            </w:r>
          </w:p>
        </w:tc>
        <w:tc>
          <w:tcPr>
            <w:tcW w:w="502" w:type="pct"/>
            <w:tcBorders>
              <w:top w:val="nil"/>
              <w:bottom w:val="nil"/>
            </w:tcBorders>
            <w:vAlign w:val="center"/>
          </w:tcPr>
          <w:p w:rsidR="00113AE0" w:rsidRPr="00113AE0" w:rsidRDefault="00113AE0">
            <w:pPr>
              <w:pStyle w:val="NormalWeb"/>
              <w:jc w:val="center"/>
              <w:rPr>
                <w:rFonts w:ascii="Arial" w:hAnsi="Arial" w:cs="Arial"/>
                <w:sz w:val="18"/>
                <w:szCs w:val="18"/>
              </w:rPr>
            </w:pPr>
            <w:r w:rsidRPr="00113AE0">
              <w:rPr>
                <w:rFonts w:ascii="Arial" w:hAnsi="Arial" w:cs="Arial"/>
                <w:sz w:val="18"/>
                <w:szCs w:val="18"/>
              </w:rPr>
              <w:t>25.37</w:t>
            </w:r>
          </w:p>
        </w:tc>
        <w:tc>
          <w:tcPr>
            <w:tcW w:w="502" w:type="pct"/>
            <w:tcBorders>
              <w:top w:val="nil"/>
              <w:bottom w:val="nil"/>
            </w:tcBorders>
            <w:vAlign w:val="center"/>
          </w:tcPr>
          <w:p w:rsidR="00113AE0" w:rsidRPr="00113AE0" w:rsidRDefault="00113AE0">
            <w:pPr>
              <w:pStyle w:val="NormalWeb"/>
              <w:jc w:val="center"/>
              <w:rPr>
                <w:rFonts w:ascii="Arial" w:hAnsi="Arial" w:cs="Arial"/>
                <w:sz w:val="18"/>
                <w:szCs w:val="18"/>
              </w:rPr>
            </w:pPr>
            <w:r w:rsidRPr="00113AE0">
              <w:rPr>
                <w:rFonts w:ascii="Arial" w:hAnsi="Arial" w:cs="Arial"/>
                <w:sz w:val="18"/>
                <w:szCs w:val="18"/>
              </w:rPr>
              <w:t>45.99</w:t>
            </w:r>
          </w:p>
        </w:tc>
        <w:tc>
          <w:tcPr>
            <w:tcW w:w="418" w:type="pct"/>
            <w:tcBorders>
              <w:top w:val="nil"/>
              <w:bottom w:val="nil"/>
            </w:tcBorders>
            <w:vAlign w:val="center"/>
          </w:tcPr>
          <w:p w:rsidR="00113AE0" w:rsidRPr="00113AE0" w:rsidRDefault="00113AE0">
            <w:pPr>
              <w:pStyle w:val="NormalWeb"/>
              <w:jc w:val="center"/>
              <w:rPr>
                <w:rFonts w:ascii="Arial" w:hAnsi="Arial" w:cs="Arial"/>
                <w:sz w:val="18"/>
                <w:szCs w:val="18"/>
              </w:rPr>
            </w:pPr>
            <w:r w:rsidRPr="00113AE0">
              <w:rPr>
                <w:rFonts w:ascii="Arial" w:hAnsi="Arial" w:cs="Arial"/>
                <w:sz w:val="18"/>
                <w:szCs w:val="18"/>
              </w:rPr>
              <w:t>1238</w:t>
            </w:r>
          </w:p>
        </w:tc>
        <w:tc>
          <w:tcPr>
            <w:tcW w:w="502" w:type="pct"/>
            <w:tcBorders>
              <w:top w:val="nil"/>
              <w:bottom w:val="nil"/>
            </w:tcBorders>
            <w:vAlign w:val="center"/>
          </w:tcPr>
          <w:p w:rsidR="00113AE0" w:rsidRPr="00113AE0" w:rsidRDefault="00113AE0">
            <w:pPr>
              <w:pStyle w:val="NormalWeb"/>
              <w:jc w:val="center"/>
              <w:rPr>
                <w:rFonts w:ascii="Arial" w:hAnsi="Arial" w:cs="Arial"/>
                <w:sz w:val="18"/>
                <w:szCs w:val="18"/>
              </w:rPr>
            </w:pPr>
            <w:r w:rsidRPr="00113AE0">
              <w:rPr>
                <w:rFonts w:ascii="Arial" w:hAnsi="Arial" w:cs="Arial"/>
                <w:sz w:val="18"/>
                <w:szCs w:val="18"/>
              </w:rPr>
              <w:t>1361</w:t>
            </w:r>
          </w:p>
        </w:tc>
        <w:tc>
          <w:tcPr>
            <w:tcW w:w="502" w:type="pct"/>
            <w:tcBorders>
              <w:top w:val="nil"/>
              <w:bottom w:val="nil"/>
            </w:tcBorders>
            <w:vAlign w:val="center"/>
          </w:tcPr>
          <w:p w:rsidR="00113AE0" w:rsidRPr="00113AE0" w:rsidRDefault="00113AE0">
            <w:pPr>
              <w:pStyle w:val="NormalWeb"/>
              <w:jc w:val="center"/>
              <w:rPr>
                <w:rFonts w:ascii="Arial" w:hAnsi="Arial" w:cs="Arial"/>
                <w:sz w:val="18"/>
                <w:szCs w:val="18"/>
              </w:rPr>
            </w:pPr>
            <w:r w:rsidRPr="00113AE0">
              <w:rPr>
                <w:rFonts w:ascii="Arial" w:hAnsi="Arial" w:cs="Arial"/>
                <w:sz w:val="18"/>
                <w:szCs w:val="18"/>
              </w:rPr>
              <w:t>1407</w:t>
            </w:r>
          </w:p>
        </w:tc>
        <w:tc>
          <w:tcPr>
            <w:tcW w:w="425" w:type="pct"/>
            <w:tcBorders>
              <w:top w:val="nil"/>
              <w:bottom w:val="nil"/>
            </w:tcBorders>
            <w:vAlign w:val="center"/>
          </w:tcPr>
          <w:p w:rsidR="00113AE0" w:rsidRPr="00113AE0" w:rsidRDefault="00113AE0">
            <w:pPr>
              <w:pStyle w:val="NormalWeb"/>
              <w:jc w:val="center"/>
              <w:rPr>
                <w:rFonts w:ascii="Arial" w:hAnsi="Arial" w:cs="Arial"/>
                <w:sz w:val="18"/>
                <w:szCs w:val="18"/>
              </w:rPr>
            </w:pPr>
            <w:r w:rsidRPr="00113AE0">
              <w:rPr>
                <w:rFonts w:ascii="Arial" w:hAnsi="Arial" w:cs="Arial"/>
                <w:sz w:val="18"/>
                <w:szCs w:val="18"/>
              </w:rPr>
              <w:t>2259</w:t>
            </w:r>
          </w:p>
        </w:tc>
        <w:tc>
          <w:tcPr>
            <w:tcW w:w="502" w:type="pct"/>
            <w:tcBorders>
              <w:top w:val="nil"/>
              <w:bottom w:val="nil"/>
            </w:tcBorders>
            <w:vAlign w:val="center"/>
          </w:tcPr>
          <w:p w:rsidR="00113AE0" w:rsidRPr="00113AE0" w:rsidRDefault="00113AE0">
            <w:pPr>
              <w:pStyle w:val="NormalWeb"/>
              <w:jc w:val="center"/>
              <w:rPr>
                <w:rFonts w:ascii="Arial" w:hAnsi="Arial" w:cs="Arial"/>
                <w:sz w:val="18"/>
                <w:szCs w:val="18"/>
              </w:rPr>
            </w:pPr>
            <w:r w:rsidRPr="00113AE0">
              <w:rPr>
                <w:rFonts w:ascii="Arial" w:hAnsi="Arial" w:cs="Arial"/>
                <w:sz w:val="18"/>
                <w:szCs w:val="18"/>
              </w:rPr>
              <w:t>2446</w:t>
            </w:r>
          </w:p>
        </w:tc>
        <w:tc>
          <w:tcPr>
            <w:tcW w:w="502" w:type="pct"/>
            <w:tcBorders>
              <w:top w:val="nil"/>
              <w:bottom w:val="nil"/>
            </w:tcBorders>
            <w:vAlign w:val="center"/>
          </w:tcPr>
          <w:p w:rsidR="00113AE0" w:rsidRPr="00113AE0" w:rsidRDefault="00113AE0">
            <w:pPr>
              <w:pStyle w:val="NormalWeb"/>
              <w:jc w:val="center"/>
              <w:rPr>
                <w:rFonts w:ascii="Arial" w:hAnsi="Arial" w:cs="Arial"/>
                <w:sz w:val="18"/>
                <w:szCs w:val="18"/>
              </w:rPr>
            </w:pPr>
            <w:r w:rsidRPr="00113AE0">
              <w:rPr>
                <w:rFonts w:ascii="Arial" w:hAnsi="Arial" w:cs="Arial"/>
                <w:sz w:val="18"/>
                <w:szCs w:val="18"/>
              </w:rPr>
              <w:t>2430</w:t>
            </w:r>
          </w:p>
        </w:tc>
      </w:tr>
    </w:tbl>
    <w:p w:rsidR="00113AE0" w:rsidRPr="00FB6C59" w:rsidRDefault="00113AE0" w:rsidP="00113AE0">
      <w:pPr>
        <w:pStyle w:val="AERbodytext"/>
        <w:spacing w:before="120" w:after="120"/>
        <w:rPr>
          <w:bCs/>
          <w:lang w:eastAsia="en-AU"/>
        </w:rPr>
      </w:pPr>
    </w:p>
    <w:p w:rsidR="00113AE0" w:rsidRDefault="00113AE0" w:rsidP="00113AE0">
      <w:pPr>
        <w:pStyle w:val="AERbodytext"/>
        <w:spacing w:before="120" w:after="120"/>
      </w:pPr>
      <w:r w:rsidRPr="00FB6C59">
        <w:t xml:space="preserve">Demand and available capacity were </w:t>
      </w:r>
      <w:r w:rsidR="00A26C2F" w:rsidRPr="00FB6C59">
        <w:t>lower than</w:t>
      </w:r>
      <w:r w:rsidRPr="00FB6C59">
        <w:t xml:space="preserve"> forecast four hours ahead. Murraylink was on a planned outage between </w:t>
      </w:r>
      <w:r w:rsidR="00FB6C59" w:rsidRPr="00FB6C59">
        <w:t>8.</w:t>
      </w:r>
      <w:r w:rsidR="003121CA">
        <w:t>2</w:t>
      </w:r>
      <w:bookmarkStart w:id="20" w:name="_GoBack"/>
      <w:bookmarkEnd w:id="20"/>
      <w:r w:rsidR="00FB6C59" w:rsidRPr="00FB6C59">
        <w:t>5</w:t>
      </w:r>
      <w:r w:rsidRPr="00FB6C59">
        <w:t xml:space="preserve"> am and </w:t>
      </w:r>
      <w:r w:rsidR="00FB6C59" w:rsidRPr="00FB6C59">
        <w:t>3</w:t>
      </w:r>
      <w:r w:rsidRPr="00FB6C59">
        <w:t> pm</w:t>
      </w:r>
      <w:r w:rsidR="00FB6C59" w:rsidRPr="00FB6C59">
        <w:t>.</w:t>
      </w:r>
      <w:r w:rsidR="00FB6C59">
        <w:t xml:space="preserve"> Heywood was being limited to 50 MW into South Australia by a constraint </w:t>
      </w:r>
      <w:r w:rsidR="001C6748">
        <w:t xml:space="preserve">invoked by </w:t>
      </w:r>
      <w:r w:rsidR="00FB6C59">
        <w:t xml:space="preserve">AEMO </w:t>
      </w:r>
      <w:r w:rsidR="00A6730F">
        <w:t>to manage</w:t>
      </w:r>
      <w:r w:rsidR="001C6748">
        <w:t xml:space="preserve"> an outage of one of the Heywood transformers as part of the Heywood interconnector upgrade</w:t>
      </w:r>
      <w:r w:rsidR="00FB6C59">
        <w:t>.</w:t>
      </w:r>
    </w:p>
    <w:p w:rsidR="00D22E23" w:rsidRPr="00FB6C59" w:rsidRDefault="00D22E23" w:rsidP="00113AE0">
      <w:pPr>
        <w:pStyle w:val="AERbodytext"/>
        <w:spacing w:before="120" w:after="120"/>
      </w:pPr>
      <w:r>
        <w:t xml:space="preserve">There was little capacity available within five minutes that was priced between $65/MWh and $13 000/MWh. At 10 am there was a 53 MW </w:t>
      </w:r>
      <w:r w:rsidR="009505AF">
        <w:t>increase in demand and with low-priced generation ramp up limited the price reached $13 276/</w:t>
      </w:r>
      <w:r w:rsidR="005C0722">
        <w:t>MWh.</w:t>
      </w:r>
    </w:p>
    <w:p w:rsidR="00113AE0" w:rsidRDefault="00113AE0" w:rsidP="00113AE0">
      <w:pPr>
        <w:pStyle w:val="AERHeading3"/>
      </w:pPr>
      <w:r>
        <w:t xml:space="preserve">Wednesday, 4 November </w:t>
      </w:r>
    </w:p>
    <w:p w:rsidR="00113AE0" w:rsidRPr="005D2FBD" w:rsidRDefault="00113AE0" w:rsidP="00113AE0">
      <w:pPr>
        <w:pStyle w:val="Caption"/>
      </w:pPr>
      <w:r>
        <w:t xml:space="preserve">Table </w:t>
      </w:r>
      <w:fldSimple w:instr=" SEQ Table \* ARABIC ">
        <w:r w:rsidR="009829BD">
          <w:rPr>
            <w:noProof/>
          </w:rPr>
          <w:t>6</w:t>
        </w:r>
      </w:fldSimple>
      <w:r>
        <w:t>:</w:t>
      </w:r>
      <w:r w:rsidRPr="00431FC4">
        <w:t xml:space="preserve"> Price, Demand and Availability</w:t>
      </w:r>
    </w:p>
    <w:tbl>
      <w:tblPr>
        <w:tblStyle w:val="AERTable-Text"/>
        <w:tblW w:w="5000" w:type="pct"/>
        <w:tblLook w:val="04A0" w:firstRow="1" w:lastRow="0" w:firstColumn="1" w:lastColumn="0" w:noHBand="0" w:noVBand="1"/>
      </w:tblPr>
      <w:tblGrid>
        <w:gridCol w:w="986"/>
        <w:gridCol w:w="1129"/>
        <w:gridCol w:w="928"/>
        <w:gridCol w:w="928"/>
        <w:gridCol w:w="773"/>
        <w:gridCol w:w="928"/>
        <w:gridCol w:w="928"/>
        <w:gridCol w:w="786"/>
        <w:gridCol w:w="928"/>
        <w:gridCol w:w="928"/>
      </w:tblGrid>
      <w:tr w:rsidR="00113AE0" w:rsidRPr="00405CDE" w:rsidTr="00113AE0">
        <w:trPr>
          <w:cnfStyle w:val="100000000000" w:firstRow="1" w:lastRow="0" w:firstColumn="0" w:lastColumn="0" w:oddVBand="0" w:evenVBand="0" w:oddHBand="0" w:evenHBand="0" w:firstRowFirstColumn="0" w:firstRowLastColumn="0" w:lastRowFirstColumn="0" w:lastRowLastColumn="0"/>
          <w:tblHeader/>
        </w:trPr>
        <w:tc>
          <w:tcPr>
            <w:tcW w:w="533" w:type="pct"/>
            <w:tcBorders>
              <w:bottom w:val="nil"/>
            </w:tcBorders>
            <w:hideMark/>
          </w:tcPr>
          <w:p w:rsidR="00113AE0" w:rsidRPr="00DC24BF" w:rsidRDefault="00113AE0" w:rsidP="003F7976">
            <w:pPr>
              <w:pStyle w:val="TableHeading"/>
              <w:jc w:val="center"/>
              <w:rPr>
                <w:rFonts w:cs="Arial"/>
                <w:sz w:val="20"/>
                <w:szCs w:val="20"/>
              </w:rPr>
            </w:pPr>
            <w:r w:rsidRPr="00DC24BF">
              <w:rPr>
                <w:rFonts w:cs="Arial"/>
                <w:sz w:val="20"/>
                <w:szCs w:val="20"/>
              </w:rPr>
              <w:t xml:space="preserve">Time </w:t>
            </w:r>
          </w:p>
        </w:tc>
        <w:tc>
          <w:tcPr>
            <w:tcW w:w="1615" w:type="pct"/>
            <w:gridSpan w:val="3"/>
            <w:tcBorders>
              <w:bottom w:val="nil"/>
            </w:tcBorders>
            <w:hideMark/>
          </w:tcPr>
          <w:p w:rsidR="00113AE0" w:rsidRPr="00DC24BF" w:rsidRDefault="00113AE0" w:rsidP="003F7976">
            <w:pPr>
              <w:pStyle w:val="TableHeading"/>
              <w:jc w:val="center"/>
              <w:rPr>
                <w:rFonts w:cs="Arial"/>
                <w:sz w:val="20"/>
                <w:szCs w:val="20"/>
              </w:rPr>
            </w:pPr>
            <w:r w:rsidRPr="00DC24BF">
              <w:rPr>
                <w:rFonts w:cs="Arial"/>
                <w:sz w:val="20"/>
                <w:szCs w:val="20"/>
              </w:rPr>
              <w:t>Price ($/MWh)</w:t>
            </w:r>
          </w:p>
        </w:tc>
        <w:tc>
          <w:tcPr>
            <w:tcW w:w="1422" w:type="pct"/>
            <w:gridSpan w:val="3"/>
            <w:tcBorders>
              <w:bottom w:val="nil"/>
            </w:tcBorders>
            <w:hideMark/>
          </w:tcPr>
          <w:p w:rsidR="00113AE0" w:rsidRPr="00DC24BF" w:rsidRDefault="00113AE0" w:rsidP="003F7976">
            <w:pPr>
              <w:pStyle w:val="TableHeading"/>
              <w:jc w:val="center"/>
              <w:rPr>
                <w:rFonts w:cs="Arial"/>
                <w:sz w:val="20"/>
                <w:szCs w:val="20"/>
              </w:rPr>
            </w:pPr>
            <w:r w:rsidRPr="00DC24BF">
              <w:rPr>
                <w:rFonts w:cs="Arial"/>
                <w:sz w:val="20"/>
                <w:szCs w:val="20"/>
              </w:rPr>
              <w:t>Demand (MW)</w:t>
            </w:r>
          </w:p>
        </w:tc>
        <w:tc>
          <w:tcPr>
            <w:tcW w:w="1429" w:type="pct"/>
            <w:gridSpan w:val="3"/>
            <w:tcBorders>
              <w:bottom w:val="nil"/>
            </w:tcBorders>
            <w:hideMark/>
          </w:tcPr>
          <w:p w:rsidR="00113AE0" w:rsidRPr="00DC24BF" w:rsidRDefault="00113AE0" w:rsidP="003F7976">
            <w:pPr>
              <w:pStyle w:val="TableHeading"/>
              <w:jc w:val="center"/>
              <w:rPr>
                <w:rFonts w:cs="Arial"/>
                <w:sz w:val="20"/>
                <w:szCs w:val="20"/>
              </w:rPr>
            </w:pPr>
            <w:r w:rsidRPr="00DC24BF">
              <w:rPr>
                <w:rFonts w:cs="Arial"/>
                <w:sz w:val="20"/>
                <w:szCs w:val="20"/>
              </w:rPr>
              <w:t>Availability (MW)</w:t>
            </w:r>
          </w:p>
        </w:tc>
      </w:tr>
      <w:tr w:rsidR="00113AE0" w:rsidRPr="00405CDE" w:rsidTr="00113AE0">
        <w:trPr>
          <w:cnfStyle w:val="100000000000" w:firstRow="1" w:lastRow="0" w:firstColumn="0" w:lastColumn="0" w:oddVBand="0" w:evenVBand="0" w:oddHBand="0" w:evenHBand="0" w:firstRowFirstColumn="0" w:firstRowLastColumn="0" w:lastRowFirstColumn="0" w:lastRowLastColumn="0"/>
          <w:tblHeader/>
        </w:trPr>
        <w:tc>
          <w:tcPr>
            <w:tcW w:w="533" w:type="pct"/>
            <w:tcBorders>
              <w:bottom w:val="nil"/>
            </w:tcBorders>
            <w:shd w:val="clear" w:color="auto" w:fill="007192" w:themeFill="accent3" w:themeFillShade="BF"/>
            <w:hideMark/>
          </w:tcPr>
          <w:p w:rsidR="00113AE0" w:rsidRPr="00DC24BF" w:rsidRDefault="00113AE0" w:rsidP="003F7976">
            <w:pPr>
              <w:pStyle w:val="tableheadingline2"/>
              <w:rPr>
                <w:rFonts w:cs="Arial"/>
                <w:sz w:val="20"/>
                <w:szCs w:val="20"/>
              </w:rPr>
            </w:pPr>
            <w:r w:rsidRPr="00DC24BF">
              <w:rPr>
                <w:rFonts w:cs="Arial"/>
                <w:sz w:val="20"/>
                <w:szCs w:val="20"/>
              </w:rPr>
              <w:t> </w:t>
            </w:r>
          </w:p>
        </w:tc>
        <w:tc>
          <w:tcPr>
            <w:tcW w:w="611" w:type="pct"/>
            <w:tcBorders>
              <w:bottom w:val="nil"/>
            </w:tcBorders>
            <w:shd w:val="clear" w:color="auto" w:fill="007192" w:themeFill="accent3" w:themeFillShade="BF"/>
            <w:hideMark/>
          </w:tcPr>
          <w:p w:rsidR="00113AE0" w:rsidRPr="00DC24BF" w:rsidRDefault="00113AE0" w:rsidP="003F7976">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113AE0" w:rsidRPr="00DC24BF" w:rsidRDefault="00113AE0" w:rsidP="003F7976">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113AE0" w:rsidRPr="00DC24BF" w:rsidRDefault="00113AE0" w:rsidP="003F7976">
            <w:pPr>
              <w:pStyle w:val="tableheadingline2"/>
              <w:rPr>
                <w:rFonts w:cs="Arial"/>
                <w:sz w:val="20"/>
                <w:szCs w:val="20"/>
              </w:rPr>
            </w:pPr>
            <w:r w:rsidRPr="00DC24BF">
              <w:rPr>
                <w:rFonts w:cs="Arial"/>
                <w:sz w:val="20"/>
                <w:szCs w:val="20"/>
              </w:rPr>
              <w:t>12 hr forecast</w:t>
            </w:r>
          </w:p>
        </w:tc>
        <w:tc>
          <w:tcPr>
            <w:tcW w:w="418" w:type="pct"/>
            <w:tcBorders>
              <w:bottom w:val="nil"/>
            </w:tcBorders>
            <w:shd w:val="clear" w:color="auto" w:fill="007192" w:themeFill="accent3" w:themeFillShade="BF"/>
            <w:hideMark/>
          </w:tcPr>
          <w:p w:rsidR="00113AE0" w:rsidRPr="00DC24BF" w:rsidRDefault="00113AE0" w:rsidP="003F7976">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113AE0" w:rsidRPr="00DC24BF" w:rsidRDefault="00113AE0" w:rsidP="003F7976">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113AE0" w:rsidRPr="00DC24BF" w:rsidRDefault="00113AE0" w:rsidP="003F7976">
            <w:pPr>
              <w:pStyle w:val="tableheadingline2"/>
              <w:rPr>
                <w:rFonts w:cs="Arial"/>
                <w:sz w:val="20"/>
                <w:szCs w:val="20"/>
              </w:rPr>
            </w:pPr>
            <w:r w:rsidRPr="00DC24BF">
              <w:rPr>
                <w:rFonts w:cs="Arial"/>
                <w:sz w:val="20"/>
                <w:szCs w:val="20"/>
              </w:rPr>
              <w:t>12 hr forecast</w:t>
            </w:r>
          </w:p>
        </w:tc>
        <w:tc>
          <w:tcPr>
            <w:tcW w:w="425" w:type="pct"/>
            <w:tcBorders>
              <w:bottom w:val="nil"/>
            </w:tcBorders>
            <w:shd w:val="clear" w:color="auto" w:fill="007192" w:themeFill="accent3" w:themeFillShade="BF"/>
            <w:hideMark/>
          </w:tcPr>
          <w:p w:rsidR="00113AE0" w:rsidRPr="00DC24BF" w:rsidRDefault="00113AE0" w:rsidP="003F7976">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113AE0" w:rsidRPr="00DC24BF" w:rsidRDefault="00113AE0" w:rsidP="003F7976">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113AE0" w:rsidRPr="00DC24BF" w:rsidRDefault="00113AE0" w:rsidP="003F7976">
            <w:pPr>
              <w:pStyle w:val="tableheadingline2"/>
              <w:rPr>
                <w:rFonts w:cs="Arial"/>
                <w:sz w:val="20"/>
                <w:szCs w:val="20"/>
              </w:rPr>
            </w:pPr>
            <w:r w:rsidRPr="00DC24BF">
              <w:rPr>
                <w:rFonts w:cs="Arial"/>
                <w:sz w:val="20"/>
                <w:szCs w:val="20"/>
              </w:rPr>
              <w:t>12 hr forecast</w:t>
            </w:r>
          </w:p>
        </w:tc>
      </w:tr>
      <w:tr w:rsidR="00113AE0" w:rsidRPr="00405CDE" w:rsidTr="00113AE0">
        <w:trPr>
          <w:trHeight w:val="510"/>
        </w:trPr>
        <w:tc>
          <w:tcPr>
            <w:tcW w:w="533" w:type="pct"/>
            <w:tcBorders>
              <w:top w:val="nil"/>
              <w:bottom w:val="nil"/>
            </w:tcBorders>
            <w:vAlign w:val="center"/>
          </w:tcPr>
          <w:p w:rsidR="00113AE0" w:rsidRPr="00950B15" w:rsidRDefault="00113AE0" w:rsidP="00113AE0">
            <w:pPr>
              <w:pStyle w:val="NormalWeb"/>
              <w:jc w:val="center"/>
              <w:rPr>
                <w:rFonts w:ascii="Arial" w:hAnsi="Arial" w:cs="Arial"/>
                <w:sz w:val="18"/>
                <w:szCs w:val="18"/>
              </w:rPr>
            </w:pPr>
            <w:r>
              <w:rPr>
                <w:rFonts w:ascii="Arial" w:hAnsi="Arial" w:cs="Arial"/>
                <w:b/>
                <w:bCs/>
                <w:sz w:val="18"/>
                <w:szCs w:val="18"/>
              </w:rPr>
              <w:t>3 pm</w:t>
            </w:r>
          </w:p>
        </w:tc>
        <w:tc>
          <w:tcPr>
            <w:tcW w:w="611" w:type="pct"/>
            <w:tcBorders>
              <w:top w:val="nil"/>
              <w:bottom w:val="nil"/>
            </w:tcBorders>
            <w:vAlign w:val="center"/>
          </w:tcPr>
          <w:p w:rsidR="00113AE0" w:rsidRPr="00113AE0" w:rsidRDefault="00113AE0">
            <w:pPr>
              <w:pStyle w:val="NormalWeb"/>
              <w:jc w:val="center"/>
              <w:rPr>
                <w:rFonts w:ascii="Arial" w:hAnsi="Arial" w:cs="Arial"/>
                <w:sz w:val="18"/>
                <w:szCs w:val="18"/>
              </w:rPr>
            </w:pPr>
            <w:r w:rsidRPr="00113AE0">
              <w:rPr>
                <w:rFonts w:ascii="Arial" w:hAnsi="Arial" w:cs="Arial"/>
                <w:sz w:val="18"/>
                <w:szCs w:val="18"/>
              </w:rPr>
              <w:t>1991.58</w:t>
            </w:r>
          </w:p>
        </w:tc>
        <w:tc>
          <w:tcPr>
            <w:tcW w:w="502" w:type="pct"/>
            <w:tcBorders>
              <w:top w:val="nil"/>
              <w:bottom w:val="nil"/>
            </w:tcBorders>
            <w:vAlign w:val="center"/>
          </w:tcPr>
          <w:p w:rsidR="00113AE0" w:rsidRPr="00113AE0" w:rsidRDefault="00113AE0">
            <w:pPr>
              <w:pStyle w:val="NormalWeb"/>
              <w:jc w:val="center"/>
              <w:rPr>
                <w:rFonts w:ascii="Arial" w:hAnsi="Arial" w:cs="Arial"/>
                <w:sz w:val="18"/>
                <w:szCs w:val="18"/>
              </w:rPr>
            </w:pPr>
            <w:r w:rsidRPr="00113AE0">
              <w:rPr>
                <w:rFonts w:ascii="Arial" w:hAnsi="Arial" w:cs="Arial"/>
                <w:sz w:val="18"/>
                <w:szCs w:val="18"/>
              </w:rPr>
              <w:t>60.85</w:t>
            </w:r>
          </w:p>
        </w:tc>
        <w:tc>
          <w:tcPr>
            <w:tcW w:w="502" w:type="pct"/>
            <w:tcBorders>
              <w:top w:val="nil"/>
              <w:bottom w:val="nil"/>
            </w:tcBorders>
            <w:vAlign w:val="center"/>
          </w:tcPr>
          <w:p w:rsidR="00113AE0" w:rsidRPr="00113AE0" w:rsidRDefault="00113AE0">
            <w:pPr>
              <w:pStyle w:val="NormalWeb"/>
              <w:jc w:val="center"/>
              <w:rPr>
                <w:rFonts w:ascii="Arial" w:hAnsi="Arial" w:cs="Arial"/>
                <w:sz w:val="18"/>
                <w:szCs w:val="18"/>
              </w:rPr>
            </w:pPr>
            <w:r w:rsidRPr="00113AE0">
              <w:rPr>
                <w:rFonts w:ascii="Arial" w:hAnsi="Arial" w:cs="Arial"/>
                <w:sz w:val="18"/>
                <w:szCs w:val="18"/>
              </w:rPr>
              <w:t>64.99</w:t>
            </w:r>
          </w:p>
        </w:tc>
        <w:tc>
          <w:tcPr>
            <w:tcW w:w="418" w:type="pct"/>
            <w:tcBorders>
              <w:top w:val="nil"/>
              <w:bottom w:val="nil"/>
            </w:tcBorders>
            <w:vAlign w:val="center"/>
          </w:tcPr>
          <w:p w:rsidR="00113AE0" w:rsidRPr="00113AE0" w:rsidRDefault="00113AE0">
            <w:pPr>
              <w:pStyle w:val="NormalWeb"/>
              <w:jc w:val="center"/>
              <w:rPr>
                <w:rFonts w:ascii="Arial" w:hAnsi="Arial" w:cs="Arial"/>
                <w:sz w:val="18"/>
                <w:szCs w:val="18"/>
              </w:rPr>
            </w:pPr>
            <w:r w:rsidRPr="00113AE0">
              <w:rPr>
                <w:rFonts w:ascii="Arial" w:hAnsi="Arial" w:cs="Arial"/>
                <w:sz w:val="18"/>
                <w:szCs w:val="18"/>
              </w:rPr>
              <w:t>1499</w:t>
            </w:r>
          </w:p>
        </w:tc>
        <w:tc>
          <w:tcPr>
            <w:tcW w:w="502" w:type="pct"/>
            <w:tcBorders>
              <w:top w:val="nil"/>
              <w:bottom w:val="nil"/>
            </w:tcBorders>
            <w:vAlign w:val="center"/>
          </w:tcPr>
          <w:p w:rsidR="00113AE0" w:rsidRPr="00113AE0" w:rsidRDefault="00113AE0">
            <w:pPr>
              <w:pStyle w:val="NormalWeb"/>
              <w:jc w:val="center"/>
              <w:rPr>
                <w:rFonts w:ascii="Arial" w:hAnsi="Arial" w:cs="Arial"/>
                <w:sz w:val="18"/>
                <w:szCs w:val="18"/>
              </w:rPr>
            </w:pPr>
            <w:r w:rsidRPr="00113AE0">
              <w:rPr>
                <w:rFonts w:ascii="Arial" w:hAnsi="Arial" w:cs="Arial"/>
                <w:sz w:val="18"/>
                <w:szCs w:val="18"/>
              </w:rPr>
              <w:t>1449</w:t>
            </w:r>
          </w:p>
        </w:tc>
        <w:tc>
          <w:tcPr>
            <w:tcW w:w="502" w:type="pct"/>
            <w:tcBorders>
              <w:top w:val="nil"/>
              <w:bottom w:val="nil"/>
            </w:tcBorders>
            <w:vAlign w:val="center"/>
          </w:tcPr>
          <w:p w:rsidR="00113AE0" w:rsidRPr="00113AE0" w:rsidRDefault="00113AE0">
            <w:pPr>
              <w:pStyle w:val="NormalWeb"/>
              <w:jc w:val="center"/>
              <w:rPr>
                <w:rFonts w:ascii="Arial" w:hAnsi="Arial" w:cs="Arial"/>
                <w:sz w:val="18"/>
                <w:szCs w:val="18"/>
              </w:rPr>
            </w:pPr>
            <w:r w:rsidRPr="00113AE0">
              <w:rPr>
                <w:rFonts w:ascii="Arial" w:hAnsi="Arial" w:cs="Arial"/>
                <w:sz w:val="18"/>
                <w:szCs w:val="18"/>
              </w:rPr>
              <w:t>1500</w:t>
            </w:r>
          </w:p>
        </w:tc>
        <w:tc>
          <w:tcPr>
            <w:tcW w:w="425" w:type="pct"/>
            <w:tcBorders>
              <w:top w:val="nil"/>
              <w:bottom w:val="nil"/>
            </w:tcBorders>
            <w:vAlign w:val="center"/>
          </w:tcPr>
          <w:p w:rsidR="00113AE0" w:rsidRPr="00113AE0" w:rsidRDefault="00113AE0">
            <w:pPr>
              <w:pStyle w:val="NormalWeb"/>
              <w:jc w:val="center"/>
              <w:rPr>
                <w:rFonts w:ascii="Arial" w:hAnsi="Arial" w:cs="Arial"/>
                <w:sz w:val="18"/>
                <w:szCs w:val="18"/>
              </w:rPr>
            </w:pPr>
            <w:r w:rsidRPr="00113AE0">
              <w:rPr>
                <w:rFonts w:ascii="Arial" w:hAnsi="Arial" w:cs="Arial"/>
                <w:sz w:val="18"/>
                <w:szCs w:val="18"/>
              </w:rPr>
              <w:t>2170</w:t>
            </w:r>
          </w:p>
        </w:tc>
        <w:tc>
          <w:tcPr>
            <w:tcW w:w="502" w:type="pct"/>
            <w:tcBorders>
              <w:top w:val="nil"/>
              <w:bottom w:val="nil"/>
            </w:tcBorders>
            <w:vAlign w:val="center"/>
          </w:tcPr>
          <w:p w:rsidR="00113AE0" w:rsidRPr="00113AE0" w:rsidRDefault="00113AE0">
            <w:pPr>
              <w:pStyle w:val="NormalWeb"/>
              <w:jc w:val="center"/>
              <w:rPr>
                <w:rFonts w:ascii="Arial" w:hAnsi="Arial" w:cs="Arial"/>
                <w:sz w:val="18"/>
                <w:szCs w:val="18"/>
              </w:rPr>
            </w:pPr>
            <w:r w:rsidRPr="00113AE0">
              <w:rPr>
                <w:rFonts w:ascii="Arial" w:hAnsi="Arial" w:cs="Arial"/>
                <w:sz w:val="18"/>
                <w:szCs w:val="18"/>
              </w:rPr>
              <w:t>2069</w:t>
            </w:r>
          </w:p>
        </w:tc>
        <w:tc>
          <w:tcPr>
            <w:tcW w:w="502" w:type="pct"/>
            <w:tcBorders>
              <w:top w:val="nil"/>
              <w:bottom w:val="nil"/>
            </w:tcBorders>
            <w:vAlign w:val="center"/>
          </w:tcPr>
          <w:p w:rsidR="00113AE0" w:rsidRPr="00113AE0" w:rsidRDefault="00113AE0">
            <w:pPr>
              <w:pStyle w:val="NormalWeb"/>
              <w:jc w:val="center"/>
              <w:rPr>
                <w:rFonts w:ascii="Arial" w:hAnsi="Arial" w:cs="Arial"/>
                <w:sz w:val="18"/>
                <w:szCs w:val="18"/>
              </w:rPr>
            </w:pPr>
            <w:r w:rsidRPr="00113AE0">
              <w:rPr>
                <w:rFonts w:ascii="Arial" w:hAnsi="Arial" w:cs="Arial"/>
                <w:sz w:val="18"/>
                <w:szCs w:val="18"/>
              </w:rPr>
              <w:t>2114</w:t>
            </w:r>
          </w:p>
        </w:tc>
      </w:tr>
    </w:tbl>
    <w:p w:rsidR="00113AE0" w:rsidRDefault="00113AE0" w:rsidP="00113AE0">
      <w:pPr>
        <w:pStyle w:val="AERbodytext"/>
        <w:spacing w:before="120" w:after="120"/>
        <w:rPr>
          <w:bCs/>
          <w:lang w:eastAsia="en-AU"/>
        </w:rPr>
      </w:pPr>
    </w:p>
    <w:p w:rsidR="00950B15" w:rsidRDefault="00113AE0" w:rsidP="00113AE0">
      <w:pPr>
        <w:jc w:val="both"/>
      </w:pPr>
      <w:r w:rsidRPr="005C0722">
        <w:t xml:space="preserve">Demand and available capacity were </w:t>
      </w:r>
      <w:r w:rsidR="005C0722" w:rsidRPr="005C0722">
        <w:t>both slightly higher than</w:t>
      </w:r>
      <w:r w:rsidRPr="005C0722">
        <w:t xml:space="preserve"> forecast four hours ahead. </w:t>
      </w:r>
      <w:r w:rsidR="00EF7061">
        <w:t xml:space="preserve">Flows on the </w:t>
      </w:r>
      <w:r w:rsidR="00284038">
        <w:t xml:space="preserve">Heywood </w:t>
      </w:r>
      <w:r w:rsidR="00EF7061">
        <w:t>interconnector were</w:t>
      </w:r>
      <w:r w:rsidR="00284038">
        <w:t xml:space="preserve"> still limited to 50 MW into South Australia. Murraylink was being limited by a constraint managing the </w:t>
      </w:r>
      <w:r w:rsidR="002F0605">
        <w:t xml:space="preserve">unplanned </w:t>
      </w:r>
      <w:r w:rsidR="00284038">
        <w:t>outage of the North West Bend 132kV circuit breakers</w:t>
      </w:r>
      <w:r w:rsidR="002F0605">
        <w:t>.</w:t>
      </w:r>
    </w:p>
    <w:p w:rsidR="002F0605" w:rsidRPr="00113AE0" w:rsidRDefault="002F0605" w:rsidP="00113AE0">
      <w:pPr>
        <w:jc w:val="both"/>
        <w:rPr>
          <w:color w:val="FF0000"/>
        </w:rPr>
      </w:pPr>
      <w:r>
        <w:t>Murraylink was importing into South Australia at 153 MW at 2.35 pm then at 2.40 pm AEMO invoked the constraint to manage the unplanned outage and imports dropped to 56 MW. With low-priced capacity ramp up limited</w:t>
      </w:r>
      <w:r w:rsidR="00472881">
        <w:t xml:space="preserve"> or trapped in FCAS the dispatch price rose from $65/MWh at 2.35 pm to $13 331/MWh at 2.40 pm.</w:t>
      </w:r>
      <w:r>
        <w:t xml:space="preserve"> </w:t>
      </w:r>
    </w:p>
    <w:bookmarkEnd w:id="0"/>
    <w:bookmarkEnd w:id="1"/>
    <w:bookmarkEnd w:id="2"/>
    <w:bookmarkEnd w:id="3"/>
    <w:bookmarkEnd w:id="4"/>
    <w:bookmarkEnd w:id="5"/>
    <w:p w:rsidR="00275002" w:rsidRPr="0031019A" w:rsidRDefault="00275002" w:rsidP="005F6ADE">
      <w:pPr>
        <w:pStyle w:val="Heading2"/>
      </w:pPr>
      <w:r w:rsidRPr="0031019A">
        <w:lastRenderedPageBreak/>
        <w:t>Financial markets</w:t>
      </w:r>
    </w:p>
    <w:p w:rsidR="00275002" w:rsidRPr="0031019A" w:rsidRDefault="00275002" w:rsidP="00FC52AC">
      <w:pPr>
        <w:pStyle w:val="AERbodytext"/>
        <w:spacing w:before="120" w:after="120"/>
      </w:pPr>
      <w:r>
        <w:fldChar w:fldCharType="begin"/>
      </w:r>
      <w:r>
        <w:instrText xml:space="preserve"> REF _Ref410386540 \h </w:instrText>
      </w:r>
      <w:r w:rsidR="009A3D22">
        <w:instrText xml:space="preserve"> \* MERGEFORMAT </w:instrText>
      </w:r>
      <w:r>
        <w:fldChar w:fldCharType="separate"/>
      </w:r>
      <w:r w:rsidR="009829BD">
        <w:t>Figure 9</w:t>
      </w:r>
      <w:r>
        <w:fldChar w:fldCharType="end"/>
      </w:r>
      <w:r>
        <w:t xml:space="preserve"> </w:t>
      </w:r>
      <w:r w:rsidRPr="0031019A">
        <w:t xml:space="preserve">shows for all mainland regions the prices for base contracts (and total traded quantities for the week) for each quarter for the next four financial years. </w:t>
      </w:r>
      <w:r w:rsidR="00EF7061">
        <w:t>The price of contracts offered in South Australia for the majority of future quarters appears to have stabilised or fallen slightly this week compared to the previous week.</w:t>
      </w:r>
      <w:r w:rsidR="0054145F">
        <w:t xml:space="preserve"> Prices in other regions have also fallen slightly.</w:t>
      </w:r>
    </w:p>
    <w:p w:rsidR="00D73D17" w:rsidRDefault="00EF7061" w:rsidP="00A64EBB">
      <w:pPr>
        <w:pStyle w:val="Caption"/>
      </w:pPr>
      <w:bookmarkStart w:id="21" w:name="_Ref410386540"/>
      <w:r w:rsidRPr="0009653D">
        <w:rPr>
          <w:noProof/>
          <w:lang w:eastAsia="en-AU"/>
        </w:rPr>
        <w:drawing>
          <wp:anchor distT="0" distB="0" distL="114300" distR="114300" simplePos="0" relativeHeight="251667456" behindDoc="0" locked="1" layoutInCell="1" allowOverlap="1" wp14:anchorId="50CBF2C6" wp14:editId="3B2D7397">
            <wp:simplePos x="0" y="0"/>
            <wp:positionH relativeFrom="column">
              <wp:posOffset>0</wp:posOffset>
            </wp:positionH>
            <wp:positionV relativeFrom="paragraph">
              <wp:posOffset>366395</wp:posOffset>
            </wp:positionV>
            <wp:extent cx="5730875" cy="2886710"/>
            <wp:effectExtent l="0" t="0" r="3175" b="8890"/>
            <wp:wrapTopAndBottom/>
            <wp:docPr id="20" name="Picture 20" descr="Figure 9 shows for all mainland regions the prices for base contracts (and total traded quantities for the week) for each quarter for the next four financial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0875" cy="2886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5002">
        <w:t xml:space="preserve">Figure </w:t>
      </w:r>
      <w:fldSimple w:instr=" SEQ Figure \* ARABIC ">
        <w:r w:rsidR="009829BD">
          <w:rPr>
            <w:noProof/>
          </w:rPr>
          <w:t>9</w:t>
        </w:r>
      </w:fldSimple>
      <w:bookmarkEnd w:id="21"/>
      <w:r w:rsidR="002515C3">
        <w:t>:</w:t>
      </w:r>
      <w:r w:rsidR="00275002">
        <w:t xml:space="preserve"> </w:t>
      </w:r>
      <w:r w:rsidR="00275002" w:rsidRPr="007A6ACB">
        <w:t>Quarterly base future prices Q</w:t>
      </w:r>
      <w:r w:rsidR="0054173F">
        <w:t>4</w:t>
      </w:r>
      <w:r w:rsidR="00275002" w:rsidRPr="007A6ACB">
        <w:t xml:space="preserve"> 2015 – Q</w:t>
      </w:r>
      <w:r w:rsidR="00115CCB">
        <w:t>3</w:t>
      </w:r>
      <w:r w:rsidR="00275002" w:rsidRPr="007A6ACB">
        <w:t xml:space="preserve"> 201</w:t>
      </w:r>
      <w:r w:rsidR="00F87EBA">
        <w:t>9</w:t>
      </w:r>
    </w:p>
    <w:p w:rsidR="00CA0ECB" w:rsidRDefault="00275002" w:rsidP="00626E1A">
      <w:pPr>
        <w:rPr>
          <w:lang w:eastAsia="en-AU"/>
        </w:rPr>
      </w:pPr>
      <w:proofErr w:type="gramStart"/>
      <w:r w:rsidRPr="00A64EBB">
        <w:rPr>
          <w:sz w:val="16"/>
          <w:szCs w:val="16"/>
        </w:rPr>
        <w:t>Source</w:t>
      </w:r>
      <w:r w:rsidR="00F72F41">
        <w:rPr>
          <w:sz w:val="16"/>
          <w:szCs w:val="16"/>
        </w:rPr>
        <w:t>.</w:t>
      </w:r>
      <w:proofErr w:type="gramEnd"/>
      <w:r w:rsidRPr="00A64EBB">
        <w:rPr>
          <w:sz w:val="16"/>
          <w:szCs w:val="16"/>
        </w:rPr>
        <w:t xml:space="preserve"> </w:t>
      </w:r>
      <w:hyperlink r:id="rId21" w:history="1">
        <w:r w:rsidRPr="00A64EBB">
          <w:rPr>
            <w:sz w:val="16"/>
            <w:szCs w:val="16"/>
          </w:rPr>
          <w:t>ASXEnergy.com.au</w:t>
        </w:r>
      </w:hyperlink>
    </w:p>
    <w:p w:rsidR="005F69C4" w:rsidRDefault="00275002" w:rsidP="009A3D22">
      <w:pPr>
        <w:jc w:val="both"/>
      </w:pPr>
      <w:r>
        <w:fldChar w:fldCharType="begin"/>
      </w:r>
      <w:r>
        <w:instrText xml:space="preserve"> REF _Ref410380382 \h </w:instrText>
      </w:r>
      <w:r w:rsidR="009A3D22">
        <w:instrText xml:space="preserve"> \* MERGEFORMAT </w:instrText>
      </w:r>
      <w:r>
        <w:fldChar w:fldCharType="separate"/>
      </w:r>
      <w:r w:rsidR="009829BD">
        <w:t xml:space="preserve">Figure </w:t>
      </w:r>
      <w:r w:rsidR="009829BD">
        <w:rPr>
          <w:noProof/>
        </w:rPr>
        <w:t>10</w:t>
      </w:r>
      <w:r>
        <w:fldChar w:fldCharType="end"/>
      </w:r>
      <w:r>
        <w:t xml:space="preserve"> </w:t>
      </w:r>
      <w:r w:rsidRPr="0031019A">
        <w:t>shows how the price for each regional Quarter 1 201</w:t>
      </w:r>
      <w:r w:rsidR="00F87EBA">
        <w:t>6</w:t>
      </w:r>
      <w:r w:rsidRPr="0031019A">
        <w:t xml:space="preserve"> base contract has changed over the last 10 weeks (as well as the total number of trades each week). The closing quarter 1 201</w:t>
      </w:r>
      <w:r w:rsidR="00F87EBA">
        <w:t>4</w:t>
      </w:r>
      <w:r w:rsidRPr="0031019A">
        <w:t xml:space="preserve"> and quarter 1 201</w:t>
      </w:r>
      <w:r w:rsidR="00F87EBA">
        <w:t>5</w:t>
      </w:r>
      <w:r w:rsidRPr="0031019A">
        <w:t xml:space="preserve"> prices are also shown. The AER notes that data for South Australia is less reliable due to very low numbers of trades. </w:t>
      </w:r>
      <w:r w:rsidR="00100CA5">
        <w:t>All Q1 2016 contracts fell slightly this week after an increase in Queensland and South Australia last week.</w:t>
      </w:r>
    </w:p>
    <w:p w:rsidR="00EF7061" w:rsidRPr="0054145F" w:rsidRDefault="00EF7061" w:rsidP="009A3D22">
      <w:pPr>
        <w:jc w:val="both"/>
        <w:rPr>
          <w:sz w:val="8"/>
        </w:rPr>
      </w:pPr>
    </w:p>
    <w:p w:rsidR="00275002" w:rsidRDefault="00275002" w:rsidP="004D4A76">
      <w:pPr>
        <w:pStyle w:val="Caption"/>
        <w:spacing w:before="0" w:after="0" w:line="240" w:lineRule="auto"/>
      </w:pPr>
      <w:bookmarkStart w:id="22" w:name="_Ref410380382"/>
      <w:r>
        <w:t xml:space="preserve">Figure </w:t>
      </w:r>
      <w:fldSimple w:instr=" SEQ Figure \* ARABIC ">
        <w:r w:rsidR="009829BD">
          <w:rPr>
            <w:noProof/>
          </w:rPr>
          <w:t>10</w:t>
        </w:r>
      </w:fldSimple>
      <w:bookmarkEnd w:id="22"/>
      <w:r w:rsidR="002515C3">
        <w:t>:</w:t>
      </w:r>
      <w:r w:rsidRPr="00DF093A">
        <w:t xml:space="preserve"> Price of Q1 201</w:t>
      </w:r>
      <w:r w:rsidR="00F87EBA">
        <w:t>6</w:t>
      </w:r>
      <w:r w:rsidRPr="00DF093A">
        <w:t xml:space="preserve"> base contracts over the past 10 weeks (and the past 2 years)</w:t>
      </w:r>
    </w:p>
    <w:p w:rsidR="00275002" w:rsidRPr="0031019A" w:rsidRDefault="0009653D" w:rsidP="004D4A76">
      <w:pPr>
        <w:pStyle w:val="Caption"/>
        <w:spacing w:before="0" w:after="0" w:line="240" w:lineRule="auto"/>
      </w:pPr>
      <w:r w:rsidRPr="0009653D">
        <w:rPr>
          <w:noProof/>
          <w:lang w:eastAsia="en-AU"/>
        </w:rPr>
        <w:drawing>
          <wp:inline distT="0" distB="0" distL="0" distR="0" wp14:anchorId="4B294A18" wp14:editId="0A0C4BA5">
            <wp:extent cx="5725236" cy="2742289"/>
            <wp:effectExtent l="0" t="0" r="0" b="1270"/>
            <wp:docPr id="21" name="Picture 21" descr="Figure 10 shows how the price for each regional Quarter 1 2016 base contract has changed over the last 10 weeks (as well as the total number of trades each week). The closing quarter 1 2014 and quarter 1 2015 prices are also shown. The AER notes that data for South Australia is less reliable due to very low numbers of trad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2745294"/>
                    </a:xfrm>
                    <a:prstGeom prst="rect">
                      <a:avLst/>
                    </a:prstGeom>
                    <a:noFill/>
                    <a:ln>
                      <a:noFill/>
                    </a:ln>
                  </pic:spPr>
                </pic:pic>
              </a:graphicData>
            </a:graphic>
          </wp:inline>
        </w:drawing>
      </w:r>
    </w:p>
    <w:p w:rsidR="00275002" w:rsidRPr="0031019A" w:rsidRDefault="00275002" w:rsidP="00544C6F">
      <w:pPr>
        <w:pStyle w:val="Source"/>
        <w:spacing w:before="120" w:after="0" w:line="240" w:lineRule="auto"/>
      </w:pPr>
      <w:r w:rsidRPr="0031019A">
        <w:t>Note</w:t>
      </w:r>
      <w:r w:rsidR="00F72F41">
        <w:t>.</w:t>
      </w:r>
      <w:r w:rsidRPr="0031019A">
        <w:t xml:space="preserve"> Base contract prices are shown for each of the current week and the previous 9 weeks, with average prices shown for yearly periods 1 and 2 years prior to the current year</w:t>
      </w:r>
      <w:r w:rsidR="00D615F9">
        <w:t>.</w:t>
      </w:r>
    </w:p>
    <w:p w:rsidR="00275002" w:rsidRPr="002A7439" w:rsidRDefault="00275002" w:rsidP="00544C6F">
      <w:pPr>
        <w:pStyle w:val="Source"/>
        <w:spacing w:before="120" w:after="0" w:line="240" w:lineRule="auto"/>
      </w:pPr>
      <w:proofErr w:type="gramStart"/>
      <w:r w:rsidRPr="002A7439">
        <w:lastRenderedPageBreak/>
        <w:t>Source</w:t>
      </w:r>
      <w:r w:rsidR="00F72F41">
        <w:t>.</w:t>
      </w:r>
      <w:proofErr w:type="gramEnd"/>
      <w:r w:rsidRPr="002A7439">
        <w:t xml:space="preserve"> </w:t>
      </w:r>
      <w:hyperlink r:id="rId23" w:history="1">
        <w:r w:rsidRPr="002A7439">
          <w:rPr>
            <w:rStyle w:val="Hyperlink"/>
            <w:color w:val="auto"/>
            <w:sz w:val="16"/>
            <w:u w:val="none"/>
          </w:rPr>
          <w:t>ASXEnergy.com.au</w:t>
        </w:r>
      </w:hyperlink>
    </w:p>
    <w:p w:rsidR="00275002" w:rsidRPr="0031019A" w:rsidRDefault="00275002" w:rsidP="009A3D22">
      <w:pPr>
        <w:jc w:val="both"/>
      </w:pPr>
      <w:r w:rsidRPr="0031019A">
        <w:t xml:space="preserve">Prices of other financial products (including longer-term price trends) are available in the </w:t>
      </w:r>
      <w:hyperlink r:id="rId24" w:history="1">
        <w:r w:rsidR="0009653D">
          <w:rPr>
            <w:rStyle w:val="Hyperlink"/>
          </w:rPr>
          <w:t>Industry Statistics</w:t>
        </w:r>
      </w:hyperlink>
      <w:r w:rsidR="00D615F9">
        <w:t xml:space="preserve"> s</w:t>
      </w:r>
      <w:r w:rsidRPr="0031019A">
        <w:t>ection of our website.</w:t>
      </w:r>
    </w:p>
    <w:p w:rsidR="004D4A76" w:rsidRDefault="008C094A" w:rsidP="004D4A76">
      <w:pPr>
        <w:spacing w:before="120" w:after="120"/>
        <w:jc w:val="both"/>
      </w:pPr>
      <w:r>
        <w:fldChar w:fldCharType="begin"/>
      </w:r>
      <w:r>
        <w:instrText xml:space="preserve"> REF _Ref428276233 \h </w:instrText>
      </w:r>
      <w:r>
        <w:fldChar w:fldCharType="separate"/>
      </w:r>
      <w:r w:rsidR="009829BD">
        <w:t xml:space="preserve">Figure </w:t>
      </w:r>
      <w:r w:rsidR="009829BD">
        <w:rPr>
          <w:noProof/>
        </w:rPr>
        <w:t>11</w:t>
      </w:r>
      <w:r>
        <w:fldChar w:fldCharType="end"/>
      </w:r>
      <w:r>
        <w:t xml:space="preserve"> </w:t>
      </w:r>
      <w:r w:rsidR="00275002" w:rsidRPr="0031019A">
        <w:t>shows how the price for each regional Quarter 1 201</w:t>
      </w:r>
      <w:r w:rsidR="00F87EBA">
        <w:t>6</w:t>
      </w:r>
      <w:r w:rsidR="00275002" w:rsidRPr="0031019A">
        <w:t xml:space="preserve"> cap contract has changed over the last 10 weeks (as well as the total number of trades each week). The closing quarter 1 201</w:t>
      </w:r>
      <w:r w:rsidR="00F87EBA">
        <w:t>4</w:t>
      </w:r>
      <w:r w:rsidR="00275002" w:rsidRPr="0031019A">
        <w:t xml:space="preserve"> and quarter 1 201</w:t>
      </w:r>
      <w:r w:rsidR="00F87EBA">
        <w:t>5</w:t>
      </w:r>
      <w:r w:rsidR="00275002" w:rsidRPr="0031019A">
        <w:t xml:space="preserve"> prices are also shown. </w:t>
      </w:r>
    </w:p>
    <w:p w:rsidR="00275002" w:rsidRDefault="00275002" w:rsidP="00CB0FA5">
      <w:pPr>
        <w:pStyle w:val="Caption"/>
        <w:spacing w:before="0" w:after="0" w:line="240" w:lineRule="auto"/>
      </w:pPr>
      <w:bookmarkStart w:id="23" w:name="_Ref428276233"/>
      <w:bookmarkStart w:id="24" w:name="_Ref410744936"/>
      <w:r>
        <w:t xml:space="preserve">Figure </w:t>
      </w:r>
      <w:fldSimple w:instr=" SEQ Figure \* ARABIC ">
        <w:r w:rsidR="009829BD">
          <w:rPr>
            <w:noProof/>
          </w:rPr>
          <w:t>11</w:t>
        </w:r>
      </w:fldSimple>
      <w:bookmarkEnd w:id="23"/>
      <w:r w:rsidR="002515C3">
        <w:t>:</w:t>
      </w:r>
      <w:r w:rsidRPr="0074419D">
        <w:t xml:space="preserve"> Price of Q1 201</w:t>
      </w:r>
      <w:r w:rsidR="00F87EBA">
        <w:t>6</w:t>
      </w:r>
      <w:r w:rsidRPr="0074419D">
        <w:t xml:space="preserve"> cap contracts over the past 10 weeks (and the past 2 years)</w:t>
      </w:r>
      <w:bookmarkEnd w:id="24"/>
    </w:p>
    <w:p w:rsidR="00275002" w:rsidRPr="0031019A" w:rsidRDefault="0009653D" w:rsidP="00CB0FA5">
      <w:pPr>
        <w:spacing w:before="0" w:line="240" w:lineRule="auto"/>
      </w:pPr>
      <w:r w:rsidRPr="0009653D">
        <w:rPr>
          <w:noProof/>
          <w:lang w:eastAsia="en-AU"/>
        </w:rPr>
        <w:drawing>
          <wp:inline distT="0" distB="0" distL="0" distR="0" wp14:anchorId="2BE4C294" wp14:editId="020979BE">
            <wp:extent cx="5732060" cy="2947916"/>
            <wp:effectExtent l="0" t="0" r="2540" b="5080"/>
            <wp:docPr id="23" name="Picture 23" descr="Figure 11 shows how the price for each regional Quarter 1 2016 cap contract has changed over the last 10 weeks (as well as the total number of trades each week). The closing quarter 1 2014 and quarter 1 2015 prices are also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1510" cy="2947633"/>
                    </a:xfrm>
                    <a:prstGeom prst="rect">
                      <a:avLst/>
                    </a:prstGeom>
                    <a:noFill/>
                    <a:ln>
                      <a:noFill/>
                    </a:ln>
                  </pic:spPr>
                </pic:pic>
              </a:graphicData>
            </a:graphic>
          </wp:inline>
        </w:drawing>
      </w:r>
    </w:p>
    <w:p w:rsidR="00275002" w:rsidRPr="002A7439" w:rsidRDefault="00275002" w:rsidP="00CB0FA5">
      <w:pPr>
        <w:pStyle w:val="Source"/>
        <w:spacing w:before="0" w:after="0" w:line="240" w:lineRule="auto"/>
      </w:pPr>
      <w:proofErr w:type="gramStart"/>
      <w:r w:rsidRPr="002A7439">
        <w:t>Source</w:t>
      </w:r>
      <w:r w:rsidR="00F72F41">
        <w:t>.</w:t>
      </w:r>
      <w:proofErr w:type="gramEnd"/>
      <w:r w:rsidRPr="002A7439">
        <w:t xml:space="preserve"> </w:t>
      </w:r>
      <w:hyperlink r:id="rId26" w:history="1">
        <w:r w:rsidRPr="002A7439">
          <w:rPr>
            <w:rStyle w:val="Hyperlink"/>
            <w:color w:val="auto"/>
            <w:sz w:val="16"/>
            <w:u w:val="none"/>
          </w:rPr>
          <w:t>ASXEnergy.com.au</w:t>
        </w:r>
      </w:hyperlink>
    </w:p>
    <w:p w:rsidR="00275002" w:rsidRPr="0031019A" w:rsidRDefault="00275002" w:rsidP="00275002">
      <w:pPr>
        <w:pStyle w:val="Heading4notnumbered"/>
      </w:pPr>
      <w:r w:rsidRPr="0031019A">
        <w:t>Australian Energy Regulator</w:t>
      </w:r>
      <w:r w:rsidR="005B0EF5">
        <w:br/>
      </w:r>
      <w:r w:rsidR="005F69C4">
        <w:t>November</w:t>
      </w:r>
      <w:r w:rsidR="004D5447" w:rsidRPr="0031019A">
        <w:t xml:space="preserve"> </w:t>
      </w:r>
      <w:r w:rsidRPr="0031019A">
        <w:t>2015</w:t>
      </w:r>
    </w:p>
    <w:sectPr w:rsidR="00275002" w:rsidRPr="0031019A" w:rsidSect="004D4A76">
      <w:footerReference w:type="even" r:id="rId27"/>
      <w:footerReference w:type="default" r:id="rId28"/>
      <w:footerReference w:type="first" r:id="rId29"/>
      <w:pgSz w:w="11906" w:h="16838"/>
      <w:pgMar w:top="993" w:right="1440" w:bottom="993"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91E" w:rsidRDefault="00C6191E" w:rsidP="004B4412">
      <w:pPr>
        <w:spacing w:before="0"/>
      </w:pPr>
      <w:r>
        <w:separator/>
      </w:r>
    </w:p>
  </w:endnote>
  <w:endnote w:type="continuationSeparator" w:id="0">
    <w:p w:rsidR="00C6191E" w:rsidRDefault="00C6191E"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1"/>
    <w:family w:val="roman"/>
    <w:notTrueType/>
    <w:pitch w:val="variable"/>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91E" w:rsidRPr="00A91A9E" w:rsidRDefault="00C6191E"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C6191E" w:rsidRDefault="00C6191E"/>
  <w:p w:rsidR="00C6191E" w:rsidRDefault="00C6191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91E" w:rsidRPr="00A94D89" w:rsidRDefault="00C6191E"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9829BD">
      <w:rPr>
        <w:rFonts w:cs="Arial"/>
        <w:i/>
        <w:noProof/>
      </w:rPr>
      <w:t>10</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91E" w:rsidRPr="00A94D89" w:rsidRDefault="00C6191E"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9829BD">
      <w:rPr>
        <w:rFonts w:cs="Arial"/>
        <w:i/>
        <w:noProof/>
      </w:rPr>
      <w:t>1</w:t>
    </w:r>
    <w:r w:rsidRPr="001F1B78">
      <w:rPr>
        <w:rFonts w:cs="Arial"/>
        <w:i/>
        <w:noProof/>
      </w:rPr>
      <w:fldChar w:fldCharType="end"/>
    </w:r>
    <w:r w:rsidRPr="00F52F00">
      <w:rPr>
        <w:rFonts w:cs="Arial"/>
        <w:i/>
      </w:rPr>
      <w:tab/>
      <w:t xml:space="preserve">AER reference: 39220 – </w:t>
    </w:r>
    <w:r w:rsidR="0054173F">
      <w:rPr>
        <w:rFonts w:cs="Arial"/>
        <w:i/>
        <w:szCs w:val="18"/>
      </w:rPr>
      <w:t>D15/</w:t>
    </w:r>
    <w:r w:rsidR="00CC2CA1">
      <w:rPr>
        <w:rFonts w:cs="Arial"/>
        <w:i/>
        <w:szCs w:val="18"/>
      </w:rPr>
      <w:t>171134</w:t>
    </w:r>
  </w:p>
  <w:p w:rsidR="00C6191E" w:rsidRDefault="00C619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91E" w:rsidRDefault="00C6191E" w:rsidP="004B4412">
      <w:pPr>
        <w:spacing w:before="0"/>
      </w:pPr>
      <w:r>
        <w:separator/>
      </w:r>
    </w:p>
  </w:footnote>
  <w:footnote w:type="continuationSeparator" w:id="0">
    <w:p w:rsidR="00C6191E" w:rsidRDefault="00C6191E"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41F530A"/>
    <w:multiLevelType w:val="multilevel"/>
    <w:tmpl w:val="4E603E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07E80C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641ED1"/>
    <w:multiLevelType w:val="hybridMultilevel"/>
    <w:tmpl w:val="8520B998"/>
    <w:lvl w:ilvl="0" w:tplc="92E4D2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C4312B0"/>
    <w:multiLevelType w:val="hybridMultilevel"/>
    <w:tmpl w:val="C1266B52"/>
    <w:lvl w:ilvl="0" w:tplc="990A9FAA">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3BC4855"/>
    <w:multiLevelType w:val="hybridMultilevel"/>
    <w:tmpl w:val="71C29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43A16BA"/>
    <w:multiLevelType w:val="hybridMultilevel"/>
    <w:tmpl w:val="B4582D26"/>
    <w:lvl w:ilvl="0" w:tplc="7270CC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8275414"/>
    <w:multiLevelType w:val="hybridMultilevel"/>
    <w:tmpl w:val="A5B460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21">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2">
    <w:nsid w:val="20DC4589"/>
    <w:multiLevelType w:val="hybridMultilevel"/>
    <w:tmpl w:val="CE309D86"/>
    <w:lvl w:ilvl="0" w:tplc="272AF908">
      <w:start w:val="1"/>
      <w:numFmt w:val="bullet"/>
      <w:lvlText w:val=""/>
      <w:lvlJc w:val="left"/>
      <w:pPr>
        <w:ind w:left="720" w:hanging="360"/>
      </w:pPr>
      <w:rPr>
        <w:rFonts w:ascii="Symbol" w:hAnsi="Symbol" w:hint="default"/>
      </w:rPr>
    </w:lvl>
    <w:lvl w:ilvl="1" w:tplc="57C8130E" w:tentative="1">
      <w:start w:val="1"/>
      <w:numFmt w:val="bullet"/>
      <w:lvlText w:val="o"/>
      <w:lvlJc w:val="left"/>
      <w:pPr>
        <w:ind w:left="1440" w:hanging="360"/>
      </w:pPr>
      <w:rPr>
        <w:rFonts w:ascii="Courier New" w:hAnsi="Courier New" w:cs="Courier New" w:hint="default"/>
      </w:rPr>
    </w:lvl>
    <w:lvl w:ilvl="2" w:tplc="5C8AAD36" w:tentative="1">
      <w:start w:val="1"/>
      <w:numFmt w:val="bullet"/>
      <w:lvlText w:val=""/>
      <w:lvlJc w:val="left"/>
      <w:pPr>
        <w:ind w:left="2160" w:hanging="360"/>
      </w:pPr>
      <w:rPr>
        <w:rFonts w:ascii="Wingdings" w:hAnsi="Wingdings" w:hint="default"/>
      </w:rPr>
    </w:lvl>
    <w:lvl w:ilvl="3" w:tplc="724C6AB0" w:tentative="1">
      <w:start w:val="1"/>
      <w:numFmt w:val="bullet"/>
      <w:lvlText w:val=""/>
      <w:lvlJc w:val="left"/>
      <w:pPr>
        <w:ind w:left="2880" w:hanging="360"/>
      </w:pPr>
      <w:rPr>
        <w:rFonts w:ascii="Symbol" w:hAnsi="Symbol" w:hint="default"/>
      </w:rPr>
    </w:lvl>
    <w:lvl w:ilvl="4" w:tplc="6FB25FB4" w:tentative="1">
      <w:start w:val="1"/>
      <w:numFmt w:val="bullet"/>
      <w:lvlText w:val="o"/>
      <w:lvlJc w:val="left"/>
      <w:pPr>
        <w:ind w:left="3600" w:hanging="360"/>
      </w:pPr>
      <w:rPr>
        <w:rFonts w:ascii="Courier New" w:hAnsi="Courier New" w:cs="Courier New" w:hint="default"/>
      </w:rPr>
    </w:lvl>
    <w:lvl w:ilvl="5" w:tplc="F5C2DFB0" w:tentative="1">
      <w:start w:val="1"/>
      <w:numFmt w:val="bullet"/>
      <w:lvlText w:val=""/>
      <w:lvlJc w:val="left"/>
      <w:pPr>
        <w:ind w:left="4320" w:hanging="360"/>
      </w:pPr>
      <w:rPr>
        <w:rFonts w:ascii="Wingdings" w:hAnsi="Wingdings" w:hint="default"/>
      </w:rPr>
    </w:lvl>
    <w:lvl w:ilvl="6" w:tplc="E8EC3EF6" w:tentative="1">
      <w:start w:val="1"/>
      <w:numFmt w:val="bullet"/>
      <w:lvlText w:val=""/>
      <w:lvlJc w:val="left"/>
      <w:pPr>
        <w:ind w:left="5040" w:hanging="360"/>
      </w:pPr>
      <w:rPr>
        <w:rFonts w:ascii="Symbol" w:hAnsi="Symbol" w:hint="default"/>
      </w:rPr>
    </w:lvl>
    <w:lvl w:ilvl="7" w:tplc="B2DE8D52" w:tentative="1">
      <w:start w:val="1"/>
      <w:numFmt w:val="bullet"/>
      <w:lvlText w:val="o"/>
      <w:lvlJc w:val="left"/>
      <w:pPr>
        <w:ind w:left="5760" w:hanging="360"/>
      </w:pPr>
      <w:rPr>
        <w:rFonts w:ascii="Courier New" w:hAnsi="Courier New" w:cs="Courier New" w:hint="default"/>
      </w:rPr>
    </w:lvl>
    <w:lvl w:ilvl="8" w:tplc="1C986682" w:tentative="1">
      <w:start w:val="1"/>
      <w:numFmt w:val="bullet"/>
      <w:lvlText w:val=""/>
      <w:lvlJc w:val="left"/>
      <w:pPr>
        <w:ind w:left="6480" w:hanging="360"/>
      </w:pPr>
      <w:rPr>
        <w:rFonts w:ascii="Wingdings" w:hAnsi="Wingdings" w:hint="default"/>
      </w:rPr>
    </w:lvl>
  </w:abstractNum>
  <w:abstractNum w:abstractNumId="23">
    <w:nsid w:val="238563B5"/>
    <w:multiLevelType w:val="multilevel"/>
    <w:tmpl w:val="7DF81E34"/>
    <w:lvl w:ilvl="0">
      <w:start w:val="1"/>
      <w:numFmt w:val="lowerLetter"/>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6">
    <w:nsid w:val="324E259F"/>
    <w:multiLevelType w:val="hybridMultilevel"/>
    <w:tmpl w:val="DF0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D18074A"/>
    <w:multiLevelType w:val="hybridMultilevel"/>
    <w:tmpl w:val="C8E20904"/>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9">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4065F76"/>
    <w:multiLevelType w:val="hybridMultilevel"/>
    <w:tmpl w:val="68D2BB3C"/>
    <w:lvl w:ilvl="0" w:tplc="A5BC9C30">
      <w:start w:val="1"/>
      <w:numFmt w:val="lowerLetter"/>
      <w:lvlText w:val="%1)"/>
      <w:lvlJc w:val="left"/>
      <w:pPr>
        <w:ind w:left="1003" w:hanging="360"/>
      </w:pPr>
    </w:lvl>
    <w:lvl w:ilvl="1" w:tplc="394A4642" w:tentative="1">
      <w:start w:val="1"/>
      <w:numFmt w:val="lowerLetter"/>
      <w:lvlText w:val="%2."/>
      <w:lvlJc w:val="left"/>
      <w:pPr>
        <w:ind w:left="1723" w:hanging="360"/>
      </w:pPr>
    </w:lvl>
    <w:lvl w:ilvl="2" w:tplc="DA3E1F4A" w:tentative="1">
      <w:start w:val="1"/>
      <w:numFmt w:val="lowerRoman"/>
      <w:lvlText w:val="%3."/>
      <w:lvlJc w:val="right"/>
      <w:pPr>
        <w:ind w:left="2443" w:hanging="180"/>
      </w:pPr>
    </w:lvl>
    <w:lvl w:ilvl="3" w:tplc="999EE412" w:tentative="1">
      <w:start w:val="1"/>
      <w:numFmt w:val="decimal"/>
      <w:lvlText w:val="%4."/>
      <w:lvlJc w:val="left"/>
      <w:pPr>
        <w:ind w:left="3163" w:hanging="360"/>
      </w:pPr>
    </w:lvl>
    <w:lvl w:ilvl="4" w:tplc="0C7C376E" w:tentative="1">
      <w:start w:val="1"/>
      <w:numFmt w:val="lowerLetter"/>
      <w:lvlText w:val="%5."/>
      <w:lvlJc w:val="left"/>
      <w:pPr>
        <w:ind w:left="3883" w:hanging="360"/>
      </w:pPr>
    </w:lvl>
    <w:lvl w:ilvl="5" w:tplc="C5F85718" w:tentative="1">
      <w:start w:val="1"/>
      <w:numFmt w:val="lowerRoman"/>
      <w:lvlText w:val="%6."/>
      <w:lvlJc w:val="right"/>
      <w:pPr>
        <w:ind w:left="4603" w:hanging="180"/>
      </w:pPr>
    </w:lvl>
    <w:lvl w:ilvl="6" w:tplc="A13E5A62" w:tentative="1">
      <w:start w:val="1"/>
      <w:numFmt w:val="decimal"/>
      <w:lvlText w:val="%7."/>
      <w:lvlJc w:val="left"/>
      <w:pPr>
        <w:ind w:left="5323" w:hanging="360"/>
      </w:pPr>
    </w:lvl>
    <w:lvl w:ilvl="7" w:tplc="DFD8E418" w:tentative="1">
      <w:start w:val="1"/>
      <w:numFmt w:val="lowerLetter"/>
      <w:lvlText w:val="%8."/>
      <w:lvlJc w:val="left"/>
      <w:pPr>
        <w:ind w:left="6043" w:hanging="360"/>
      </w:pPr>
    </w:lvl>
    <w:lvl w:ilvl="8" w:tplc="1030601A" w:tentative="1">
      <w:start w:val="1"/>
      <w:numFmt w:val="lowerRoman"/>
      <w:lvlText w:val="%9."/>
      <w:lvlJc w:val="right"/>
      <w:pPr>
        <w:ind w:left="6763" w:hanging="180"/>
      </w:pPr>
    </w:lvl>
  </w:abstractNum>
  <w:abstractNum w:abstractNumId="31">
    <w:nsid w:val="461B4F41"/>
    <w:multiLevelType w:val="hybridMultilevel"/>
    <w:tmpl w:val="7B5014C4"/>
    <w:lvl w:ilvl="0" w:tplc="50264B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4A0A18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4DFC74D7"/>
    <w:multiLevelType w:val="multilevel"/>
    <w:tmpl w:val="D22EEB40"/>
    <w:lvl w:ilvl="0">
      <w:start w:val="1"/>
      <w:numFmt w:val="decimal"/>
      <w:lvlText w:val="%1."/>
      <w:lvlJc w:val="left"/>
      <w:pPr>
        <w:ind w:left="720" w:hanging="360"/>
      </w:pPr>
      <w:rPr>
        <w:rFonts w:hint="default"/>
      </w:rPr>
    </w:lvl>
    <w:lvl w:ilvl="1">
      <w:start w:val="1"/>
      <w:numFmt w:val="decimal"/>
      <w:lvlText w:val="%1.%2."/>
      <w:lvlJc w:val="left"/>
      <w:pPr>
        <w:ind w:left="964" w:hanging="96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57384C50"/>
    <w:multiLevelType w:val="hybridMultilevel"/>
    <w:tmpl w:val="45CCF906"/>
    <w:lvl w:ilvl="0" w:tplc="8FF07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9">
    <w:nsid w:val="5B1A409A"/>
    <w:multiLevelType w:val="hybridMultilevel"/>
    <w:tmpl w:val="3D94CE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nsid w:val="65C457CB"/>
    <w:multiLevelType w:val="hybridMultilevel"/>
    <w:tmpl w:val="8FC6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42">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F59094C"/>
    <w:multiLevelType w:val="hybridMultilevel"/>
    <w:tmpl w:val="94BA2A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3EB6145"/>
    <w:multiLevelType w:val="hybridMultilevel"/>
    <w:tmpl w:val="DCB00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6"/>
  </w:num>
  <w:num w:numId="2">
    <w:abstractNumId w:val="20"/>
  </w:num>
  <w:num w:numId="3">
    <w:abstractNumId w:val="15"/>
  </w:num>
  <w:num w:numId="4">
    <w:abstractNumId w:val="42"/>
  </w:num>
  <w:num w:numId="5">
    <w:abstractNumId w:val="14"/>
  </w:num>
  <w:num w:numId="6">
    <w:abstractNumId w:val="29"/>
  </w:num>
  <w:num w:numId="7">
    <w:abstractNumId w:val="46"/>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41"/>
  </w:num>
  <w:num w:numId="18">
    <w:abstractNumId w:val="30"/>
  </w:num>
  <w:num w:numId="19">
    <w:abstractNumId w:val="20"/>
    <w:lvlOverride w:ilvl="0">
      <w:startOverride w:val="1"/>
    </w:lvlOverride>
  </w:num>
  <w:num w:numId="20">
    <w:abstractNumId w:val="26"/>
  </w:num>
  <w:num w:numId="21">
    <w:abstractNumId w:val="28"/>
  </w:num>
  <w:num w:numId="22">
    <w:abstractNumId w:val="22"/>
  </w:num>
  <w:num w:numId="23">
    <w:abstractNumId w:val="40"/>
  </w:num>
  <w:num w:numId="24">
    <w:abstractNumId w:val="45"/>
  </w:num>
  <w:num w:numId="25">
    <w:abstractNumId w:val="37"/>
  </w:num>
  <w:num w:numId="26">
    <w:abstractNumId w:val="17"/>
  </w:num>
  <w:num w:numId="27">
    <w:abstractNumId w:val="11"/>
  </w:num>
  <w:num w:numId="28">
    <w:abstractNumId w:val="27"/>
  </w:num>
  <w:num w:numId="29">
    <w:abstractNumId w:val="13"/>
  </w:num>
  <w:num w:numId="30">
    <w:abstractNumId w:val="31"/>
  </w:num>
  <w:num w:numId="31">
    <w:abstractNumId w:val="10"/>
  </w:num>
  <w:num w:numId="32">
    <w:abstractNumId w:val="21"/>
  </w:num>
  <w:num w:numId="33">
    <w:abstractNumId w:val="35"/>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3"/>
  </w:num>
  <w:num w:numId="37">
    <w:abstractNumId w:val="32"/>
  </w:num>
  <w:num w:numId="38">
    <w:abstractNumId w:val="12"/>
  </w:num>
  <w:num w:numId="39">
    <w:abstractNumId w:val="25"/>
  </w:num>
  <w:num w:numId="40">
    <w:abstractNumId w:val="33"/>
  </w:num>
  <w:num w:numId="41">
    <w:abstractNumId w:val="44"/>
  </w:num>
  <w:num w:numId="42">
    <w:abstractNumId w:val="38"/>
  </w:num>
  <w:num w:numId="43">
    <w:abstractNumId w:val="19"/>
  </w:num>
  <w:num w:numId="44">
    <w:abstractNumId w:val="9"/>
  </w:num>
  <w:num w:numId="45">
    <w:abstractNumId w:val="24"/>
  </w:num>
  <w:num w:numId="46">
    <w:abstractNumId w:val="16"/>
  </w:num>
  <w:num w:numId="47">
    <w:abstractNumId w:val="18"/>
  </w:num>
  <w:num w:numId="48">
    <w:abstractNumId w:val="39"/>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222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sjohn\Electricity report 1 - 7 November.docx"/>
  </w:docVars>
  <w:rsids>
    <w:rsidRoot w:val="00275002"/>
    <w:rsid w:val="00000BFE"/>
    <w:rsid w:val="00003169"/>
    <w:rsid w:val="00007624"/>
    <w:rsid w:val="00012A8B"/>
    <w:rsid w:val="0001415C"/>
    <w:rsid w:val="000147C1"/>
    <w:rsid w:val="00017DD0"/>
    <w:rsid w:val="00021202"/>
    <w:rsid w:val="00022F09"/>
    <w:rsid w:val="000242E7"/>
    <w:rsid w:val="00024369"/>
    <w:rsid w:val="00024C84"/>
    <w:rsid w:val="00030794"/>
    <w:rsid w:val="000316E7"/>
    <w:rsid w:val="00033902"/>
    <w:rsid w:val="0003564D"/>
    <w:rsid w:val="0003578C"/>
    <w:rsid w:val="00040E4C"/>
    <w:rsid w:val="000422AB"/>
    <w:rsid w:val="00043FA7"/>
    <w:rsid w:val="000442BA"/>
    <w:rsid w:val="000452BA"/>
    <w:rsid w:val="0005123C"/>
    <w:rsid w:val="00051880"/>
    <w:rsid w:val="000528FD"/>
    <w:rsid w:val="00056949"/>
    <w:rsid w:val="00057973"/>
    <w:rsid w:val="00061CE2"/>
    <w:rsid w:val="00063247"/>
    <w:rsid w:val="00066157"/>
    <w:rsid w:val="00070F9F"/>
    <w:rsid w:val="0007137B"/>
    <w:rsid w:val="000738F4"/>
    <w:rsid w:val="00074A4E"/>
    <w:rsid w:val="000766E2"/>
    <w:rsid w:val="00077616"/>
    <w:rsid w:val="00085663"/>
    <w:rsid w:val="00085EBF"/>
    <w:rsid w:val="00086CF3"/>
    <w:rsid w:val="00087C4A"/>
    <w:rsid w:val="00087CDC"/>
    <w:rsid w:val="00091FB4"/>
    <w:rsid w:val="0009584C"/>
    <w:rsid w:val="0009653D"/>
    <w:rsid w:val="000A29ED"/>
    <w:rsid w:val="000A62D6"/>
    <w:rsid w:val="000A6F14"/>
    <w:rsid w:val="000B0311"/>
    <w:rsid w:val="000B3C8A"/>
    <w:rsid w:val="000D122C"/>
    <w:rsid w:val="000D3C77"/>
    <w:rsid w:val="000D68C5"/>
    <w:rsid w:val="000E1819"/>
    <w:rsid w:val="000E1A1B"/>
    <w:rsid w:val="000E2946"/>
    <w:rsid w:val="000E4F81"/>
    <w:rsid w:val="000E54D6"/>
    <w:rsid w:val="000E55C7"/>
    <w:rsid w:val="000E5B55"/>
    <w:rsid w:val="000E6C72"/>
    <w:rsid w:val="000E77BB"/>
    <w:rsid w:val="000E7E24"/>
    <w:rsid w:val="000F1D61"/>
    <w:rsid w:val="000F56F6"/>
    <w:rsid w:val="000F5855"/>
    <w:rsid w:val="000F6FA7"/>
    <w:rsid w:val="00100142"/>
    <w:rsid w:val="00100CA5"/>
    <w:rsid w:val="00113AE0"/>
    <w:rsid w:val="001158FE"/>
    <w:rsid w:val="00115CCB"/>
    <w:rsid w:val="00116EB2"/>
    <w:rsid w:val="00117195"/>
    <w:rsid w:val="0012092C"/>
    <w:rsid w:val="00122831"/>
    <w:rsid w:val="00124609"/>
    <w:rsid w:val="00125F4F"/>
    <w:rsid w:val="00127CAB"/>
    <w:rsid w:val="001337EF"/>
    <w:rsid w:val="00133FC8"/>
    <w:rsid w:val="00136716"/>
    <w:rsid w:val="00136A08"/>
    <w:rsid w:val="001373F1"/>
    <w:rsid w:val="0014511E"/>
    <w:rsid w:val="00145982"/>
    <w:rsid w:val="00151F61"/>
    <w:rsid w:val="0015451B"/>
    <w:rsid w:val="00155113"/>
    <w:rsid w:val="001566F6"/>
    <w:rsid w:val="001573E4"/>
    <w:rsid w:val="00160756"/>
    <w:rsid w:val="00164FB1"/>
    <w:rsid w:val="00165C87"/>
    <w:rsid w:val="001711CC"/>
    <w:rsid w:val="0017232E"/>
    <w:rsid w:val="00173DC1"/>
    <w:rsid w:val="00174102"/>
    <w:rsid w:val="00180157"/>
    <w:rsid w:val="00181C46"/>
    <w:rsid w:val="001832C7"/>
    <w:rsid w:val="00186831"/>
    <w:rsid w:val="00186F77"/>
    <w:rsid w:val="001901A4"/>
    <w:rsid w:val="00191C6F"/>
    <w:rsid w:val="00192441"/>
    <w:rsid w:val="001926A4"/>
    <w:rsid w:val="00193ED7"/>
    <w:rsid w:val="001B0C3B"/>
    <w:rsid w:val="001B45A0"/>
    <w:rsid w:val="001B6C15"/>
    <w:rsid w:val="001C027D"/>
    <w:rsid w:val="001C17B3"/>
    <w:rsid w:val="001C1BC0"/>
    <w:rsid w:val="001C2EE8"/>
    <w:rsid w:val="001C6748"/>
    <w:rsid w:val="001D055E"/>
    <w:rsid w:val="001D0CE3"/>
    <w:rsid w:val="001D7698"/>
    <w:rsid w:val="001E01B4"/>
    <w:rsid w:val="001E14C2"/>
    <w:rsid w:val="001E4665"/>
    <w:rsid w:val="001E48B3"/>
    <w:rsid w:val="001E5AEE"/>
    <w:rsid w:val="001F03EF"/>
    <w:rsid w:val="001F0EC9"/>
    <w:rsid w:val="001F1B78"/>
    <w:rsid w:val="001F22EE"/>
    <w:rsid w:val="001F2577"/>
    <w:rsid w:val="001F492E"/>
    <w:rsid w:val="001F6DA3"/>
    <w:rsid w:val="001F7575"/>
    <w:rsid w:val="00201136"/>
    <w:rsid w:val="00203300"/>
    <w:rsid w:val="0020376D"/>
    <w:rsid w:val="0020489F"/>
    <w:rsid w:val="002050F5"/>
    <w:rsid w:val="002072A2"/>
    <w:rsid w:val="0021147E"/>
    <w:rsid w:val="00212D2F"/>
    <w:rsid w:val="00213CF6"/>
    <w:rsid w:val="00214FBA"/>
    <w:rsid w:val="00215E19"/>
    <w:rsid w:val="00216865"/>
    <w:rsid w:val="00224DB9"/>
    <w:rsid w:val="002276F0"/>
    <w:rsid w:val="00227C97"/>
    <w:rsid w:val="00230D26"/>
    <w:rsid w:val="00232A71"/>
    <w:rsid w:val="00242C25"/>
    <w:rsid w:val="002438D9"/>
    <w:rsid w:val="002515C3"/>
    <w:rsid w:val="00251745"/>
    <w:rsid w:val="00251C37"/>
    <w:rsid w:val="00251D74"/>
    <w:rsid w:val="00253FC6"/>
    <w:rsid w:val="00262F65"/>
    <w:rsid w:val="00263AC0"/>
    <w:rsid w:val="002649D2"/>
    <w:rsid w:val="002649D8"/>
    <w:rsid w:val="00265486"/>
    <w:rsid w:val="0026772D"/>
    <w:rsid w:val="00270A51"/>
    <w:rsid w:val="00275002"/>
    <w:rsid w:val="00275927"/>
    <w:rsid w:val="002828A0"/>
    <w:rsid w:val="00284038"/>
    <w:rsid w:val="0028440E"/>
    <w:rsid w:val="00286874"/>
    <w:rsid w:val="0029246F"/>
    <w:rsid w:val="00294653"/>
    <w:rsid w:val="00296B65"/>
    <w:rsid w:val="002A1B5C"/>
    <w:rsid w:val="002A3CF2"/>
    <w:rsid w:val="002A4EF8"/>
    <w:rsid w:val="002A7439"/>
    <w:rsid w:val="002A7DEF"/>
    <w:rsid w:val="002B0DAE"/>
    <w:rsid w:val="002C2278"/>
    <w:rsid w:val="002C581B"/>
    <w:rsid w:val="002C6DD3"/>
    <w:rsid w:val="002D1734"/>
    <w:rsid w:val="002D37FB"/>
    <w:rsid w:val="002D484E"/>
    <w:rsid w:val="002D4A1F"/>
    <w:rsid w:val="002E6254"/>
    <w:rsid w:val="002F02A4"/>
    <w:rsid w:val="002F0605"/>
    <w:rsid w:val="002F3D02"/>
    <w:rsid w:val="002F7986"/>
    <w:rsid w:val="003061FA"/>
    <w:rsid w:val="00307F6D"/>
    <w:rsid w:val="003121CA"/>
    <w:rsid w:val="003153EB"/>
    <w:rsid w:val="003177A2"/>
    <w:rsid w:val="00317A81"/>
    <w:rsid w:val="00321853"/>
    <w:rsid w:val="00322300"/>
    <w:rsid w:val="003243B4"/>
    <w:rsid w:val="003271B5"/>
    <w:rsid w:val="00331264"/>
    <w:rsid w:val="00332F5D"/>
    <w:rsid w:val="00334C8D"/>
    <w:rsid w:val="00336D50"/>
    <w:rsid w:val="003401B9"/>
    <w:rsid w:val="00341169"/>
    <w:rsid w:val="00342870"/>
    <w:rsid w:val="003518B3"/>
    <w:rsid w:val="00352DA8"/>
    <w:rsid w:val="00354887"/>
    <w:rsid w:val="00356E72"/>
    <w:rsid w:val="00366515"/>
    <w:rsid w:val="00371F3A"/>
    <w:rsid w:val="00383C6B"/>
    <w:rsid w:val="003846F1"/>
    <w:rsid w:val="00384A55"/>
    <w:rsid w:val="00384B54"/>
    <w:rsid w:val="00386C86"/>
    <w:rsid w:val="00395B4C"/>
    <w:rsid w:val="003A0810"/>
    <w:rsid w:val="003A3E2D"/>
    <w:rsid w:val="003A41E0"/>
    <w:rsid w:val="003A7DC0"/>
    <w:rsid w:val="003B40ED"/>
    <w:rsid w:val="003B6F90"/>
    <w:rsid w:val="003C0710"/>
    <w:rsid w:val="003C24A9"/>
    <w:rsid w:val="003C2B22"/>
    <w:rsid w:val="003C3C98"/>
    <w:rsid w:val="003C62E9"/>
    <w:rsid w:val="003C7EFA"/>
    <w:rsid w:val="003E1341"/>
    <w:rsid w:val="003E47DC"/>
    <w:rsid w:val="003E78A9"/>
    <w:rsid w:val="003F0289"/>
    <w:rsid w:val="003F54CB"/>
    <w:rsid w:val="003F57F1"/>
    <w:rsid w:val="003F5F74"/>
    <w:rsid w:val="003F75C8"/>
    <w:rsid w:val="00402142"/>
    <w:rsid w:val="00403473"/>
    <w:rsid w:val="00405B42"/>
    <w:rsid w:val="00411897"/>
    <w:rsid w:val="00412176"/>
    <w:rsid w:val="00414488"/>
    <w:rsid w:val="00415788"/>
    <w:rsid w:val="004157C0"/>
    <w:rsid w:val="00416641"/>
    <w:rsid w:val="00424809"/>
    <w:rsid w:val="00440D85"/>
    <w:rsid w:val="00444A48"/>
    <w:rsid w:val="00456C20"/>
    <w:rsid w:val="00462CFF"/>
    <w:rsid w:val="00471992"/>
    <w:rsid w:val="00471E68"/>
    <w:rsid w:val="00472881"/>
    <w:rsid w:val="00480B4B"/>
    <w:rsid w:val="004831F8"/>
    <w:rsid w:val="00485752"/>
    <w:rsid w:val="00485DC4"/>
    <w:rsid w:val="00487C10"/>
    <w:rsid w:val="00492A06"/>
    <w:rsid w:val="00493B02"/>
    <w:rsid w:val="004A1184"/>
    <w:rsid w:val="004B104F"/>
    <w:rsid w:val="004B1708"/>
    <w:rsid w:val="004B231C"/>
    <w:rsid w:val="004B4412"/>
    <w:rsid w:val="004C348C"/>
    <w:rsid w:val="004C63B9"/>
    <w:rsid w:val="004C6C5B"/>
    <w:rsid w:val="004D4A76"/>
    <w:rsid w:val="004D5447"/>
    <w:rsid w:val="004D55BA"/>
    <w:rsid w:val="004E1B1C"/>
    <w:rsid w:val="004E1E95"/>
    <w:rsid w:val="004E34E7"/>
    <w:rsid w:val="004E7D10"/>
    <w:rsid w:val="004F18F3"/>
    <w:rsid w:val="004F6ED0"/>
    <w:rsid w:val="00502843"/>
    <w:rsid w:val="00505B5E"/>
    <w:rsid w:val="005177C0"/>
    <w:rsid w:val="00522486"/>
    <w:rsid w:val="00522668"/>
    <w:rsid w:val="005279B6"/>
    <w:rsid w:val="00530128"/>
    <w:rsid w:val="00532467"/>
    <w:rsid w:val="0053491C"/>
    <w:rsid w:val="0054145F"/>
    <w:rsid w:val="0054173F"/>
    <w:rsid w:val="00543945"/>
    <w:rsid w:val="00543BEC"/>
    <w:rsid w:val="00544C6F"/>
    <w:rsid w:val="00547DC4"/>
    <w:rsid w:val="005502E7"/>
    <w:rsid w:val="00555667"/>
    <w:rsid w:val="00556B64"/>
    <w:rsid w:val="005575B9"/>
    <w:rsid w:val="00562CEE"/>
    <w:rsid w:val="00564A4D"/>
    <w:rsid w:val="00565239"/>
    <w:rsid w:val="005656E2"/>
    <w:rsid w:val="0056783F"/>
    <w:rsid w:val="005703C9"/>
    <w:rsid w:val="005707D4"/>
    <w:rsid w:val="00571680"/>
    <w:rsid w:val="00571B35"/>
    <w:rsid w:val="00572D20"/>
    <w:rsid w:val="00574241"/>
    <w:rsid w:val="00575C43"/>
    <w:rsid w:val="00577A09"/>
    <w:rsid w:val="00577F68"/>
    <w:rsid w:val="005819F3"/>
    <w:rsid w:val="00582446"/>
    <w:rsid w:val="00584D8F"/>
    <w:rsid w:val="00595ED0"/>
    <w:rsid w:val="005A1339"/>
    <w:rsid w:val="005A3B2C"/>
    <w:rsid w:val="005A404D"/>
    <w:rsid w:val="005A6F22"/>
    <w:rsid w:val="005B0461"/>
    <w:rsid w:val="005B0EF5"/>
    <w:rsid w:val="005B1E3C"/>
    <w:rsid w:val="005B7F8F"/>
    <w:rsid w:val="005C0722"/>
    <w:rsid w:val="005C26CC"/>
    <w:rsid w:val="005C3411"/>
    <w:rsid w:val="005C3D54"/>
    <w:rsid w:val="005C3DEC"/>
    <w:rsid w:val="005C53C0"/>
    <w:rsid w:val="005C546A"/>
    <w:rsid w:val="005C592F"/>
    <w:rsid w:val="005C5D2E"/>
    <w:rsid w:val="005C5E72"/>
    <w:rsid w:val="005D2FBD"/>
    <w:rsid w:val="005D69AF"/>
    <w:rsid w:val="005E0B7E"/>
    <w:rsid w:val="005E6FFA"/>
    <w:rsid w:val="005F69C4"/>
    <w:rsid w:val="005F6ADE"/>
    <w:rsid w:val="005F7247"/>
    <w:rsid w:val="00600B2D"/>
    <w:rsid w:val="00603914"/>
    <w:rsid w:val="00604DB6"/>
    <w:rsid w:val="00607BA0"/>
    <w:rsid w:val="00612006"/>
    <w:rsid w:val="00613324"/>
    <w:rsid w:val="00613DEC"/>
    <w:rsid w:val="00615619"/>
    <w:rsid w:val="00615C6B"/>
    <w:rsid w:val="00616CEC"/>
    <w:rsid w:val="00620B1B"/>
    <w:rsid w:val="00621545"/>
    <w:rsid w:val="0062525D"/>
    <w:rsid w:val="00626E1A"/>
    <w:rsid w:val="00627B2D"/>
    <w:rsid w:val="0063066D"/>
    <w:rsid w:val="00630A15"/>
    <w:rsid w:val="00631560"/>
    <w:rsid w:val="006319C1"/>
    <w:rsid w:val="00632D6D"/>
    <w:rsid w:val="00634D01"/>
    <w:rsid w:val="0063567F"/>
    <w:rsid w:val="00636936"/>
    <w:rsid w:val="006411E6"/>
    <w:rsid w:val="00642C3E"/>
    <w:rsid w:val="006471D4"/>
    <w:rsid w:val="00647804"/>
    <w:rsid w:val="0065049E"/>
    <w:rsid w:val="00651005"/>
    <w:rsid w:val="0065226B"/>
    <w:rsid w:val="0065567D"/>
    <w:rsid w:val="006569A5"/>
    <w:rsid w:val="00661F88"/>
    <w:rsid w:val="00663DAD"/>
    <w:rsid w:val="00665ACC"/>
    <w:rsid w:val="00673D15"/>
    <w:rsid w:val="00676679"/>
    <w:rsid w:val="006777D7"/>
    <w:rsid w:val="00686411"/>
    <w:rsid w:val="00687AA8"/>
    <w:rsid w:val="00694FD6"/>
    <w:rsid w:val="006A427B"/>
    <w:rsid w:val="006A6EDD"/>
    <w:rsid w:val="006B0C7B"/>
    <w:rsid w:val="006B4CF9"/>
    <w:rsid w:val="006B7AC8"/>
    <w:rsid w:val="006C196C"/>
    <w:rsid w:val="006C1E8B"/>
    <w:rsid w:val="006C447D"/>
    <w:rsid w:val="006D3561"/>
    <w:rsid w:val="006D550F"/>
    <w:rsid w:val="006D5B9F"/>
    <w:rsid w:val="006D7923"/>
    <w:rsid w:val="006E1E7D"/>
    <w:rsid w:val="006E5F3E"/>
    <w:rsid w:val="006F3750"/>
    <w:rsid w:val="006F393C"/>
    <w:rsid w:val="006F3FCB"/>
    <w:rsid w:val="006F4C38"/>
    <w:rsid w:val="00700DAB"/>
    <w:rsid w:val="00701CAB"/>
    <w:rsid w:val="00707011"/>
    <w:rsid w:val="00707563"/>
    <w:rsid w:val="00711BF6"/>
    <w:rsid w:val="00712D03"/>
    <w:rsid w:val="0071735A"/>
    <w:rsid w:val="00720AB2"/>
    <w:rsid w:val="007212FE"/>
    <w:rsid w:val="0072348C"/>
    <w:rsid w:val="007247EC"/>
    <w:rsid w:val="00724827"/>
    <w:rsid w:val="00724A37"/>
    <w:rsid w:val="00724BF3"/>
    <w:rsid w:val="007303C3"/>
    <w:rsid w:val="00731F13"/>
    <w:rsid w:val="00741D03"/>
    <w:rsid w:val="00743223"/>
    <w:rsid w:val="00746063"/>
    <w:rsid w:val="00746E01"/>
    <w:rsid w:val="00747D2F"/>
    <w:rsid w:val="00751821"/>
    <w:rsid w:val="007532DD"/>
    <w:rsid w:val="00753ADA"/>
    <w:rsid w:val="00760FD8"/>
    <w:rsid w:val="00762D41"/>
    <w:rsid w:val="00763E5D"/>
    <w:rsid w:val="00764C7F"/>
    <w:rsid w:val="00767740"/>
    <w:rsid w:val="00772A95"/>
    <w:rsid w:val="00777EE6"/>
    <w:rsid w:val="00780452"/>
    <w:rsid w:val="00781A01"/>
    <w:rsid w:val="00782EEA"/>
    <w:rsid w:val="00784059"/>
    <w:rsid w:val="0078423F"/>
    <w:rsid w:val="00784A7E"/>
    <w:rsid w:val="0079277A"/>
    <w:rsid w:val="007A1428"/>
    <w:rsid w:val="007A1AB0"/>
    <w:rsid w:val="007A33E8"/>
    <w:rsid w:val="007B1732"/>
    <w:rsid w:val="007B2C72"/>
    <w:rsid w:val="007B3F68"/>
    <w:rsid w:val="007C1C53"/>
    <w:rsid w:val="007C2EE8"/>
    <w:rsid w:val="007C62FE"/>
    <w:rsid w:val="007D2028"/>
    <w:rsid w:val="007D53A8"/>
    <w:rsid w:val="007D6FC9"/>
    <w:rsid w:val="007E1516"/>
    <w:rsid w:val="007E4904"/>
    <w:rsid w:val="007E4CB5"/>
    <w:rsid w:val="007E5597"/>
    <w:rsid w:val="007F066B"/>
    <w:rsid w:val="007F0F77"/>
    <w:rsid w:val="007F2BBD"/>
    <w:rsid w:val="007F475F"/>
    <w:rsid w:val="007F5457"/>
    <w:rsid w:val="008033C4"/>
    <w:rsid w:val="008056FB"/>
    <w:rsid w:val="00806C88"/>
    <w:rsid w:val="00807A5C"/>
    <w:rsid w:val="0081034E"/>
    <w:rsid w:val="0081253D"/>
    <w:rsid w:val="00812E7B"/>
    <w:rsid w:val="00813CE4"/>
    <w:rsid w:val="008238B2"/>
    <w:rsid w:val="00831483"/>
    <w:rsid w:val="008344B4"/>
    <w:rsid w:val="008344F6"/>
    <w:rsid w:val="0083510F"/>
    <w:rsid w:val="008366CD"/>
    <w:rsid w:val="00840C6C"/>
    <w:rsid w:val="00847ED9"/>
    <w:rsid w:val="00851209"/>
    <w:rsid w:val="0085188E"/>
    <w:rsid w:val="00852B3D"/>
    <w:rsid w:val="00857917"/>
    <w:rsid w:val="008618EF"/>
    <w:rsid w:val="00861AED"/>
    <w:rsid w:val="00867506"/>
    <w:rsid w:val="00870903"/>
    <w:rsid w:val="0087280A"/>
    <w:rsid w:val="00873B1F"/>
    <w:rsid w:val="0087479D"/>
    <w:rsid w:val="008837AC"/>
    <w:rsid w:val="00884D30"/>
    <w:rsid w:val="00886BAB"/>
    <w:rsid w:val="00886CEC"/>
    <w:rsid w:val="00887EBF"/>
    <w:rsid w:val="008A4DB6"/>
    <w:rsid w:val="008A587D"/>
    <w:rsid w:val="008A6198"/>
    <w:rsid w:val="008A7580"/>
    <w:rsid w:val="008A7E37"/>
    <w:rsid w:val="008B0D4C"/>
    <w:rsid w:val="008B416B"/>
    <w:rsid w:val="008B6DA5"/>
    <w:rsid w:val="008C094A"/>
    <w:rsid w:val="008C1D7C"/>
    <w:rsid w:val="008C1FE0"/>
    <w:rsid w:val="008C5486"/>
    <w:rsid w:val="008C6B16"/>
    <w:rsid w:val="008E1E8E"/>
    <w:rsid w:val="008E535A"/>
    <w:rsid w:val="008E6CAE"/>
    <w:rsid w:val="008E7031"/>
    <w:rsid w:val="008F14C9"/>
    <w:rsid w:val="008F2DE1"/>
    <w:rsid w:val="008F6FC7"/>
    <w:rsid w:val="0090239D"/>
    <w:rsid w:val="009057E0"/>
    <w:rsid w:val="00914975"/>
    <w:rsid w:val="00914A87"/>
    <w:rsid w:val="00915BFF"/>
    <w:rsid w:val="00922ACF"/>
    <w:rsid w:val="009233EE"/>
    <w:rsid w:val="0092422F"/>
    <w:rsid w:val="009335AE"/>
    <w:rsid w:val="00933B55"/>
    <w:rsid w:val="009377D8"/>
    <w:rsid w:val="00940393"/>
    <w:rsid w:val="00944863"/>
    <w:rsid w:val="009505AF"/>
    <w:rsid w:val="00950B15"/>
    <w:rsid w:val="00952CF7"/>
    <w:rsid w:val="009540FA"/>
    <w:rsid w:val="00956C19"/>
    <w:rsid w:val="00957591"/>
    <w:rsid w:val="0095772E"/>
    <w:rsid w:val="00960AC5"/>
    <w:rsid w:val="00960C83"/>
    <w:rsid w:val="009661DE"/>
    <w:rsid w:val="00972A40"/>
    <w:rsid w:val="00981578"/>
    <w:rsid w:val="009829BD"/>
    <w:rsid w:val="00982FEB"/>
    <w:rsid w:val="009837D1"/>
    <w:rsid w:val="00983EEC"/>
    <w:rsid w:val="009856B7"/>
    <w:rsid w:val="00985A66"/>
    <w:rsid w:val="009920D2"/>
    <w:rsid w:val="009928BC"/>
    <w:rsid w:val="0099572C"/>
    <w:rsid w:val="009A3D22"/>
    <w:rsid w:val="009A6D69"/>
    <w:rsid w:val="009B0884"/>
    <w:rsid w:val="009B21F2"/>
    <w:rsid w:val="009B4E65"/>
    <w:rsid w:val="009B533B"/>
    <w:rsid w:val="009B5478"/>
    <w:rsid w:val="009B5D28"/>
    <w:rsid w:val="009B69AA"/>
    <w:rsid w:val="009B74B0"/>
    <w:rsid w:val="009C4FB9"/>
    <w:rsid w:val="009C55F3"/>
    <w:rsid w:val="009C6A83"/>
    <w:rsid w:val="009D3016"/>
    <w:rsid w:val="009D6B46"/>
    <w:rsid w:val="009E6668"/>
    <w:rsid w:val="009E7749"/>
    <w:rsid w:val="009E7AC6"/>
    <w:rsid w:val="009E7D2D"/>
    <w:rsid w:val="009F0A79"/>
    <w:rsid w:val="009F1D03"/>
    <w:rsid w:val="009F1E42"/>
    <w:rsid w:val="009F4806"/>
    <w:rsid w:val="009F4940"/>
    <w:rsid w:val="00A041F4"/>
    <w:rsid w:val="00A04F9F"/>
    <w:rsid w:val="00A057D1"/>
    <w:rsid w:val="00A159BF"/>
    <w:rsid w:val="00A2302C"/>
    <w:rsid w:val="00A26C2F"/>
    <w:rsid w:val="00A3632A"/>
    <w:rsid w:val="00A4478A"/>
    <w:rsid w:val="00A44852"/>
    <w:rsid w:val="00A52A18"/>
    <w:rsid w:val="00A57D04"/>
    <w:rsid w:val="00A57D69"/>
    <w:rsid w:val="00A60A26"/>
    <w:rsid w:val="00A61598"/>
    <w:rsid w:val="00A64EBB"/>
    <w:rsid w:val="00A6730F"/>
    <w:rsid w:val="00A71AA6"/>
    <w:rsid w:val="00A75AAA"/>
    <w:rsid w:val="00A81EF8"/>
    <w:rsid w:val="00A84E2D"/>
    <w:rsid w:val="00A84F46"/>
    <w:rsid w:val="00A871F4"/>
    <w:rsid w:val="00A91A4B"/>
    <w:rsid w:val="00A923DD"/>
    <w:rsid w:val="00A94D89"/>
    <w:rsid w:val="00AA0CEB"/>
    <w:rsid w:val="00AA476F"/>
    <w:rsid w:val="00AA649A"/>
    <w:rsid w:val="00AB6478"/>
    <w:rsid w:val="00AC0FE9"/>
    <w:rsid w:val="00AC1B2C"/>
    <w:rsid w:val="00AC1CF3"/>
    <w:rsid w:val="00AC3264"/>
    <w:rsid w:val="00AD3D69"/>
    <w:rsid w:val="00AD592F"/>
    <w:rsid w:val="00AE0399"/>
    <w:rsid w:val="00AE1BF1"/>
    <w:rsid w:val="00AF0DD2"/>
    <w:rsid w:val="00AF3A41"/>
    <w:rsid w:val="00AF46F3"/>
    <w:rsid w:val="00AF66A7"/>
    <w:rsid w:val="00AF7058"/>
    <w:rsid w:val="00B03817"/>
    <w:rsid w:val="00B057C8"/>
    <w:rsid w:val="00B109DD"/>
    <w:rsid w:val="00B11C09"/>
    <w:rsid w:val="00B1285B"/>
    <w:rsid w:val="00B13048"/>
    <w:rsid w:val="00B14CE4"/>
    <w:rsid w:val="00B1716D"/>
    <w:rsid w:val="00B17A1D"/>
    <w:rsid w:val="00B207A0"/>
    <w:rsid w:val="00B26AAA"/>
    <w:rsid w:val="00B30D82"/>
    <w:rsid w:val="00B31071"/>
    <w:rsid w:val="00B35810"/>
    <w:rsid w:val="00B35937"/>
    <w:rsid w:val="00B4128D"/>
    <w:rsid w:val="00B41686"/>
    <w:rsid w:val="00B44E99"/>
    <w:rsid w:val="00B56E03"/>
    <w:rsid w:val="00B62BB5"/>
    <w:rsid w:val="00B63E2C"/>
    <w:rsid w:val="00B64DF7"/>
    <w:rsid w:val="00B65CAC"/>
    <w:rsid w:val="00B70A7F"/>
    <w:rsid w:val="00B70CA5"/>
    <w:rsid w:val="00B752C5"/>
    <w:rsid w:val="00B8080B"/>
    <w:rsid w:val="00B85D8A"/>
    <w:rsid w:val="00B87C39"/>
    <w:rsid w:val="00B87DD6"/>
    <w:rsid w:val="00B904FF"/>
    <w:rsid w:val="00B91BE8"/>
    <w:rsid w:val="00B92CD5"/>
    <w:rsid w:val="00B956D7"/>
    <w:rsid w:val="00BA1F27"/>
    <w:rsid w:val="00BA390A"/>
    <w:rsid w:val="00BA3992"/>
    <w:rsid w:val="00BA4665"/>
    <w:rsid w:val="00BB2FB2"/>
    <w:rsid w:val="00BB3304"/>
    <w:rsid w:val="00BB4732"/>
    <w:rsid w:val="00BB7780"/>
    <w:rsid w:val="00BC6398"/>
    <w:rsid w:val="00BC675F"/>
    <w:rsid w:val="00BD0BD0"/>
    <w:rsid w:val="00BD10B4"/>
    <w:rsid w:val="00BD3446"/>
    <w:rsid w:val="00BD5467"/>
    <w:rsid w:val="00BD7176"/>
    <w:rsid w:val="00BD71BD"/>
    <w:rsid w:val="00BE1F1B"/>
    <w:rsid w:val="00BE47B5"/>
    <w:rsid w:val="00BE7DBC"/>
    <w:rsid w:val="00BF4639"/>
    <w:rsid w:val="00BF65C1"/>
    <w:rsid w:val="00BF771C"/>
    <w:rsid w:val="00C008FE"/>
    <w:rsid w:val="00C01734"/>
    <w:rsid w:val="00C04914"/>
    <w:rsid w:val="00C05C48"/>
    <w:rsid w:val="00C064A7"/>
    <w:rsid w:val="00C07A89"/>
    <w:rsid w:val="00C154C0"/>
    <w:rsid w:val="00C16B2C"/>
    <w:rsid w:val="00C17CB8"/>
    <w:rsid w:val="00C30BBE"/>
    <w:rsid w:val="00C34065"/>
    <w:rsid w:val="00C4709E"/>
    <w:rsid w:val="00C50EC2"/>
    <w:rsid w:val="00C51484"/>
    <w:rsid w:val="00C538A9"/>
    <w:rsid w:val="00C53B5A"/>
    <w:rsid w:val="00C54F5A"/>
    <w:rsid w:val="00C56506"/>
    <w:rsid w:val="00C565C5"/>
    <w:rsid w:val="00C6191E"/>
    <w:rsid w:val="00C62797"/>
    <w:rsid w:val="00C6290C"/>
    <w:rsid w:val="00C672E0"/>
    <w:rsid w:val="00C729B4"/>
    <w:rsid w:val="00C73A47"/>
    <w:rsid w:val="00C73C83"/>
    <w:rsid w:val="00C74A11"/>
    <w:rsid w:val="00C8473D"/>
    <w:rsid w:val="00C86679"/>
    <w:rsid w:val="00C86919"/>
    <w:rsid w:val="00C872DB"/>
    <w:rsid w:val="00C87867"/>
    <w:rsid w:val="00C950AF"/>
    <w:rsid w:val="00C9660A"/>
    <w:rsid w:val="00C96A92"/>
    <w:rsid w:val="00CA04F2"/>
    <w:rsid w:val="00CA0ECB"/>
    <w:rsid w:val="00CA51FE"/>
    <w:rsid w:val="00CB0FA5"/>
    <w:rsid w:val="00CB666B"/>
    <w:rsid w:val="00CB695E"/>
    <w:rsid w:val="00CC1D64"/>
    <w:rsid w:val="00CC2C03"/>
    <w:rsid w:val="00CC2CA1"/>
    <w:rsid w:val="00CD40AD"/>
    <w:rsid w:val="00CD4E7F"/>
    <w:rsid w:val="00CE1831"/>
    <w:rsid w:val="00CF0E01"/>
    <w:rsid w:val="00CF455C"/>
    <w:rsid w:val="00CF5382"/>
    <w:rsid w:val="00D01726"/>
    <w:rsid w:val="00D01CF0"/>
    <w:rsid w:val="00D0442A"/>
    <w:rsid w:val="00D07128"/>
    <w:rsid w:val="00D11721"/>
    <w:rsid w:val="00D11CB3"/>
    <w:rsid w:val="00D1516F"/>
    <w:rsid w:val="00D22BD4"/>
    <w:rsid w:val="00D22E23"/>
    <w:rsid w:val="00D2306D"/>
    <w:rsid w:val="00D270E1"/>
    <w:rsid w:val="00D323D0"/>
    <w:rsid w:val="00D32767"/>
    <w:rsid w:val="00D44037"/>
    <w:rsid w:val="00D4681D"/>
    <w:rsid w:val="00D5111E"/>
    <w:rsid w:val="00D61388"/>
    <w:rsid w:val="00D615F9"/>
    <w:rsid w:val="00D61A54"/>
    <w:rsid w:val="00D64DEA"/>
    <w:rsid w:val="00D67D07"/>
    <w:rsid w:val="00D70F71"/>
    <w:rsid w:val="00D71771"/>
    <w:rsid w:val="00D73D17"/>
    <w:rsid w:val="00D74261"/>
    <w:rsid w:val="00D74971"/>
    <w:rsid w:val="00D80893"/>
    <w:rsid w:val="00D839A7"/>
    <w:rsid w:val="00D86899"/>
    <w:rsid w:val="00D87097"/>
    <w:rsid w:val="00D92A31"/>
    <w:rsid w:val="00D92CF1"/>
    <w:rsid w:val="00D92D38"/>
    <w:rsid w:val="00D936B6"/>
    <w:rsid w:val="00D950F5"/>
    <w:rsid w:val="00DB0F93"/>
    <w:rsid w:val="00DB16A7"/>
    <w:rsid w:val="00DB196A"/>
    <w:rsid w:val="00DB20BF"/>
    <w:rsid w:val="00DB4CC4"/>
    <w:rsid w:val="00DB7FD1"/>
    <w:rsid w:val="00DC153A"/>
    <w:rsid w:val="00DC24BF"/>
    <w:rsid w:val="00DC2907"/>
    <w:rsid w:val="00DC5E54"/>
    <w:rsid w:val="00DC7981"/>
    <w:rsid w:val="00DD15C2"/>
    <w:rsid w:val="00DD27EA"/>
    <w:rsid w:val="00DE4EFA"/>
    <w:rsid w:val="00DE5520"/>
    <w:rsid w:val="00DE7345"/>
    <w:rsid w:val="00DF7793"/>
    <w:rsid w:val="00E00EC9"/>
    <w:rsid w:val="00E03069"/>
    <w:rsid w:val="00E04818"/>
    <w:rsid w:val="00E06442"/>
    <w:rsid w:val="00E115DE"/>
    <w:rsid w:val="00E135DB"/>
    <w:rsid w:val="00E13C85"/>
    <w:rsid w:val="00E227A4"/>
    <w:rsid w:val="00E23993"/>
    <w:rsid w:val="00E25B8C"/>
    <w:rsid w:val="00E32A8C"/>
    <w:rsid w:val="00E35AE8"/>
    <w:rsid w:val="00E3678B"/>
    <w:rsid w:val="00E3724C"/>
    <w:rsid w:val="00E37F0B"/>
    <w:rsid w:val="00E40B9C"/>
    <w:rsid w:val="00E4482C"/>
    <w:rsid w:val="00E4680F"/>
    <w:rsid w:val="00E47EAD"/>
    <w:rsid w:val="00E52A27"/>
    <w:rsid w:val="00E55C3C"/>
    <w:rsid w:val="00E65C85"/>
    <w:rsid w:val="00E65CF4"/>
    <w:rsid w:val="00E66199"/>
    <w:rsid w:val="00E715D5"/>
    <w:rsid w:val="00E737E3"/>
    <w:rsid w:val="00E7472E"/>
    <w:rsid w:val="00E755EC"/>
    <w:rsid w:val="00E7624D"/>
    <w:rsid w:val="00E823D9"/>
    <w:rsid w:val="00E8569F"/>
    <w:rsid w:val="00E86851"/>
    <w:rsid w:val="00E91BED"/>
    <w:rsid w:val="00E96EFF"/>
    <w:rsid w:val="00EA1DEE"/>
    <w:rsid w:val="00EA3D42"/>
    <w:rsid w:val="00EA6B1B"/>
    <w:rsid w:val="00EB049F"/>
    <w:rsid w:val="00EB456D"/>
    <w:rsid w:val="00EB540F"/>
    <w:rsid w:val="00EB7D7F"/>
    <w:rsid w:val="00EC317E"/>
    <w:rsid w:val="00EC67D4"/>
    <w:rsid w:val="00EC7EB1"/>
    <w:rsid w:val="00ED3C5B"/>
    <w:rsid w:val="00ED4A25"/>
    <w:rsid w:val="00ED6E24"/>
    <w:rsid w:val="00EE164B"/>
    <w:rsid w:val="00EE28F3"/>
    <w:rsid w:val="00EE347F"/>
    <w:rsid w:val="00EE46CE"/>
    <w:rsid w:val="00EF013A"/>
    <w:rsid w:val="00EF1961"/>
    <w:rsid w:val="00EF3FB8"/>
    <w:rsid w:val="00EF5110"/>
    <w:rsid w:val="00EF7061"/>
    <w:rsid w:val="00F019C5"/>
    <w:rsid w:val="00F02D9B"/>
    <w:rsid w:val="00F031FE"/>
    <w:rsid w:val="00F06B5B"/>
    <w:rsid w:val="00F113FD"/>
    <w:rsid w:val="00F13EAA"/>
    <w:rsid w:val="00F15882"/>
    <w:rsid w:val="00F1785E"/>
    <w:rsid w:val="00F20BD3"/>
    <w:rsid w:val="00F32D35"/>
    <w:rsid w:val="00F3590E"/>
    <w:rsid w:val="00F373A5"/>
    <w:rsid w:val="00F45B2F"/>
    <w:rsid w:val="00F47559"/>
    <w:rsid w:val="00F55548"/>
    <w:rsid w:val="00F61AA8"/>
    <w:rsid w:val="00F64C7B"/>
    <w:rsid w:val="00F64F82"/>
    <w:rsid w:val="00F662F1"/>
    <w:rsid w:val="00F66967"/>
    <w:rsid w:val="00F676DD"/>
    <w:rsid w:val="00F70811"/>
    <w:rsid w:val="00F71486"/>
    <w:rsid w:val="00F72F41"/>
    <w:rsid w:val="00F75A26"/>
    <w:rsid w:val="00F77D49"/>
    <w:rsid w:val="00F83FAD"/>
    <w:rsid w:val="00F87EBA"/>
    <w:rsid w:val="00F952A0"/>
    <w:rsid w:val="00F965FC"/>
    <w:rsid w:val="00FA3830"/>
    <w:rsid w:val="00FA3C7F"/>
    <w:rsid w:val="00FB153F"/>
    <w:rsid w:val="00FB265D"/>
    <w:rsid w:val="00FB411D"/>
    <w:rsid w:val="00FB41E6"/>
    <w:rsid w:val="00FB6C59"/>
    <w:rsid w:val="00FB74E2"/>
    <w:rsid w:val="00FC447B"/>
    <w:rsid w:val="00FC52AC"/>
    <w:rsid w:val="00FD0763"/>
    <w:rsid w:val="00FD166D"/>
    <w:rsid w:val="00FD2F97"/>
    <w:rsid w:val="00FD5316"/>
    <w:rsid w:val="00FD5614"/>
    <w:rsid w:val="00FD72DC"/>
    <w:rsid w:val="00FE0BE1"/>
    <w:rsid w:val="00FE1DE9"/>
    <w:rsid w:val="00FE39C2"/>
    <w:rsid w:val="00FE3E67"/>
    <w:rsid w:val="00FE64AE"/>
    <w:rsid w:val="00FF2C56"/>
    <w:rsid w:val="00FF3373"/>
    <w:rsid w:val="00FF657C"/>
    <w:rsid w:val="00FF6E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2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851798394">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884219376">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222518291">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r.gov.au/industry-information/industry-statistics" TargetMode="External"/><Relationship Id="rId18" Type="http://schemas.openxmlformats.org/officeDocument/2006/relationships/image" Target="media/image8.emf"/><Relationship Id="rId26" Type="http://schemas.openxmlformats.org/officeDocument/2006/relationships/hyperlink" Target="https://asxenergy.com.au/" TargetMode="External"/><Relationship Id="rId3" Type="http://schemas.openxmlformats.org/officeDocument/2006/relationships/numbering" Target="numbering.xml"/><Relationship Id="rId21" Type="http://schemas.openxmlformats.org/officeDocument/2006/relationships/hyperlink" Target="https://asxenergy.com.au/"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www.aer.gov.au/industry-information/industry-statistics" TargetMode="External"/><Relationship Id="rId5" Type="http://schemas.microsoft.com/office/2007/relationships/stylesWithEffects" Target="stylesWithEffects.xml"/><Relationship Id="rId15" Type="http://schemas.openxmlformats.org/officeDocument/2006/relationships/image" Target="media/image5.emf"/><Relationship Id="rId23" Type="http://schemas.openxmlformats.org/officeDocument/2006/relationships/hyperlink" Target="https://asxenergy.com.au/" TargetMode="External"/><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9.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image" Target="media/image11.emf"/><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0EF38B-31C3-4C6F-98CA-5BD55A2CE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5846171C</Template>
  <TotalTime>0</TotalTime>
  <Pages>10</Pages>
  <Words>1989</Words>
  <Characters>11341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2015-11-23T02:26:00Z</dcterms:created>
  <dcterms:modified xsi:type="dcterms:W3CDTF">2015-11-23T02:27:00Z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\\cdchnas-evs02\home$\sjohn\20151101 - 20151107 electricity weekly report (D2015-00171134).docx</vt:lpwstr>
  </property>
</Properties>
</file>