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7D48F9B5" wp14:editId="73A08691">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7E7C67" w:rsidP="002A4EF8">
      <w:pPr>
        <w:rPr>
          <w:b/>
          <w:sz w:val="36"/>
          <w:szCs w:val="36"/>
        </w:rPr>
      </w:pPr>
      <w:r>
        <w:rPr>
          <w:b/>
          <w:sz w:val="36"/>
          <w:szCs w:val="36"/>
        </w:rPr>
        <w:t>4</w:t>
      </w:r>
      <w:r w:rsidR="0051195C">
        <w:rPr>
          <w:b/>
          <w:sz w:val="36"/>
          <w:szCs w:val="36"/>
        </w:rPr>
        <w:t xml:space="preserve"> </w:t>
      </w:r>
      <w:r w:rsidR="00F90A80">
        <w:rPr>
          <w:b/>
          <w:sz w:val="36"/>
          <w:szCs w:val="36"/>
        </w:rPr>
        <w:t xml:space="preserve">– </w:t>
      </w:r>
      <w:r>
        <w:rPr>
          <w:b/>
          <w:sz w:val="36"/>
          <w:szCs w:val="36"/>
        </w:rPr>
        <w:t>10</w:t>
      </w:r>
      <w:r w:rsidR="00FC0DB9">
        <w:rPr>
          <w:b/>
          <w:sz w:val="36"/>
          <w:szCs w:val="36"/>
        </w:rPr>
        <w:t> </w:t>
      </w:r>
      <w:r w:rsidR="0051195C">
        <w:rPr>
          <w:b/>
          <w:sz w:val="36"/>
          <w:szCs w:val="36"/>
        </w:rPr>
        <w:t>September</w:t>
      </w:r>
      <w:r w:rsidR="00FC0DB9">
        <w:rPr>
          <w:b/>
          <w:sz w:val="36"/>
          <w:szCs w:val="36"/>
        </w:rPr>
        <w:t xml:space="preserve">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354B6E" w:rsidRPr="00BE2075">
        <w:t xml:space="preserve">Figure </w:t>
      </w:r>
      <w:r w:rsidR="00354B6E">
        <w:t>1</w:t>
      </w:r>
      <w:r w:rsidRPr="00C4712A">
        <w:fldChar w:fldCharType="end"/>
      </w:r>
      <w:r w:rsidRPr="00C4712A">
        <w:t xml:space="preserve"> </w:t>
      </w:r>
      <w:r w:rsidR="00AF7058" w:rsidRPr="00C4712A">
        <w:t xml:space="preserve">shows the spot prices that occurred in each region during the week </w:t>
      </w:r>
      <w:r w:rsidR="004D2A5B">
        <w:t>4</w:t>
      </w:r>
      <w:r w:rsidR="009709BF">
        <w:t xml:space="preserve"> </w:t>
      </w:r>
      <w:r w:rsidR="0051195C">
        <w:t xml:space="preserve">to </w:t>
      </w:r>
      <w:r w:rsidR="004D2A5B">
        <w:t>10</w:t>
      </w:r>
      <w:r w:rsidR="00290C73">
        <w:t> </w:t>
      </w:r>
      <w:r w:rsidR="0051195C">
        <w:t>September</w:t>
      </w:r>
      <w:r w:rsidR="00290C73">
        <w:t> </w:t>
      </w:r>
      <w:r w:rsidR="00FA25D4" w:rsidRPr="00C4712A">
        <w:t>2016</w:t>
      </w:r>
      <w:r w:rsidR="00AF7058" w:rsidRPr="00C4712A">
        <w:t>.</w:t>
      </w:r>
      <w:r w:rsidR="00E03725">
        <w:t xml:space="preserve"> </w:t>
      </w:r>
    </w:p>
    <w:p w:rsidR="00BF4639" w:rsidRPr="00C4712A" w:rsidRDefault="00275002" w:rsidP="00405B42">
      <w:pPr>
        <w:pStyle w:val="Caption"/>
      </w:pPr>
      <w:bookmarkStart w:id="6" w:name="_Ref410382491"/>
      <w:bookmarkStart w:id="7" w:name="OLE_LINK28"/>
      <w:bookmarkStart w:id="8" w:name="OLE_LINK29"/>
      <w:r w:rsidRPr="00BE2075">
        <w:t xml:space="preserve">Figure </w:t>
      </w:r>
      <w:fldSimple w:instr=" SEQ Figure \* ARABIC ">
        <w:r w:rsidR="00354B6E">
          <w:rPr>
            <w:noProof/>
          </w:rPr>
          <w:t>1</w:t>
        </w:r>
      </w:fldSimple>
      <w:bookmarkEnd w:id="6"/>
      <w:r w:rsidRPr="00BE2075">
        <w:t>: Spot price by region ($/MWh)</w:t>
      </w:r>
    </w:p>
    <w:p w:rsidR="00EC05BF" w:rsidRDefault="0044110C" w:rsidP="00C4712A">
      <w:pPr>
        <w:pStyle w:val="Caption"/>
        <w:rPr>
          <w:bCs w:val="0"/>
          <w:lang w:eastAsia="en-AU"/>
        </w:rPr>
      </w:pPr>
      <w:r w:rsidRPr="0044110C">
        <w:rPr>
          <w:noProof/>
          <w:lang w:eastAsia="en-AU"/>
        </w:rPr>
        <w:drawing>
          <wp:inline distT="0" distB="0" distL="0" distR="0" wp14:anchorId="70576594" wp14:editId="63E0D72C">
            <wp:extent cx="5731510" cy="2862539"/>
            <wp:effectExtent l="0" t="0" r="2540" b="0"/>
            <wp:docPr id="5" name="Picture 5"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2539"/>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354B6E" w:rsidRPr="00C4712A">
        <w:t xml:space="preserve">Figure </w:t>
      </w:r>
      <w:r w:rsidR="00354B6E">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354B6E" w:rsidRPr="009A7F75">
        <w:t xml:space="preserve">Table </w:t>
      </w:r>
      <w:r w:rsidR="00354B6E">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9" w:name="_Ref410382517"/>
      <w:r w:rsidRPr="00C4712A">
        <w:lastRenderedPageBreak/>
        <w:t xml:space="preserve">Figure </w:t>
      </w:r>
      <w:fldSimple w:instr=" SEQ Figure \* ARABIC ">
        <w:r w:rsidR="00354B6E">
          <w:rPr>
            <w:noProof/>
          </w:rPr>
          <w:t>2</w:t>
        </w:r>
      </w:fldSimple>
      <w:bookmarkEnd w:id="9"/>
      <w:r w:rsidRPr="00C4712A">
        <w:t>: Volume weighted average spot price by region ($/MWh)</w:t>
      </w:r>
    </w:p>
    <w:p w:rsidR="001F22EE" w:rsidRDefault="0044110C" w:rsidP="00F167CF">
      <w:pPr>
        <w:spacing w:before="0" w:after="120" w:line="240" w:lineRule="auto"/>
      </w:pPr>
      <w:r w:rsidRPr="0044110C">
        <w:rPr>
          <w:noProof/>
          <w:lang w:eastAsia="en-AU"/>
        </w:rPr>
        <w:drawing>
          <wp:inline distT="0" distB="0" distL="0" distR="0" wp14:anchorId="43ABAF4A" wp14:editId="2C7090D6">
            <wp:extent cx="5731510" cy="2862539"/>
            <wp:effectExtent l="0" t="0" r="2540" b="0"/>
            <wp:docPr id="10" name="Picture 10"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2539"/>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0" w:name="_Ref410382587"/>
      <w:r w:rsidRPr="009A7F75">
        <w:t xml:space="preserve">Table </w:t>
      </w:r>
      <w:fldSimple w:instr=" SEQ Table \* ARABIC ">
        <w:r w:rsidR="00354B6E">
          <w:rPr>
            <w:noProof/>
          </w:rPr>
          <w:t>1</w:t>
        </w:r>
      </w:fldSimple>
      <w:bookmarkEnd w:id="10"/>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44110C" w:rsidRPr="00C4712A" w:rsidTr="00E334A4">
        <w:trPr>
          <w:trHeight w:hRule="exact" w:val="340"/>
        </w:trPr>
        <w:tc>
          <w:tcPr>
            <w:tcW w:w="1357" w:type="pct"/>
            <w:noWrap/>
            <w:vAlign w:val="center"/>
            <w:hideMark/>
          </w:tcPr>
          <w:p w:rsidR="0044110C" w:rsidRPr="00C4712A" w:rsidRDefault="0044110C"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44110C" w:rsidRDefault="0044110C" w:rsidP="000662F1">
            <w:pPr>
              <w:spacing w:before="60"/>
              <w:jc w:val="center"/>
              <w:rPr>
                <w:rFonts w:cs="Arial"/>
                <w:sz w:val="20"/>
                <w:szCs w:val="20"/>
              </w:rPr>
            </w:pPr>
            <w:r>
              <w:rPr>
                <w:rFonts w:cs="Arial"/>
                <w:sz w:val="20"/>
                <w:szCs w:val="20"/>
              </w:rPr>
              <w:t>48</w:t>
            </w:r>
          </w:p>
        </w:tc>
        <w:tc>
          <w:tcPr>
            <w:tcW w:w="729" w:type="pct"/>
            <w:noWrap/>
            <w:vAlign w:val="center"/>
          </w:tcPr>
          <w:p w:rsidR="0044110C" w:rsidRDefault="0044110C" w:rsidP="000662F1">
            <w:pPr>
              <w:spacing w:before="60"/>
              <w:jc w:val="center"/>
              <w:rPr>
                <w:rFonts w:cs="Arial"/>
                <w:sz w:val="20"/>
                <w:szCs w:val="20"/>
              </w:rPr>
            </w:pPr>
            <w:r>
              <w:rPr>
                <w:rFonts w:cs="Arial"/>
                <w:sz w:val="20"/>
                <w:szCs w:val="20"/>
              </w:rPr>
              <w:t>39</w:t>
            </w:r>
          </w:p>
        </w:tc>
        <w:tc>
          <w:tcPr>
            <w:tcW w:w="728" w:type="pct"/>
            <w:noWrap/>
            <w:vAlign w:val="center"/>
          </w:tcPr>
          <w:p w:rsidR="0044110C" w:rsidRDefault="0044110C" w:rsidP="000662F1">
            <w:pPr>
              <w:spacing w:before="60"/>
              <w:jc w:val="center"/>
              <w:rPr>
                <w:rFonts w:cs="Arial"/>
                <w:sz w:val="20"/>
                <w:szCs w:val="20"/>
              </w:rPr>
            </w:pPr>
            <w:r>
              <w:rPr>
                <w:rFonts w:cs="Arial"/>
                <w:sz w:val="20"/>
                <w:szCs w:val="20"/>
              </w:rPr>
              <w:t>27</w:t>
            </w:r>
          </w:p>
        </w:tc>
        <w:tc>
          <w:tcPr>
            <w:tcW w:w="729" w:type="pct"/>
            <w:noWrap/>
            <w:vAlign w:val="center"/>
          </w:tcPr>
          <w:p w:rsidR="0044110C" w:rsidRDefault="0044110C" w:rsidP="000662F1">
            <w:pPr>
              <w:spacing w:before="60"/>
              <w:jc w:val="center"/>
              <w:rPr>
                <w:rFonts w:cs="Arial"/>
                <w:sz w:val="20"/>
                <w:szCs w:val="20"/>
              </w:rPr>
            </w:pPr>
            <w:r>
              <w:rPr>
                <w:rFonts w:cs="Arial"/>
                <w:sz w:val="20"/>
                <w:szCs w:val="20"/>
              </w:rPr>
              <w:t>58</w:t>
            </w:r>
          </w:p>
        </w:tc>
        <w:tc>
          <w:tcPr>
            <w:tcW w:w="729" w:type="pct"/>
            <w:noWrap/>
            <w:vAlign w:val="center"/>
          </w:tcPr>
          <w:p w:rsidR="0044110C" w:rsidRDefault="0044110C" w:rsidP="000662F1">
            <w:pPr>
              <w:spacing w:before="60"/>
              <w:jc w:val="center"/>
              <w:rPr>
                <w:rFonts w:cs="Arial"/>
                <w:sz w:val="20"/>
                <w:szCs w:val="20"/>
              </w:rPr>
            </w:pPr>
            <w:r>
              <w:rPr>
                <w:rFonts w:cs="Arial"/>
                <w:sz w:val="20"/>
                <w:szCs w:val="20"/>
              </w:rPr>
              <w:t>42</w:t>
            </w:r>
          </w:p>
        </w:tc>
      </w:tr>
      <w:tr w:rsidR="0044110C"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44110C" w:rsidRPr="00C4712A" w:rsidRDefault="0044110C" w:rsidP="00B65CAC">
            <w:pPr>
              <w:spacing w:before="100" w:beforeAutospacing="1" w:after="100" w:afterAutospacing="1" w:line="240" w:lineRule="auto"/>
              <w:rPr>
                <w:rFonts w:cs="Arial"/>
                <w:bCs/>
                <w:szCs w:val="20"/>
              </w:rPr>
            </w:pPr>
            <w:r>
              <w:rPr>
                <w:rFonts w:cs="Arial"/>
                <w:bCs/>
                <w:szCs w:val="20"/>
              </w:rPr>
              <w:t>15-16 financial YTD</w:t>
            </w:r>
          </w:p>
        </w:tc>
        <w:tc>
          <w:tcPr>
            <w:tcW w:w="728" w:type="pct"/>
            <w:noWrap/>
            <w:vAlign w:val="center"/>
          </w:tcPr>
          <w:p w:rsidR="0044110C" w:rsidRDefault="0044110C" w:rsidP="000662F1">
            <w:pPr>
              <w:spacing w:before="60"/>
              <w:jc w:val="center"/>
              <w:rPr>
                <w:rFonts w:cs="Arial"/>
                <w:szCs w:val="20"/>
              </w:rPr>
            </w:pPr>
            <w:r>
              <w:rPr>
                <w:rFonts w:cs="Arial"/>
                <w:szCs w:val="20"/>
              </w:rPr>
              <w:t>45</w:t>
            </w:r>
          </w:p>
        </w:tc>
        <w:tc>
          <w:tcPr>
            <w:tcW w:w="729" w:type="pct"/>
            <w:noWrap/>
            <w:vAlign w:val="center"/>
          </w:tcPr>
          <w:p w:rsidR="0044110C" w:rsidRDefault="0044110C" w:rsidP="000662F1">
            <w:pPr>
              <w:spacing w:before="60"/>
              <w:jc w:val="center"/>
              <w:rPr>
                <w:rFonts w:cs="Arial"/>
                <w:szCs w:val="20"/>
              </w:rPr>
            </w:pPr>
            <w:r>
              <w:rPr>
                <w:rFonts w:cs="Arial"/>
                <w:szCs w:val="20"/>
              </w:rPr>
              <w:t>40</w:t>
            </w:r>
          </w:p>
        </w:tc>
        <w:tc>
          <w:tcPr>
            <w:tcW w:w="728" w:type="pct"/>
            <w:noWrap/>
            <w:vAlign w:val="center"/>
          </w:tcPr>
          <w:p w:rsidR="0044110C" w:rsidRDefault="0044110C" w:rsidP="000662F1">
            <w:pPr>
              <w:spacing w:before="60"/>
              <w:jc w:val="center"/>
              <w:rPr>
                <w:rFonts w:cs="Arial"/>
                <w:szCs w:val="20"/>
              </w:rPr>
            </w:pPr>
            <w:r>
              <w:rPr>
                <w:rFonts w:cs="Arial"/>
                <w:szCs w:val="20"/>
              </w:rPr>
              <w:t>38</w:t>
            </w:r>
          </w:p>
        </w:tc>
        <w:tc>
          <w:tcPr>
            <w:tcW w:w="729" w:type="pct"/>
            <w:noWrap/>
            <w:vAlign w:val="center"/>
          </w:tcPr>
          <w:p w:rsidR="0044110C" w:rsidRDefault="0044110C" w:rsidP="000662F1">
            <w:pPr>
              <w:spacing w:before="60"/>
              <w:jc w:val="center"/>
              <w:rPr>
                <w:rFonts w:cs="Arial"/>
                <w:szCs w:val="20"/>
              </w:rPr>
            </w:pPr>
            <w:r>
              <w:rPr>
                <w:rFonts w:cs="Arial"/>
                <w:szCs w:val="20"/>
              </w:rPr>
              <w:t>72</w:t>
            </w:r>
          </w:p>
        </w:tc>
        <w:tc>
          <w:tcPr>
            <w:tcW w:w="729" w:type="pct"/>
            <w:noWrap/>
            <w:vAlign w:val="center"/>
          </w:tcPr>
          <w:p w:rsidR="0044110C" w:rsidRDefault="0044110C" w:rsidP="000662F1">
            <w:pPr>
              <w:spacing w:before="60"/>
              <w:jc w:val="center"/>
              <w:rPr>
                <w:rFonts w:cs="Arial"/>
                <w:szCs w:val="20"/>
              </w:rPr>
            </w:pPr>
            <w:r>
              <w:rPr>
                <w:rFonts w:cs="Arial"/>
                <w:szCs w:val="20"/>
              </w:rPr>
              <w:t>35</w:t>
            </w:r>
          </w:p>
        </w:tc>
      </w:tr>
      <w:tr w:rsidR="0044110C" w:rsidRPr="00C4712A" w:rsidTr="00E334A4">
        <w:trPr>
          <w:trHeight w:hRule="exact" w:val="340"/>
        </w:trPr>
        <w:tc>
          <w:tcPr>
            <w:tcW w:w="1357" w:type="pct"/>
            <w:noWrap/>
            <w:vAlign w:val="center"/>
            <w:hideMark/>
          </w:tcPr>
          <w:p w:rsidR="0044110C" w:rsidRPr="00C4712A" w:rsidRDefault="0044110C" w:rsidP="009A7F75">
            <w:pPr>
              <w:spacing w:before="100" w:beforeAutospacing="1" w:after="100" w:afterAutospacing="1" w:line="240" w:lineRule="auto"/>
              <w:rPr>
                <w:rFonts w:cs="Arial"/>
                <w:bCs/>
                <w:sz w:val="20"/>
                <w:szCs w:val="20"/>
              </w:rPr>
            </w:pPr>
            <w:r>
              <w:rPr>
                <w:rFonts w:cs="Arial"/>
                <w:bCs/>
                <w:sz w:val="20"/>
                <w:szCs w:val="20"/>
              </w:rPr>
              <w:t>16-17</w:t>
            </w:r>
            <w:r w:rsidRPr="00C4712A">
              <w:rPr>
                <w:rFonts w:cs="Arial"/>
                <w:bCs/>
                <w:sz w:val="20"/>
                <w:szCs w:val="20"/>
              </w:rPr>
              <w:t xml:space="preserve"> </w:t>
            </w:r>
            <w:r>
              <w:rPr>
                <w:rFonts w:cs="Arial"/>
                <w:bCs/>
                <w:sz w:val="20"/>
                <w:szCs w:val="20"/>
              </w:rPr>
              <w:t>financial YTD</w:t>
            </w:r>
          </w:p>
        </w:tc>
        <w:tc>
          <w:tcPr>
            <w:tcW w:w="728" w:type="pct"/>
            <w:noWrap/>
            <w:vAlign w:val="center"/>
          </w:tcPr>
          <w:p w:rsidR="0044110C" w:rsidRDefault="0044110C" w:rsidP="000662F1">
            <w:pPr>
              <w:spacing w:before="60"/>
              <w:jc w:val="center"/>
              <w:rPr>
                <w:rFonts w:cs="Arial"/>
                <w:sz w:val="20"/>
                <w:szCs w:val="20"/>
              </w:rPr>
            </w:pPr>
            <w:r>
              <w:rPr>
                <w:rFonts w:cs="Arial"/>
                <w:sz w:val="20"/>
                <w:szCs w:val="20"/>
              </w:rPr>
              <w:t>56</w:t>
            </w:r>
          </w:p>
        </w:tc>
        <w:tc>
          <w:tcPr>
            <w:tcW w:w="729" w:type="pct"/>
            <w:noWrap/>
            <w:vAlign w:val="center"/>
          </w:tcPr>
          <w:p w:rsidR="0044110C" w:rsidRDefault="0044110C" w:rsidP="000662F1">
            <w:pPr>
              <w:spacing w:before="60"/>
              <w:jc w:val="center"/>
              <w:rPr>
                <w:rFonts w:cs="Arial"/>
                <w:sz w:val="20"/>
                <w:szCs w:val="20"/>
              </w:rPr>
            </w:pPr>
            <w:r>
              <w:rPr>
                <w:rFonts w:cs="Arial"/>
                <w:sz w:val="20"/>
                <w:szCs w:val="20"/>
              </w:rPr>
              <w:t>58</w:t>
            </w:r>
          </w:p>
        </w:tc>
        <w:tc>
          <w:tcPr>
            <w:tcW w:w="728" w:type="pct"/>
            <w:noWrap/>
            <w:vAlign w:val="center"/>
          </w:tcPr>
          <w:p w:rsidR="0044110C" w:rsidRDefault="0044110C" w:rsidP="000662F1">
            <w:pPr>
              <w:spacing w:before="60"/>
              <w:jc w:val="center"/>
              <w:rPr>
                <w:rFonts w:cs="Arial"/>
                <w:sz w:val="20"/>
                <w:szCs w:val="20"/>
              </w:rPr>
            </w:pPr>
            <w:r>
              <w:rPr>
                <w:rFonts w:cs="Arial"/>
                <w:sz w:val="20"/>
                <w:szCs w:val="20"/>
              </w:rPr>
              <w:t>54</w:t>
            </w:r>
          </w:p>
        </w:tc>
        <w:tc>
          <w:tcPr>
            <w:tcW w:w="729" w:type="pct"/>
            <w:noWrap/>
            <w:vAlign w:val="center"/>
          </w:tcPr>
          <w:p w:rsidR="0044110C" w:rsidRDefault="0044110C" w:rsidP="000662F1">
            <w:pPr>
              <w:spacing w:before="60"/>
              <w:jc w:val="center"/>
              <w:rPr>
                <w:rFonts w:cs="Arial"/>
                <w:sz w:val="20"/>
                <w:szCs w:val="20"/>
              </w:rPr>
            </w:pPr>
            <w:r>
              <w:rPr>
                <w:rFonts w:cs="Arial"/>
                <w:sz w:val="20"/>
                <w:szCs w:val="20"/>
              </w:rPr>
              <w:t>151</w:t>
            </w:r>
          </w:p>
        </w:tc>
        <w:tc>
          <w:tcPr>
            <w:tcW w:w="729" w:type="pct"/>
            <w:noWrap/>
            <w:vAlign w:val="center"/>
          </w:tcPr>
          <w:p w:rsidR="0044110C" w:rsidRDefault="0044110C" w:rsidP="000662F1">
            <w:pPr>
              <w:spacing w:before="60"/>
              <w:jc w:val="center"/>
              <w:rPr>
                <w:rFonts w:cs="Arial"/>
                <w:sz w:val="20"/>
                <w:szCs w:val="20"/>
              </w:rPr>
            </w:pPr>
            <w:r>
              <w:rPr>
                <w:rFonts w:cs="Arial"/>
                <w:sz w:val="20"/>
                <w:szCs w:val="20"/>
              </w:rPr>
              <w:t>57</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DC759C" w:rsidP="000F5487">
      <w:pPr>
        <w:pStyle w:val="AERbodytext"/>
      </w:pPr>
      <w:r>
        <w:t>There were 2</w:t>
      </w:r>
      <w:r w:rsidR="0044110C">
        <w:t>64</w:t>
      </w:r>
      <w:r w:rsidR="000F5487">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354B6E" w:rsidRPr="00C4712A">
        <w:t xml:space="preserve">Table </w:t>
      </w:r>
      <w:r w:rsidR="00354B6E">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C4712A">
        <w:lastRenderedPageBreak/>
        <w:t xml:space="preserve">Table </w:t>
      </w:r>
      <w:fldSimple w:instr=" SEQ Table \* ARABIC ">
        <w:r w:rsidR="00354B6E">
          <w:rPr>
            <w:noProof/>
          </w:rPr>
          <w:t>2</w:t>
        </w:r>
      </w:fldSimple>
      <w:bookmarkEnd w:id="11"/>
      <w:r w:rsidRPr="00C4712A">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44110C"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44110C" w:rsidRPr="00C4712A" w:rsidRDefault="0044110C" w:rsidP="006C62B7">
            <w:pPr>
              <w:spacing w:after="0" w:line="240" w:lineRule="auto"/>
              <w:rPr>
                <w:sz w:val="20"/>
                <w:szCs w:val="20"/>
              </w:rPr>
            </w:pPr>
            <w:r w:rsidRPr="00C4712A">
              <w:rPr>
                <w:sz w:val="20"/>
                <w:szCs w:val="20"/>
              </w:rPr>
              <w:t>% of total above forecast</w:t>
            </w:r>
          </w:p>
        </w:tc>
        <w:tc>
          <w:tcPr>
            <w:tcW w:w="1571" w:type="dxa"/>
            <w:noWrap/>
            <w:vAlign w:val="center"/>
          </w:tcPr>
          <w:p w:rsidR="0044110C" w:rsidRDefault="0044110C" w:rsidP="000662F1">
            <w:pPr>
              <w:spacing w:before="60"/>
              <w:jc w:val="center"/>
              <w:rPr>
                <w:rFonts w:cs="Arial"/>
                <w:sz w:val="20"/>
                <w:szCs w:val="20"/>
              </w:rPr>
            </w:pPr>
            <w:r>
              <w:rPr>
                <w:rFonts w:cs="Arial"/>
                <w:sz w:val="20"/>
                <w:szCs w:val="20"/>
              </w:rPr>
              <w:t>6</w:t>
            </w:r>
          </w:p>
        </w:tc>
        <w:tc>
          <w:tcPr>
            <w:tcW w:w="1572" w:type="dxa"/>
            <w:noWrap/>
            <w:vAlign w:val="center"/>
          </w:tcPr>
          <w:p w:rsidR="0044110C" w:rsidRDefault="0044110C" w:rsidP="000662F1">
            <w:pPr>
              <w:spacing w:before="60"/>
              <w:jc w:val="center"/>
              <w:rPr>
                <w:rFonts w:cs="Arial"/>
                <w:sz w:val="20"/>
                <w:szCs w:val="20"/>
              </w:rPr>
            </w:pPr>
            <w:r>
              <w:rPr>
                <w:rFonts w:cs="Arial"/>
                <w:sz w:val="20"/>
                <w:szCs w:val="20"/>
              </w:rPr>
              <w:t>43</w:t>
            </w:r>
          </w:p>
        </w:tc>
        <w:tc>
          <w:tcPr>
            <w:tcW w:w="1572" w:type="dxa"/>
            <w:noWrap/>
            <w:vAlign w:val="center"/>
          </w:tcPr>
          <w:p w:rsidR="0044110C" w:rsidRDefault="0044110C" w:rsidP="000662F1">
            <w:pPr>
              <w:spacing w:before="60"/>
              <w:jc w:val="center"/>
              <w:rPr>
                <w:rFonts w:cs="Arial"/>
                <w:sz w:val="20"/>
                <w:szCs w:val="20"/>
              </w:rPr>
            </w:pPr>
            <w:r>
              <w:rPr>
                <w:rFonts w:cs="Arial"/>
                <w:sz w:val="20"/>
                <w:szCs w:val="20"/>
              </w:rPr>
              <w:t>0</w:t>
            </w:r>
          </w:p>
        </w:tc>
        <w:tc>
          <w:tcPr>
            <w:tcW w:w="1572" w:type="dxa"/>
            <w:vAlign w:val="center"/>
          </w:tcPr>
          <w:p w:rsidR="0044110C" w:rsidRDefault="0044110C" w:rsidP="000662F1">
            <w:pPr>
              <w:spacing w:before="60"/>
              <w:jc w:val="center"/>
              <w:rPr>
                <w:rFonts w:cs="Arial"/>
                <w:sz w:val="20"/>
                <w:szCs w:val="20"/>
              </w:rPr>
            </w:pPr>
            <w:r>
              <w:rPr>
                <w:rFonts w:cs="Arial"/>
                <w:sz w:val="20"/>
                <w:szCs w:val="20"/>
              </w:rPr>
              <w:t>2</w:t>
            </w:r>
          </w:p>
        </w:tc>
      </w:tr>
      <w:tr w:rsidR="0044110C"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44110C" w:rsidRPr="00C4712A" w:rsidRDefault="0044110C" w:rsidP="006C62B7">
            <w:pPr>
              <w:spacing w:after="0" w:line="240" w:lineRule="auto"/>
              <w:rPr>
                <w:sz w:val="20"/>
                <w:szCs w:val="20"/>
              </w:rPr>
            </w:pPr>
            <w:r w:rsidRPr="00C4712A">
              <w:rPr>
                <w:sz w:val="20"/>
                <w:szCs w:val="20"/>
              </w:rPr>
              <w:t>% of total below forecast</w:t>
            </w:r>
          </w:p>
        </w:tc>
        <w:tc>
          <w:tcPr>
            <w:tcW w:w="1571" w:type="dxa"/>
            <w:noWrap/>
            <w:vAlign w:val="center"/>
          </w:tcPr>
          <w:p w:rsidR="0044110C" w:rsidRDefault="0044110C" w:rsidP="000662F1">
            <w:pPr>
              <w:spacing w:before="60"/>
              <w:jc w:val="center"/>
              <w:rPr>
                <w:rFonts w:cs="Arial"/>
                <w:sz w:val="20"/>
                <w:szCs w:val="20"/>
              </w:rPr>
            </w:pPr>
            <w:r>
              <w:rPr>
                <w:rFonts w:cs="Arial"/>
                <w:sz w:val="20"/>
                <w:szCs w:val="20"/>
              </w:rPr>
              <w:t>35</w:t>
            </w:r>
          </w:p>
        </w:tc>
        <w:tc>
          <w:tcPr>
            <w:tcW w:w="1572" w:type="dxa"/>
            <w:noWrap/>
            <w:vAlign w:val="center"/>
          </w:tcPr>
          <w:p w:rsidR="0044110C" w:rsidRDefault="0044110C" w:rsidP="000662F1">
            <w:pPr>
              <w:spacing w:before="60"/>
              <w:jc w:val="center"/>
              <w:rPr>
                <w:rFonts w:cs="Arial"/>
                <w:sz w:val="20"/>
                <w:szCs w:val="20"/>
              </w:rPr>
            </w:pPr>
            <w:r>
              <w:rPr>
                <w:rFonts w:cs="Arial"/>
                <w:sz w:val="20"/>
                <w:szCs w:val="20"/>
              </w:rPr>
              <w:t>12</w:t>
            </w:r>
          </w:p>
        </w:tc>
        <w:tc>
          <w:tcPr>
            <w:tcW w:w="1572" w:type="dxa"/>
            <w:noWrap/>
            <w:vAlign w:val="center"/>
          </w:tcPr>
          <w:p w:rsidR="0044110C" w:rsidRDefault="0044110C" w:rsidP="000662F1">
            <w:pPr>
              <w:spacing w:before="60"/>
              <w:jc w:val="center"/>
              <w:rPr>
                <w:rFonts w:cs="Arial"/>
                <w:sz w:val="20"/>
                <w:szCs w:val="20"/>
              </w:rPr>
            </w:pPr>
            <w:r>
              <w:rPr>
                <w:rFonts w:cs="Arial"/>
                <w:sz w:val="20"/>
                <w:szCs w:val="20"/>
              </w:rPr>
              <w:t>0</w:t>
            </w:r>
          </w:p>
        </w:tc>
        <w:tc>
          <w:tcPr>
            <w:tcW w:w="1572" w:type="dxa"/>
            <w:vAlign w:val="center"/>
          </w:tcPr>
          <w:p w:rsidR="0044110C" w:rsidRDefault="0044110C" w:rsidP="000662F1">
            <w:pPr>
              <w:spacing w:before="60"/>
              <w:jc w:val="center"/>
              <w:rPr>
                <w:rFonts w:cs="Arial"/>
                <w:sz w:val="20"/>
                <w:szCs w:val="20"/>
              </w:rPr>
            </w:pPr>
            <w:r>
              <w:rPr>
                <w:rFonts w:cs="Arial"/>
                <w:sz w:val="20"/>
                <w:szCs w:val="20"/>
              </w:rPr>
              <w:t>3</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354B6E" w:rsidRPr="00C4712A">
        <w:t xml:space="preserve">Figure </w:t>
      </w:r>
      <w:r w:rsidR="00354B6E">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354B6E" w:rsidRPr="002C6B96">
        <w:t xml:space="preserve">Figure </w:t>
      </w:r>
      <w:r w:rsidR="00354B6E" w:rsidRPr="00354B6E">
        <w:rPr>
          <w:bCs w:val="0"/>
          <w:noProof/>
        </w:rPr>
        <w:t>7</w:t>
      </w:r>
      <w:r w:rsidR="00C81324">
        <w:fldChar w:fldCharType="end"/>
      </w:r>
      <w:r w:rsidR="00C81324">
        <w:t xml:space="preserve"> </w:t>
      </w:r>
      <w:r w:rsidR="001121C2">
        <w:t>show</w:t>
      </w:r>
      <w:r w:rsidRPr="00C4712A">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C4712A">
        <w:t xml:space="preserve">Figure </w:t>
      </w:r>
      <w:fldSimple w:instr=" SEQ Figure \* ARABIC ">
        <w:r w:rsidR="00354B6E">
          <w:rPr>
            <w:noProof/>
          </w:rPr>
          <w:t>3</w:t>
        </w:r>
      </w:fldSimple>
      <w:bookmarkEnd w:id="13"/>
      <w:r w:rsidRPr="00C4712A">
        <w:t>: Queensland generation and bidding patterns</w:t>
      </w:r>
    </w:p>
    <w:p w:rsidR="007B78AB" w:rsidRPr="008707C1" w:rsidRDefault="003B1A79" w:rsidP="00886FA8">
      <w:pPr>
        <w:pStyle w:val="AERbodytext"/>
        <w:rPr>
          <w:bCs w:val="0"/>
        </w:rPr>
      </w:pPr>
      <w:r w:rsidRPr="003B1A79">
        <w:rPr>
          <w:noProof/>
        </w:rPr>
        <w:drawing>
          <wp:inline distT="0" distB="0" distL="0" distR="0" wp14:anchorId="75712B3E" wp14:editId="1194F0FF">
            <wp:extent cx="5731510" cy="4118068"/>
            <wp:effectExtent l="0" t="0" r="2540" b="0"/>
            <wp:docPr id="16" name="Picture 16"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C4712A">
        <w:lastRenderedPageBreak/>
        <w:t xml:space="preserve">Figure </w:t>
      </w:r>
      <w:fldSimple w:instr=" SEQ Figure \* ARABIC ">
        <w:r w:rsidR="00354B6E">
          <w:rPr>
            <w:noProof/>
          </w:rPr>
          <w:t>4</w:t>
        </w:r>
      </w:fldSimple>
      <w:bookmarkEnd w:id="14"/>
      <w:r w:rsidRPr="00C4712A">
        <w:t>: New South Wales generation and bidding patterns</w:t>
      </w:r>
    </w:p>
    <w:p w:rsidR="00181C46" w:rsidRPr="00C4712A" w:rsidRDefault="003B1A79" w:rsidP="00181C46">
      <w:r w:rsidRPr="003B1A79">
        <w:rPr>
          <w:noProof/>
          <w:lang w:eastAsia="en-AU"/>
        </w:rPr>
        <w:drawing>
          <wp:inline distT="0" distB="0" distL="0" distR="0" wp14:anchorId="19EE29B3" wp14:editId="60C2814E">
            <wp:extent cx="5731510" cy="4124003"/>
            <wp:effectExtent l="0" t="0" r="2540" b="0"/>
            <wp:docPr id="17" name="Picture 17"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4003"/>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fldSimple w:instr=" SEQ Figure \* ARABIC ">
        <w:r w:rsidR="00354B6E">
          <w:rPr>
            <w:noProof/>
          </w:rPr>
          <w:t>5</w:t>
        </w:r>
      </w:fldSimple>
      <w:r w:rsidRPr="00C4712A">
        <w:t>: Victoria generation and bidding patterns</w:t>
      </w:r>
    </w:p>
    <w:p w:rsidR="00FB265D" w:rsidRDefault="003B1A79" w:rsidP="00FB265D">
      <w:r w:rsidRPr="003B1A79">
        <w:rPr>
          <w:noProof/>
          <w:lang w:eastAsia="en-AU"/>
        </w:rPr>
        <w:drawing>
          <wp:inline distT="0" distB="0" distL="0" distR="0" wp14:anchorId="20E77FE7" wp14:editId="6C229057">
            <wp:extent cx="5731510" cy="4118068"/>
            <wp:effectExtent l="0" t="0" r="2540" b="0"/>
            <wp:docPr id="18" name="Picture 18" descr="Figure 4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275002" w:rsidRDefault="00275002" w:rsidP="000E2946">
      <w:pPr>
        <w:pStyle w:val="Caption"/>
      </w:pPr>
      <w:bookmarkStart w:id="15" w:name="_Ref423965683"/>
      <w:r w:rsidRPr="00610304">
        <w:lastRenderedPageBreak/>
        <w:t xml:space="preserve">Figure </w:t>
      </w:r>
      <w:fldSimple w:instr=" SEQ Figure \* ARABIC ">
        <w:r w:rsidR="00354B6E">
          <w:rPr>
            <w:noProof/>
          </w:rPr>
          <w:t>6</w:t>
        </w:r>
      </w:fldSimple>
      <w:bookmarkEnd w:id="15"/>
      <w:r w:rsidRPr="00610304">
        <w:t>: South Australia generation and bidding patterns</w:t>
      </w:r>
    </w:p>
    <w:p w:rsidR="002F2481" w:rsidRDefault="00F25CF1" w:rsidP="00A25353">
      <w:r w:rsidRPr="00F25CF1">
        <w:rPr>
          <w:noProof/>
          <w:lang w:eastAsia="en-AU"/>
        </w:rPr>
        <w:drawing>
          <wp:inline distT="0" distB="0" distL="0" distR="0" wp14:anchorId="05084821" wp14:editId="29C3CA78">
            <wp:extent cx="5731510" cy="4258373"/>
            <wp:effectExtent l="0" t="0" r="2540" b="8890"/>
            <wp:docPr id="20" name="Picture 20"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58373"/>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2C6B96">
        <w:t xml:space="preserve">Figure </w:t>
      </w:r>
      <w:fldSimple w:instr=" SEQ Figure \* ARABIC ">
        <w:r w:rsidR="00354B6E">
          <w:rPr>
            <w:noProof/>
          </w:rPr>
          <w:t>7</w:t>
        </w:r>
      </w:fldSimple>
      <w:bookmarkEnd w:id="16"/>
      <w:r w:rsidRPr="002C6B96">
        <w:t>: Tasmania generation and bidding patterns</w:t>
      </w:r>
    </w:p>
    <w:bookmarkEnd w:id="17"/>
    <w:p w:rsidR="00DB7B59" w:rsidRDefault="003B1A79" w:rsidP="00AF7C0E">
      <w:pPr>
        <w:pStyle w:val="AERbodytext"/>
      </w:pPr>
      <w:r w:rsidRPr="003B1A79">
        <w:rPr>
          <w:noProof/>
        </w:rPr>
        <w:drawing>
          <wp:inline distT="0" distB="0" distL="0" distR="0" wp14:anchorId="573B2513" wp14:editId="130A2EAF">
            <wp:extent cx="5731510" cy="4118068"/>
            <wp:effectExtent l="0" t="0" r="2540" b="0"/>
            <wp:docPr id="19" name="Picture 19"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063C42">
      <w:pPr>
        <w:pStyle w:val="Bulletpoint"/>
      </w:pPr>
      <w:r w:rsidRPr="00C4712A">
        <w:t>fast services, which arrest a frequency deviation within the first 6 seconds of a contingent event (raise and lower 6 second)</w:t>
      </w:r>
    </w:p>
    <w:p w:rsidR="00275002" w:rsidRPr="00C4712A" w:rsidRDefault="00275002" w:rsidP="00063C42">
      <w:pPr>
        <w:pStyle w:val="Bulletpoint"/>
      </w:pPr>
      <w:r w:rsidRPr="00C4712A">
        <w:t>slow services, which stabilise frequency deviations within 60 seconds of the event (raise and lower 60 second)</w:t>
      </w:r>
    </w:p>
    <w:p w:rsidR="00275002" w:rsidRPr="00C4712A" w:rsidRDefault="00275002" w:rsidP="00063C42">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6861F0" w:rsidRPr="006861F0" w:rsidRDefault="006861F0" w:rsidP="006861F0">
      <w:pPr>
        <w:spacing w:before="120" w:after="120" w:line="240" w:lineRule="auto"/>
        <w:jc w:val="both"/>
        <w:rPr>
          <w:rFonts w:eastAsia="Times New Roman" w:cs="Arial"/>
          <w:bCs/>
          <w:lang w:eastAsia="en-AU"/>
        </w:rPr>
      </w:pPr>
      <w:bookmarkStart w:id="18" w:name="_Ref410383413"/>
      <w:r w:rsidRPr="006861F0">
        <w:rPr>
          <w:rFonts w:eastAsia="Times New Roman" w:cs="Arial"/>
          <w:bCs/>
          <w:lang w:eastAsia="en-AU"/>
        </w:rPr>
        <w:t xml:space="preserve">The total cost of FCAS on </w:t>
      </w:r>
      <w:r w:rsidR="00F20C14">
        <w:rPr>
          <w:rFonts w:eastAsia="Times New Roman" w:cs="Arial"/>
          <w:bCs/>
          <w:lang w:eastAsia="en-AU"/>
        </w:rPr>
        <w:t>the mainland for the week was $</w:t>
      </w:r>
      <w:r w:rsidR="00F25CF1">
        <w:rPr>
          <w:rFonts w:eastAsia="Times New Roman" w:cs="Arial"/>
          <w:bCs/>
          <w:lang w:eastAsia="en-AU"/>
        </w:rPr>
        <w:t>2</w:t>
      </w:r>
      <w:r>
        <w:rPr>
          <w:rFonts w:eastAsia="Times New Roman" w:cs="Arial"/>
          <w:bCs/>
          <w:lang w:eastAsia="en-AU"/>
        </w:rPr>
        <w:t> </w:t>
      </w:r>
      <w:r w:rsidR="003A5E58">
        <w:rPr>
          <w:rFonts w:eastAsia="Times New Roman" w:cs="Arial"/>
          <w:bCs/>
          <w:lang w:eastAsia="en-AU"/>
        </w:rPr>
        <w:t>4</w:t>
      </w:r>
      <w:r w:rsidR="00F25CF1">
        <w:rPr>
          <w:rFonts w:eastAsia="Times New Roman" w:cs="Arial"/>
          <w:bCs/>
          <w:lang w:eastAsia="en-AU"/>
        </w:rPr>
        <w:t>20</w:t>
      </w:r>
      <w:r>
        <w:rPr>
          <w:rFonts w:eastAsia="Times New Roman" w:cs="Arial"/>
          <w:bCs/>
          <w:lang w:eastAsia="en-AU"/>
        </w:rPr>
        <w:t> </w:t>
      </w:r>
      <w:r w:rsidR="00F25CF1">
        <w:rPr>
          <w:rFonts w:eastAsia="Times New Roman" w:cs="Arial"/>
          <w:bCs/>
          <w:lang w:eastAsia="en-AU"/>
        </w:rPr>
        <w:t>00</w:t>
      </w:r>
      <w:r w:rsidRPr="006861F0">
        <w:rPr>
          <w:rFonts w:eastAsia="Times New Roman" w:cs="Arial"/>
          <w:bCs/>
          <w:lang w:eastAsia="en-AU"/>
        </w:rPr>
        <w:t xml:space="preserve">0 or </w:t>
      </w:r>
      <w:r w:rsidR="003A5E58">
        <w:rPr>
          <w:rFonts w:eastAsia="Times New Roman" w:cs="Arial"/>
          <w:bCs/>
          <w:lang w:eastAsia="en-AU"/>
        </w:rPr>
        <w:t>around</w:t>
      </w:r>
      <w:r w:rsidRPr="006861F0">
        <w:rPr>
          <w:rFonts w:eastAsia="Times New Roman" w:cs="Arial"/>
          <w:bCs/>
          <w:lang w:eastAsia="en-AU"/>
        </w:rPr>
        <w:t xml:space="preserve"> </w:t>
      </w:r>
      <w:r w:rsidR="00F25CF1">
        <w:rPr>
          <w:rFonts w:eastAsia="Times New Roman" w:cs="Arial"/>
          <w:bCs/>
          <w:lang w:eastAsia="en-AU"/>
        </w:rPr>
        <w:t>2</w:t>
      </w:r>
      <w:r w:rsidRPr="006861F0">
        <w:rPr>
          <w:rFonts w:eastAsia="Times New Roman" w:cs="Arial"/>
          <w:bCs/>
          <w:lang w:eastAsia="en-AU"/>
        </w:rPr>
        <w:t xml:space="preserve"> per cent of energy turnover on the mainland.</w:t>
      </w:r>
    </w:p>
    <w:p w:rsidR="00354B6E" w:rsidRPr="006861F0" w:rsidRDefault="006861F0" w:rsidP="006861F0">
      <w:pPr>
        <w:spacing w:before="120" w:after="120" w:line="240" w:lineRule="auto"/>
        <w:jc w:val="both"/>
        <w:rPr>
          <w:rFonts w:eastAsia="Times New Roman" w:cs="Arial"/>
          <w:bCs/>
          <w:lang w:eastAsia="en-AU"/>
        </w:rPr>
      </w:pPr>
      <w:r w:rsidRPr="006861F0">
        <w:rPr>
          <w:rFonts w:eastAsia="Times New Roman" w:cs="Arial"/>
          <w:bCs/>
          <w:lang w:eastAsia="en-AU"/>
        </w:rPr>
        <w:t>The total cost of FCAS i</w:t>
      </w:r>
      <w:r w:rsidR="000B589F">
        <w:rPr>
          <w:rFonts w:eastAsia="Times New Roman" w:cs="Arial"/>
          <w:bCs/>
          <w:lang w:eastAsia="en-AU"/>
        </w:rPr>
        <w:t>n Tasmania for the week was $</w:t>
      </w:r>
      <w:r w:rsidR="00F25CF1">
        <w:rPr>
          <w:rFonts w:eastAsia="Times New Roman" w:cs="Arial"/>
          <w:bCs/>
          <w:lang w:eastAsia="en-AU"/>
        </w:rPr>
        <w:t>40</w:t>
      </w:r>
      <w:r w:rsidR="003A5E58">
        <w:rPr>
          <w:rFonts w:eastAsia="Times New Roman" w:cs="Arial"/>
          <w:bCs/>
          <w:lang w:eastAsia="en-AU"/>
        </w:rPr>
        <w:t>2</w:t>
      </w:r>
      <w:r>
        <w:rPr>
          <w:rFonts w:eastAsia="Times New Roman" w:cs="Arial"/>
          <w:bCs/>
          <w:lang w:eastAsia="en-AU"/>
        </w:rPr>
        <w:t> </w:t>
      </w:r>
      <w:r w:rsidR="003A5E58">
        <w:rPr>
          <w:rFonts w:eastAsia="Times New Roman" w:cs="Arial"/>
          <w:bCs/>
          <w:lang w:eastAsia="en-AU"/>
        </w:rPr>
        <w:t>0</w:t>
      </w:r>
      <w:r w:rsidRPr="006861F0">
        <w:rPr>
          <w:rFonts w:eastAsia="Times New Roman" w:cs="Arial"/>
          <w:bCs/>
          <w:lang w:eastAsia="en-AU"/>
        </w:rPr>
        <w:t xml:space="preserve">00 or </w:t>
      </w:r>
      <w:r w:rsidR="00F25CF1">
        <w:rPr>
          <w:rFonts w:eastAsia="Times New Roman" w:cs="Arial"/>
          <w:bCs/>
          <w:lang w:eastAsia="en-AU"/>
        </w:rPr>
        <w:t>around 5</w:t>
      </w:r>
      <w:r w:rsidRPr="006861F0">
        <w:rPr>
          <w:rFonts w:eastAsia="Times New Roman" w:cs="Arial"/>
          <w:bCs/>
          <w:lang w:eastAsia="en-AU"/>
        </w:rPr>
        <w:t xml:space="preserve"> per cent of energy turnover in Tasmania.</w:t>
      </w:r>
      <w:r w:rsidR="00F3590E" w:rsidRPr="00C4712A">
        <w:rPr>
          <w:rFonts w:eastAsia="Times New Roman" w:cs="Arial"/>
          <w:bCs/>
          <w:lang w:eastAsia="en-AU"/>
        </w:rPr>
        <w:fldChar w:fldCharType="begin"/>
      </w:r>
      <w:r w:rsidR="00F3590E" w:rsidRPr="006861F0">
        <w:rPr>
          <w:rFonts w:eastAsia="Times New Roman" w:cs="Arial"/>
          <w:bCs/>
          <w:lang w:eastAsia="en-AU"/>
        </w:rPr>
        <w:instrText xml:space="preserve"> REF _Ref418082853 \h </w:instrText>
      </w:r>
      <w:r w:rsidR="00215E19" w:rsidRPr="006861F0">
        <w:rPr>
          <w:rFonts w:eastAsia="Times New Roman" w:cs="Arial"/>
          <w:bCs/>
          <w:lang w:eastAsia="en-AU"/>
        </w:rPr>
        <w:instrText xml:space="preserve"> \* MERGEFORMAT </w:instrText>
      </w:r>
      <w:r w:rsidR="00F3590E" w:rsidRPr="00C4712A">
        <w:rPr>
          <w:rFonts w:eastAsia="Times New Roman" w:cs="Arial"/>
          <w:bCs/>
          <w:lang w:eastAsia="en-AU"/>
        </w:rPr>
      </w:r>
      <w:r w:rsidR="00F3590E" w:rsidRPr="00C4712A">
        <w:rPr>
          <w:rFonts w:eastAsia="Times New Roman" w:cs="Arial"/>
          <w:bCs/>
          <w:lang w:eastAsia="en-AU"/>
        </w:rPr>
        <w:fldChar w:fldCharType="separate"/>
      </w:r>
    </w:p>
    <w:p w:rsidR="00B01BD3" w:rsidRDefault="00354B6E" w:rsidP="00551739">
      <w:pPr>
        <w:pStyle w:val="AERbodytext"/>
      </w:pPr>
      <w:r w:rsidRPr="00551739">
        <w:t xml:space="preserve">Figure </w:t>
      </w:r>
      <w: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19"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354B6E">
        <w:rPr>
          <w:noProof/>
        </w:rPr>
        <w:t>8</w:t>
      </w:r>
      <w:r w:rsidR="00DF6E09">
        <w:rPr>
          <w:noProof/>
        </w:rPr>
        <w:fldChar w:fldCharType="end"/>
      </w:r>
      <w:bookmarkEnd w:id="18"/>
      <w:bookmarkEnd w:id="19"/>
      <w:r w:rsidRPr="00551739">
        <w:rPr>
          <w:noProof/>
        </w:rPr>
        <w:t>: Daily frequency control ancillary service cost</w:t>
      </w:r>
    </w:p>
    <w:p w:rsidR="00562103" w:rsidRDefault="00F25CF1" w:rsidP="00562103">
      <w:r w:rsidRPr="00F25CF1">
        <w:rPr>
          <w:noProof/>
          <w:lang w:eastAsia="en-AU"/>
        </w:rPr>
        <w:drawing>
          <wp:inline distT="0" distB="0" distL="0" distR="0" wp14:anchorId="08ADAED1" wp14:editId="0A184718">
            <wp:extent cx="5731510" cy="2893149"/>
            <wp:effectExtent l="0" t="0" r="2540" b="2540"/>
            <wp:docPr id="21" name="Picture 21"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149"/>
                    </a:xfrm>
                    <a:prstGeom prst="rect">
                      <a:avLst/>
                    </a:prstGeom>
                    <a:noFill/>
                    <a:ln>
                      <a:noFill/>
                    </a:ln>
                  </pic:spPr>
                </pic:pic>
              </a:graphicData>
            </a:graphic>
          </wp:inline>
        </w:drawing>
      </w:r>
    </w:p>
    <w:p w:rsidR="001D1AE8" w:rsidRPr="007612E9" w:rsidRDefault="001D1AE8" w:rsidP="007612E9">
      <w:pPr>
        <w:pStyle w:val="AERbodytext"/>
      </w:pPr>
      <w:r w:rsidRPr="007612E9">
        <w:t>On 4 September</w:t>
      </w:r>
      <w:r w:rsidR="006F222A">
        <w:t>,</w:t>
      </w:r>
      <w:r w:rsidRPr="007612E9">
        <w:t xml:space="preserve"> in Tasmania</w:t>
      </w:r>
      <w:r w:rsidR="006F222A">
        <w:t>,</w:t>
      </w:r>
      <w:r w:rsidRPr="007612E9">
        <w:t xml:space="preserve"> the </w:t>
      </w:r>
      <w:r w:rsidR="006F222A" w:rsidRPr="007612E9">
        <w:t xml:space="preserve">Raise </w:t>
      </w:r>
      <w:r w:rsidRPr="007612E9">
        <w:t xml:space="preserve">6 second </w:t>
      </w:r>
      <w:r w:rsidR="006F222A">
        <w:t xml:space="preserve">service price was </w:t>
      </w:r>
      <w:r w:rsidR="006F222A" w:rsidRPr="007612E9">
        <w:t>above $7800/MW</w:t>
      </w:r>
      <w:r w:rsidR="006F222A">
        <w:t xml:space="preserve"> for </w:t>
      </w:r>
      <w:r w:rsidRPr="007612E9">
        <w:t>two dispatch intervals</w:t>
      </w:r>
      <w:r w:rsidR="007612E9" w:rsidRPr="007612E9">
        <w:t xml:space="preserve">. This was a result of the co-optimisation of the energy and FCAS markets. </w:t>
      </w:r>
    </w:p>
    <w:p w:rsidR="00F21BB0" w:rsidRPr="007612E9" w:rsidRDefault="002003AE" w:rsidP="007612E9">
      <w:pPr>
        <w:pStyle w:val="AERbodytext"/>
      </w:pPr>
      <w:r w:rsidRPr="007612E9">
        <w:t>On 6 September</w:t>
      </w:r>
      <w:r w:rsidR="006F222A">
        <w:t>,</w:t>
      </w:r>
      <w:r w:rsidRPr="007612E9">
        <w:t xml:space="preserve"> </w:t>
      </w:r>
      <w:r w:rsidR="0060272B" w:rsidRPr="007612E9">
        <w:t xml:space="preserve">in Tasmania, </w:t>
      </w:r>
      <w:r w:rsidRPr="007612E9">
        <w:t xml:space="preserve">the price of both Raise and Lower </w:t>
      </w:r>
      <w:r w:rsidR="006F222A" w:rsidRPr="007612E9">
        <w:t xml:space="preserve">Regulation </w:t>
      </w:r>
      <w:r w:rsidRPr="007612E9">
        <w:t xml:space="preserve">services exceeded $2500/MW </w:t>
      </w:r>
      <w:r w:rsidR="0060272B" w:rsidRPr="007612E9">
        <w:t>and the Raise 6 Second service exceeded $4500/MW</w:t>
      </w:r>
      <w:r w:rsidR="0060272B" w:rsidRPr="007612E9" w:rsidDel="00F21BB0">
        <w:t xml:space="preserve"> </w:t>
      </w:r>
      <w:r w:rsidR="00F21BB0" w:rsidRPr="007612E9">
        <w:t>for the 5.50</w:t>
      </w:r>
      <w:r w:rsidR="0060272B" w:rsidRPr="007612E9">
        <w:t> </w:t>
      </w:r>
      <w:r w:rsidR="00F21BB0" w:rsidRPr="007612E9">
        <w:t xml:space="preserve">pm </w:t>
      </w:r>
      <w:r w:rsidR="0060272B" w:rsidRPr="007612E9">
        <w:t>dispatch interval.</w:t>
      </w:r>
      <w:r w:rsidR="00C33EE6" w:rsidRPr="007612E9">
        <w:t xml:space="preserve"> </w:t>
      </w:r>
      <w:r w:rsidR="005D6509">
        <w:t xml:space="preserve">At this time </w:t>
      </w:r>
      <w:proofErr w:type="spellStart"/>
      <w:r w:rsidR="005D6509">
        <w:t>Basslink</w:t>
      </w:r>
      <w:proofErr w:type="spellEnd"/>
      <w:r w:rsidR="005D6509">
        <w:t xml:space="preserve"> was in the </w:t>
      </w:r>
      <w:r w:rsidR="006F222A">
        <w:t>“</w:t>
      </w:r>
      <w:r w:rsidR="005D6509">
        <w:t>no-go</w:t>
      </w:r>
      <w:r w:rsidR="006F222A">
        <w:t>”</w:t>
      </w:r>
      <w:r w:rsidR="005D6509">
        <w:t xml:space="preserve"> zone and FCAS had to be sourced </w:t>
      </w:r>
      <w:r w:rsidR="005D6509">
        <w:lastRenderedPageBreak/>
        <w:t>locally.</w:t>
      </w:r>
      <w:r w:rsidR="00EE5984" w:rsidRPr="00EE5984">
        <w:t xml:space="preserve"> </w:t>
      </w:r>
      <w:r w:rsidR="00EE5984">
        <w:t>The high prices</w:t>
      </w:r>
      <w:r w:rsidR="00EE5984" w:rsidRPr="007612E9">
        <w:t xml:space="preserve"> w</w:t>
      </w:r>
      <w:r w:rsidR="00EE5984">
        <w:t>ere</w:t>
      </w:r>
      <w:r w:rsidR="00EE5984" w:rsidRPr="007612E9">
        <w:t xml:space="preserve"> a result of the co-optimisation of the energy and FCAS markets. </w:t>
      </w:r>
    </w:p>
    <w:p w:rsidR="000C2A63" w:rsidRPr="007612E9" w:rsidRDefault="000E4537" w:rsidP="00063C42">
      <w:pPr>
        <w:pStyle w:val="AERbodytext"/>
        <w:rPr>
          <w:rFonts w:eastAsiaTheme="majorEastAsia"/>
        </w:rPr>
      </w:pPr>
      <w:r w:rsidRPr="007612E9">
        <w:t>A planned outage at Heywood in Victoria</w:t>
      </w:r>
      <w:r w:rsidR="006F222A">
        <w:t>,</w:t>
      </w:r>
      <w:r w:rsidRPr="007612E9">
        <w:t xml:space="preserve"> which </w:t>
      </w:r>
      <w:r w:rsidR="0060272B" w:rsidRPr="007612E9">
        <w:t>ran from</w:t>
      </w:r>
      <w:r w:rsidRPr="007612E9">
        <w:t xml:space="preserve"> </w:t>
      </w:r>
      <w:r w:rsidR="0060272B" w:rsidRPr="007612E9">
        <w:t>6 to 10</w:t>
      </w:r>
      <w:r w:rsidR="00EE5984">
        <w:t> </w:t>
      </w:r>
      <w:r w:rsidR="0060272B" w:rsidRPr="007612E9">
        <w:t>September</w:t>
      </w:r>
      <w:r w:rsidRPr="007612E9">
        <w:t>, created a single contingency which</w:t>
      </w:r>
      <w:r w:rsidR="006F222A">
        <w:t xml:space="preserve"> could,</w:t>
      </w:r>
      <w:r w:rsidRPr="007612E9">
        <w:t xml:space="preserve"> if </w:t>
      </w:r>
      <w:r w:rsidR="006F222A">
        <w:t xml:space="preserve">it </w:t>
      </w:r>
      <w:proofErr w:type="gramStart"/>
      <w:r w:rsidR="006F222A">
        <w:t>occurred,</w:t>
      </w:r>
      <w:proofErr w:type="gramEnd"/>
      <w:r w:rsidRPr="007612E9">
        <w:t xml:space="preserve"> </w:t>
      </w:r>
      <w:r w:rsidR="006F222A">
        <w:t>separate</w:t>
      </w:r>
      <w:r w:rsidRPr="007612E9">
        <w:t xml:space="preserve"> South Australia from the rest of the NEM. </w:t>
      </w:r>
      <w:r w:rsidR="009D7FD8" w:rsidRPr="007612E9">
        <w:t>AEMO invoked constraints that required 35</w:t>
      </w:r>
      <w:r w:rsidR="002F060B">
        <w:t> </w:t>
      </w:r>
      <w:r w:rsidR="009D7FD8" w:rsidRPr="007612E9">
        <w:t xml:space="preserve">MW of </w:t>
      </w:r>
      <w:r w:rsidR="006F222A" w:rsidRPr="007612E9">
        <w:t xml:space="preserve">regulation </w:t>
      </w:r>
      <w:r w:rsidR="009D7FD8" w:rsidRPr="007612E9">
        <w:t xml:space="preserve">services </w:t>
      </w:r>
      <w:r w:rsidR="006F222A">
        <w:t>from within</w:t>
      </w:r>
      <w:r w:rsidR="009D7FD8" w:rsidRPr="007612E9">
        <w:t xml:space="preserve"> South Australia</w:t>
      </w:r>
      <w:r w:rsidR="006F222A">
        <w:t xml:space="preserve">. These imposition of these constraints </w:t>
      </w:r>
      <w:r w:rsidR="009D7FD8" w:rsidRPr="007612E9">
        <w:t xml:space="preserve">cost </w:t>
      </w:r>
      <w:r w:rsidR="001D1AE8" w:rsidRPr="007612E9">
        <w:t xml:space="preserve">around </w:t>
      </w:r>
      <w:r w:rsidR="009D7FD8" w:rsidRPr="007612E9">
        <w:t>$</w:t>
      </w:r>
      <w:r w:rsidR="001D1AE8" w:rsidRPr="007612E9">
        <w:t>1.5m</w:t>
      </w:r>
      <w:bookmarkEnd w:id="0"/>
      <w:bookmarkEnd w:id="1"/>
      <w:bookmarkEnd w:id="2"/>
      <w:bookmarkEnd w:id="3"/>
      <w:bookmarkEnd w:id="4"/>
      <w:bookmarkEnd w:id="5"/>
      <w:r w:rsidR="002F060B">
        <w:t>.</w:t>
      </w:r>
    </w:p>
    <w:p w:rsidR="00925ADD" w:rsidRPr="00C4712A" w:rsidRDefault="00925ADD" w:rsidP="00925ADD">
      <w:pPr>
        <w:pStyle w:val="AERHeading1"/>
      </w:pPr>
      <w:r w:rsidRPr="00C4712A">
        <w:t>Detailed market analysis of significant price events</w:t>
      </w:r>
    </w:p>
    <w:p w:rsidR="00925ADD" w:rsidRDefault="001F2D73" w:rsidP="00925ADD">
      <w:pPr>
        <w:pStyle w:val="Heading2"/>
        <w:rPr>
          <w:rFonts w:eastAsia="Times New Roman"/>
          <w:b w:val="0"/>
          <w:bCs w:val="0"/>
          <w:lang w:eastAsia="en-AU"/>
        </w:rPr>
      </w:pPr>
      <w:r>
        <w:rPr>
          <w:rFonts w:eastAsia="Times New Roman"/>
          <w:b w:val="0"/>
          <w:bCs w:val="0"/>
          <w:lang w:eastAsia="en-AU"/>
        </w:rPr>
        <w:t>South Australia</w:t>
      </w:r>
    </w:p>
    <w:p w:rsidR="001F2D73" w:rsidRDefault="001F2D73" w:rsidP="00063C42">
      <w:pPr>
        <w:pStyle w:val="AERbodytext"/>
        <w:rPr>
          <w:b/>
        </w:rPr>
      </w:pPr>
      <w:r w:rsidRPr="001F2D73">
        <w:t>There were two occasions where the spot price in South Australia was greater than three times the South Australia weekly average price of $58/MWh and above $250/MWh and there was one occasion where the spot price was below -$100/MWh.</w:t>
      </w:r>
    </w:p>
    <w:p w:rsidR="00925ADD" w:rsidRPr="005F37A9" w:rsidRDefault="005E4EB1" w:rsidP="00925ADD">
      <w:pPr>
        <w:pStyle w:val="Heading3"/>
        <w:rPr>
          <w:rFonts w:eastAsia="Times New Roman"/>
        </w:rPr>
      </w:pPr>
      <w:r>
        <w:rPr>
          <w:rFonts w:eastAsia="Times New Roman"/>
        </w:rPr>
        <w:t>Monday</w:t>
      </w:r>
      <w:r w:rsidR="00925ADD">
        <w:rPr>
          <w:rFonts w:eastAsia="Times New Roman"/>
        </w:rPr>
        <w:t xml:space="preserve">, </w:t>
      </w:r>
      <w:r>
        <w:rPr>
          <w:rFonts w:eastAsia="Times New Roman"/>
        </w:rPr>
        <w:t>5</w:t>
      </w:r>
      <w:r w:rsidR="00925ADD">
        <w:rPr>
          <w:rFonts w:eastAsia="Times New Roman"/>
        </w:rPr>
        <w:t xml:space="preserve"> </w:t>
      </w:r>
      <w:r w:rsidR="00FC0910">
        <w:rPr>
          <w:rFonts w:eastAsia="Times New Roman"/>
        </w:rPr>
        <w:t>September</w:t>
      </w:r>
    </w:p>
    <w:p w:rsidR="00925ADD" w:rsidRPr="001C5A97" w:rsidRDefault="00925ADD" w:rsidP="00925ADD">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925ADD" w:rsidRPr="0073319F" w:rsidTr="00253004">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925ADD" w:rsidRPr="007D74C6" w:rsidRDefault="00925ADD" w:rsidP="00F5348C">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925ADD" w:rsidRPr="007D74C6" w:rsidRDefault="00925ADD" w:rsidP="00F5348C">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925ADD" w:rsidRPr="007D74C6" w:rsidRDefault="00925ADD" w:rsidP="00F5348C">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925ADD" w:rsidRPr="007D74C6" w:rsidRDefault="00925ADD" w:rsidP="00F5348C">
            <w:pPr>
              <w:pStyle w:val="TableHeading"/>
              <w:jc w:val="center"/>
              <w:rPr>
                <w:rFonts w:cs="Arial"/>
                <w:b w:val="0"/>
                <w:sz w:val="20"/>
                <w:szCs w:val="20"/>
              </w:rPr>
            </w:pPr>
            <w:r w:rsidRPr="007D74C6">
              <w:rPr>
                <w:rFonts w:cs="Arial"/>
                <w:b w:val="0"/>
                <w:sz w:val="20"/>
                <w:szCs w:val="20"/>
              </w:rPr>
              <w:t>Availability (MW)</w:t>
            </w:r>
          </w:p>
        </w:tc>
      </w:tr>
      <w:tr w:rsidR="00925ADD" w:rsidRPr="0073319F" w:rsidTr="00253004">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925ADD" w:rsidRPr="007D74C6" w:rsidRDefault="00925ADD" w:rsidP="00F5348C">
            <w:pPr>
              <w:pStyle w:val="tableheadingline2"/>
              <w:rPr>
                <w:rFonts w:cs="Arial"/>
                <w:sz w:val="20"/>
                <w:szCs w:val="20"/>
              </w:rPr>
            </w:pPr>
            <w:r w:rsidRPr="007D74C6">
              <w:rPr>
                <w:rFonts w:cs="Arial"/>
                <w:sz w:val="20"/>
                <w:szCs w:val="20"/>
              </w:rPr>
              <w:t>12 hr forecast</w:t>
            </w:r>
          </w:p>
        </w:tc>
      </w:tr>
      <w:tr w:rsidR="005E4EB1" w:rsidRPr="0073319F" w:rsidTr="00253004">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Midnight</w:t>
            </w:r>
          </w:p>
        </w:tc>
        <w:tc>
          <w:tcPr>
            <w:tcW w:w="51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2361.27</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50.96</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43.80</w:t>
            </w:r>
          </w:p>
        </w:tc>
        <w:tc>
          <w:tcPr>
            <w:tcW w:w="455"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1656</w:t>
            </w:r>
          </w:p>
        </w:tc>
        <w:tc>
          <w:tcPr>
            <w:tcW w:w="45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1609</w:t>
            </w:r>
          </w:p>
        </w:tc>
        <w:tc>
          <w:tcPr>
            <w:tcW w:w="534"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1562</w:t>
            </w:r>
          </w:p>
        </w:tc>
        <w:tc>
          <w:tcPr>
            <w:tcW w:w="532"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1875</w:t>
            </w:r>
          </w:p>
        </w:tc>
        <w:tc>
          <w:tcPr>
            <w:tcW w:w="457"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1863</w:t>
            </w:r>
          </w:p>
        </w:tc>
        <w:tc>
          <w:tcPr>
            <w:tcW w:w="45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1880</w:t>
            </w:r>
          </w:p>
        </w:tc>
      </w:tr>
    </w:tbl>
    <w:p w:rsidR="00253004" w:rsidRDefault="00253004" w:rsidP="00063C42">
      <w:pPr>
        <w:pStyle w:val="AERbodytext"/>
      </w:pPr>
      <w:r>
        <w:t xml:space="preserve">Conditions at the time saw demand </w:t>
      </w:r>
      <w:r w:rsidR="006D44B4">
        <w:t xml:space="preserve">and </w:t>
      </w:r>
      <w:r>
        <w:t xml:space="preserve">availability close to forecast </w:t>
      </w:r>
      <w:r w:rsidR="0059050D">
        <w:t>four</w:t>
      </w:r>
      <w:r>
        <w:t xml:space="preserve"> hours ahead.</w:t>
      </w:r>
    </w:p>
    <w:p w:rsidR="007B5B65" w:rsidRDefault="006D44B4" w:rsidP="00063C42">
      <w:pPr>
        <w:pStyle w:val="AERbodytext"/>
      </w:pPr>
      <w:r>
        <w:t>At 11:35 pm d</w:t>
      </w:r>
      <w:r w:rsidR="00253004">
        <w:t xml:space="preserve">emand increased by 212 MW due to hot water load, </w:t>
      </w:r>
      <w:r w:rsidR="00063C42">
        <w:t>and</w:t>
      </w:r>
      <w:r w:rsidR="00253004">
        <w:t xml:space="preserve"> wind generation </w:t>
      </w:r>
      <w:r>
        <w:t xml:space="preserve">decreased by </w:t>
      </w:r>
      <w:r w:rsidR="00253004">
        <w:t xml:space="preserve">38 MW. With lower priced generation being either fully dispatched or </w:t>
      </w:r>
      <w:r>
        <w:t>stranded</w:t>
      </w:r>
      <w:r w:rsidR="00253004">
        <w:t xml:space="preserve">, the </w:t>
      </w:r>
      <w:r w:rsidR="00253004" w:rsidRPr="00063C42">
        <w:t>dispatch</w:t>
      </w:r>
      <w:r w:rsidR="00253004">
        <w:t xml:space="preserve"> price increased from $33/MWh at 11.30 pm to $14 000/MWh at 11.35 pm. In response to the high price</w:t>
      </w:r>
      <w:r w:rsidR="00063C42">
        <w:t>,</w:t>
      </w:r>
      <w:r w:rsidR="00253004">
        <w:t xml:space="preserve"> participants rebid capacity from high to low prices</w:t>
      </w:r>
      <w:r w:rsidR="0059050D">
        <w:t>.</w:t>
      </w:r>
      <w:r w:rsidR="00253004">
        <w:t xml:space="preserve"> </w:t>
      </w:r>
      <w:r w:rsidR="0059050D">
        <w:t>T</w:t>
      </w:r>
      <w:r w:rsidR="00253004">
        <w:t>he price fell to $48/MWh at 11.40 pm</w:t>
      </w:r>
      <w:r>
        <w:t xml:space="preserve"> and stayed low for the remainder of the trading interval.</w:t>
      </w:r>
    </w:p>
    <w:p w:rsidR="005E4EB1" w:rsidRPr="005F37A9" w:rsidRDefault="005E4EB1" w:rsidP="005E4EB1">
      <w:pPr>
        <w:pStyle w:val="Heading3"/>
        <w:rPr>
          <w:rFonts w:eastAsia="Times New Roman"/>
        </w:rPr>
      </w:pPr>
      <w:r>
        <w:rPr>
          <w:rFonts w:eastAsia="Times New Roman"/>
        </w:rPr>
        <w:t>Thursday, 8 September</w:t>
      </w:r>
    </w:p>
    <w:p w:rsidR="005E4EB1" w:rsidRPr="001C5A97" w:rsidRDefault="005E4EB1" w:rsidP="005E4EB1">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Pr>
          <w:rFonts w:asciiTheme="minorHAnsi" w:hAnsiTheme="minorHAnsi" w:cstheme="minorHAnsi"/>
          <w:noProof/>
        </w:rPr>
        <w:t>4</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5E4EB1" w:rsidRPr="0073319F" w:rsidTr="005E4EB1">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Availability (MW)</w:t>
            </w:r>
          </w:p>
        </w:tc>
      </w:tr>
      <w:tr w:rsidR="005E4EB1" w:rsidRPr="0073319F" w:rsidTr="005E4EB1">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r>
      <w:tr w:rsidR="005E4EB1" w:rsidRPr="005E4EB1" w:rsidTr="005E4EB1">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E4EB1" w:rsidRPr="005E4EB1" w:rsidRDefault="005E4EB1" w:rsidP="0048690A">
            <w:pPr>
              <w:spacing w:line="240" w:lineRule="auto"/>
              <w:jc w:val="center"/>
              <w:rPr>
                <w:rFonts w:cs="Arial"/>
                <w:sz w:val="20"/>
                <w:szCs w:val="20"/>
              </w:rPr>
            </w:pPr>
            <w:r w:rsidRPr="005E4EB1">
              <w:rPr>
                <w:rFonts w:cs="Arial"/>
                <w:sz w:val="20"/>
                <w:szCs w:val="20"/>
              </w:rPr>
              <w:t>9</w:t>
            </w:r>
            <w:r w:rsidR="009E2637">
              <w:rPr>
                <w:rFonts w:cs="Arial"/>
                <w:sz w:val="20"/>
                <w:szCs w:val="20"/>
              </w:rPr>
              <w:t xml:space="preserve"> pm</w:t>
            </w:r>
          </w:p>
        </w:tc>
        <w:tc>
          <w:tcPr>
            <w:tcW w:w="51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1783.47</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49.99</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59.99</w:t>
            </w:r>
          </w:p>
        </w:tc>
        <w:tc>
          <w:tcPr>
            <w:tcW w:w="455"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1578</w:t>
            </w:r>
          </w:p>
        </w:tc>
        <w:tc>
          <w:tcPr>
            <w:tcW w:w="45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1524</w:t>
            </w:r>
          </w:p>
        </w:tc>
        <w:tc>
          <w:tcPr>
            <w:tcW w:w="534"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1449</w:t>
            </w:r>
          </w:p>
        </w:tc>
        <w:tc>
          <w:tcPr>
            <w:tcW w:w="532"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2369</w:t>
            </w:r>
          </w:p>
        </w:tc>
        <w:tc>
          <w:tcPr>
            <w:tcW w:w="457"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2522</w:t>
            </w:r>
          </w:p>
        </w:tc>
        <w:tc>
          <w:tcPr>
            <w:tcW w:w="45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2492</w:t>
            </w:r>
          </w:p>
        </w:tc>
      </w:tr>
    </w:tbl>
    <w:p w:rsidR="00865749" w:rsidRDefault="00865749" w:rsidP="00865749">
      <w:pPr>
        <w:pStyle w:val="AERbodytext"/>
      </w:pPr>
      <w:r w:rsidRPr="00865749">
        <w:t>Cond</w:t>
      </w:r>
      <w:r>
        <w:t>itions at the time saw demand 54</w:t>
      </w:r>
      <w:r w:rsidR="009E2637">
        <w:t> </w:t>
      </w:r>
      <w:r w:rsidRPr="00865749">
        <w:t>MW higher than forecast four hours ahead</w:t>
      </w:r>
      <w:r w:rsidR="0048690A">
        <w:t>.</w:t>
      </w:r>
      <w:r w:rsidRPr="00865749">
        <w:t xml:space="preserve"> </w:t>
      </w:r>
      <w:r w:rsidR="0048690A">
        <w:t>A</w:t>
      </w:r>
      <w:r w:rsidRPr="00865749">
        <w:t>vailability was</w:t>
      </w:r>
      <w:r>
        <w:t xml:space="preserve"> 153</w:t>
      </w:r>
      <w:r w:rsidR="00063C42">
        <w:t> </w:t>
      </w:r>
      <w:r>
        <w:t>MW</w:t>
      </w:r>
      <w:r w:rsidRPr="00865749">
        <w:t xml:space="preserve"> </w:t>
      </w:r>
      <w:r>
        <w:t>lower than</w:t>
      </w:r>
      <w:r w:rsidRPr="00865749">
        <w:t xml:space="preserve"> forecast </w:t>
      </w:r>
      <w:r w:rsidR="0048690A">
        <w:t>four</w:t>
      </w:r>
      <w:r w:rsidRPr="00865749">
        <w:t xml:space="preserve"> hours ahead</w:t>
      </w:r>
      <w:r>
        <w:t xml:space="preserve"> as a result of lower than forecast wind generation.</w:t>
      </w:r>
      <w:r w:rsidR="006B72C5">
        <w:t xml:space="preserve"> Planned outages affecting the Heywood interconnector </w:t>
      </w:r>
      <w:r w:rsidR="00195275">
        <w:t xml:space="preserve">which </w:t>
      </w:r>
      <w:r w:rsidR="006B72C5">
        <w:t>had been in place since September 4</w:t>
      </w:r>
      <w:r w:rsidR="00195275">
        <w:t>,</w:t>
      </w:r>
      <w:r w:rsidR="00A82325">
        <w:t xml:space="preserve"> </w:t>
      </w:r>
      <w:r w:rsidR="006B72C5">
        <w:t xml:space="preserve">meant that South Australian regulation FCAS constraints </w:t>
      </w:r>
      <w:r w:rsidR="00195275">
        <w:t xml:space="preserve">were </w:t>
      </w:r>
      <w:r w:rsidR="006B72C5">
        <w:t>invoked.</w:t>
      </w:r>
      <w:bookmarkStart w:id="20" w:name="_GoBack"/>
      <w:bookmarkEnd w:id="20"/>
    </w:p>
    <w:p w:rsidR="00EF48B8" w:rsidRDefault="00865749" w:rsidP="00865749">
      <w:pPr>
        <w:pStyle w:val="AERbodytext"/>
      </w:pPr>
      <w:r>
        <w:t xml:space="preserve">With low-priced generation </w:t>
      </w:r>
      <w:r w:rsidR="006B72C5">
        <w:t>un-accessible because of FCAS co-optimisation</w:t>
      </w:r>
      <w:r w:rsidR="00063C42">
        <w:t>,</w:t>
      </w:r>
      <w:r w:rsidR="00DE3708">
        <w:t xml:space="preserve"> </w:t>
      </w:r>
      <w:r>
        <w:t xml:space="preserve">the dispatch price increased from $60/MWh at 8.30 pm to $14 000/MWh at 8.35 pm. </w:t>
      </w:r>
    </w:p>
    <w:p w:rsidR="00865749" w:rsidRDefault="00865749" w:rsidP="00865749">
      <w:pPr>
        <w:pStyle w:val="AERbodytext"/>
      </w:pPr>
      <w:r>
        <w:t>In response to the high pr</w:t>
      </w:r>
      <w:r w:rsidR="00C33370">
        <w:t xml:space="preserve">ices participants rebid </w:t>
      </w:r>
      <w:r>
        <w:t>capacity to the price floor and the dispatch</w:t>
      </w:r>
      <w:r w:rsidR="00C845E0">
        <w:t xml:space="preserve"> price</w:t>
      </w:r>
      <w:r>
        <w:t xml:space="preserve"> fell to negative prices</w:t>
      </w:r>
      <w:r w:rsidR="00C845E0">
        <w:t xml:space="preserve"> from 8.45 pm for the remainder of the trading interval</w:t>
      </w:r>
      <w:r>
        <w:t>.</w:t>
      </w:r>
    </w:p>
    <w:p w:rsidR="005E4EB1" w:rsidRPr="005F37A9" w:rsidRDefault="005E4EB1" w:rsidP="005E4EB1">
      <w:pPr>
        <w:pStyle w:val="Heading3"/>
        <w:rPr>
          <w:rFonts w:eastAsia="Times New Roman"/>
        </w:rPr>
      </w:pPr>
      <w:r>
        <w:rPr>
          <w:rFonts w:eastAsia="Times New Roman"/>
        </w:rPr>
        <w:lastRenderedPageBreak/>
        <w:t>Thursday, 9 September</w:t>
      </w:r>
    </w:p>
    <w:p w:rsidR="005E4EB1" w:rsidRPr="001C5A97" w:rsidRDefault="005E4EB1" w:rsidP="005E4EB1">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1761A">
        <w:rPr>
          <w:rFonts w:asciiTheme="minorHAnsi" w:hAnsiTheme="minorHAnsi" w:cstheme="minorHAnsi"/>
          <w:noProof/>
        </w:rPr>
        <w:t>5</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5E4EB1" w:rsidRPr="0073319F" w:rsidTr="005E4EB1">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Availability (MW)</w:t>
            </w:r>
          </w:p>
        </w:tc>
      </w:tr>
      <w:tr w:rsidR="005E4EB1" w:rsidRPr="0073319F" w:rsidTr="005E4EB1">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r>
      <w:tr w:rsidR="005E4EB1" w:rsidRPr="005E4EB1" w:rsidTr="005E4EB1">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E4EB1" w:rsidRPr="005E4EB1" w:rsidRDefault="005E4EB1" w:rsidP="0048690A">
            <w:pPr>
              <w:spacing w:line="240" w:lineRule="auto"/>
              <w:jc w:val="center"/>
              <w:rPr>
                <w:rFonts w:cs="Arial"/>
                <w:sz w:val="20"/>
                <w:szCs w:val="20"/>
              </w:rPr>
            </w:pPr>
            <w:r w:rsidRPr="005E4EB1">
              <w:rPr>
                <w:rFonts w:cs="Arial"/>
                <w:sz w:val="20"/>
                <w:szCs w:val="20"/>
              </w:rPr>
              <w:t>3</w:t>
            </w:r>
            <w:r w:rsidR="009E2637">
              <w:rPr>
                <w:rFonts w:cs="Arial"/>
                <w:sz w:val="20"/>
                <w:szCs w:val="20"/>
              </w:rPr>
              <w:t xml:space="preserve"> pm</w:t>
            </w:r>
          </w:p>
        </w:tc>
        <w:tc>
          <w:tcPr>
            <w:tcW w:w="51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-144.15</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5.56</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-45.00</w:t>
            </w:r>
          </w:p>
        </w:tc>
        <w:tc>
          <w:tcPr>
            <w:tcW w:w="455"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1111</w:t>
            </w:r>
          </w:p>
        </w:tc>
        <w:tc>
          <w:tcPr>
            <w:tcW w:w="45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1148</w:t>
            </w:r>
          </w:p>
        </w:tc>
        <w:tc>
          <w:tcPr>
            <w:tcW w:w="534"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1129</w:t>
            </w:r>
          </w:p>
        </w:tc>
        <w:tc>
          <w:tcPr>
            <w:tcW w:w="532"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2755</w:t>
            </w:r>
          </w:p>
        </w:tc>
        <w:tc>
          <w:tcPr>
            <w:tcW w:w="457"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2759</w:t>
            </w:r>
          </w:p>
        </w:tc>
        <w:tc>
          <w:tcPr>
            <w:tcW w:w="45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2759</w:t>
            </w:r>
          </w:p>
        </w:tc>
      </w:tr>
    </w:tbl>
    <w:p w:rsidR="00C33370" w:rsidRDefault="00C33370" w:rsidP="00C33370">
      <w:pPr>
        <w:pStyle w:val="AERbodytext"/>
      </w:pPr>
      <w:r>
        <w:t>Condition</w:t>
      </w:r>
      <w:r w:rsidR="0059050D">
        <w:t>s</w:t>
      </w:r>
      <w:r>
        <w:t xml:space="preserve"> at the time saw demand and availability close to forecast four hours ahead.</w:t>
      </w:r>
    </w:p>
    <w:p w:rsidR="00C33370" w:rsidRDefault="00A53308" w:rsidP="000662F1">
      <w:pPr>
        <w:pStyle w:val="AERbodytext"/>
      </w:pPr>
      <w:r>
        <w:t>The spot price in South Australia was negative from 12.30 pm until 4.00 pm. During this time wind generation in South Australia was around 850</w:t>
      </w:r>
      <w:r w:rsidR="00FE2E42">
        <w:t> MW</w:t>
      </w:r>
      <w:r>
        <w:t xml:space="preserve"> to 900 MW </w:t>
      </w:r>
      <w:r w:rsidR="00CB34AC">
        <w:t>with</w:t>
      </w:r>
      <w:r w:rsidR="00F536B2">
        <w:t xml:space="preserve"> approximately 220 MW being exported into Victoria</w:t>
      </w:r>
      <w:r w:rsidR="00AC5548">
        <w:t xml:space="preserve"> each half</w:t>
      </w:r>
      <w:r w:rsidR="00DF13A6">
        <w:t xml:space="preserve"> </w:t>
      </w:r>
      <w:proofErr w:type="gramStart"/>
      <w:r w:rsidR="00AC5548">
        <w:t>hour</w:t>
      </w:r>
      <w:r w:rsidR="00F536B2">
        <w:t>.</w:t>
      </w:r>
      <w:proofErr w:type="gramEnd"/>
      <w:r w:rsidR="00DF13A6">
        <w:t xml:space="preserve"> While the majority of negative prices were not forecast, low prices were expected for the majority of the day.</w:t>
      </w:r>
    </w:p>
    <w:p w:rsidR="00253004" w:rsidRPr="00253004" w:rsidRDefault="00253004" w:rsidP="00253004">
      <w:pPr>
        <w:pStyle w:val="Heading2"/>
        <w:rPr>
          <w:rFonts w:eastAsia="Times New Roman"/>
          <w:b w:val="0"/>
          <w:bCs w:val="0"/>
          <w:lang w:eastAsia="en-AU"/>
        </w:rPr>
      </w:pPr>
      <w:r>
        <w:rPr>
          <w:rFonts w:eastAsia="Times New Roman"/>
          <w:b w:val="0"/>
          <w:bCs w:val="0"/>
          <w:lang w:eastAsia="en-AU"/>
        </w:rPr>
        <w:t>Tasmania</w:t>
      </w:r>
    </w:p>
    <w:p w:rsidR="005E4EB1" w:rsidRPr="005E4EB1" w:rsidRDefault="005E4EB1" w:rsidP="005E4EB1">
      <w:pPr>
        <w:pStyle w:val="NormalWeb"/>
        <w:spacing w:line="288" w:lineRule="auto"/>
        <w:rPr>
          <w:rFonts w:ascii="Arial" w:hAnsi="Arial" w:cs="Arial"/>
          <w:bCs/>
          <w:sz w:val="22"/>
          <w:szCs w:val="22"/>
        </w:rPr>
      </w:pPr>
      <w:r w:rsidRPr="005E4EB1">
        <w:rPr>
          <w:rFonts w:ascii="Arial" w:hAnsi="Arial" w:cs="Arial"/>
          <w:bCs/>
          <w:sz w:val="22"/>
          <w:szCs w:val="22"/>
        </w:rPr>
        <w:t>There were four occasions where the spot price in Tasmania was greater than three times the Tasmania weekly average price of $42/MWh and above $250/MWh.</w:t>
      </w:r>
    </w:p>
    <w:p w:rsidR="005E4EB1" w:rsidRPr="005F37A9" w:rsidRDefault="005E4EB1" w:rsidP="005E4EB1">
      <w:pPr>
        <w:pStyle w:val="Heading3"/>
        <w:rPr>
          <w:rFonts w:eastAsia="Times New Roman"/>
        </w:rPr>
      </w:pPr>
      <w:r>
        <w:rPr>
          <w:rFonts w:eastAsia="Times New Roman"/>
        </w:rPr>
        <w:t>Sunday, 4 September</w:t>
      </w:r>
    </w:p>
    <w:p w:rsidR="005E4EB1" w:rsidRPr="001C5A97" w:rsidRDefault="005E4EB1" w:rsidP="005E4EB1">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1761A">
        <w:rPr>
          <w:rFonts w:asciiTheme="minorHAnsi" w:hAnsiTheme="minorHAnsi" w:cstheme="minorHAnsi"/>
          <w:noProof/>
        </w:rPr>
        <w:t>6</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5E4EB1" w:rsidRPr="0073319F" w:rsidTr="00471C7D">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Availability (MW)</w:t>
            </w:r>
          </w:p>
        </w:tc>
      </w:tr>
      <w:tr w:rsidR="005E4EB1" w:rsidRPr="0073319F" w:rsidTr="00471C7D">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r>
      <w:tr w:rsidR="005E4EB1" w:rsidRPr="005E4EB1" w:rsidTr="00471C7D">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E4EB1" w:rsidRPr="005E4EB1" w:rsidRDefault="005E4EB1" w:rsidP="0048690A">
            <w:pPr>
              <w:spacing w:line="240" w:lineRule="auto"/>
              <w:jc w:val="center"/>
              <w:rPr>
                <w:rFonts w:cs="Arial"/>
                <w:sz w:val="20"/>
                <w:szCs w:val="20"/>
              </w:rPr>
            </w:pPr>
            <w:r w:rsidRPr="005E4EB1">
              <w:rPr>
                <w:rFonts w:cs="Arial"/>
                <w:sz w:val="20"/>
                <w:szCs w:val="20"/>
              </w:rPr>
              <w:t>9</w:t>
            </w:r>
            <w:r w:rsidR="009E2637">
              <w:rPr>
                <w:rFonts w:cs="Arial"/>
                <w:sz w:val="20"/>
                <w:szCs w:val="20"/>
              </w:rPr>
              <w:t>.</w:t>
            </w:r>
            <w:r w:rsidRPr="005E4EB1">
              <w:rPr>
                <w:rFonts w:cs="Arial"/>
                <w:sz w:val="20"/>
                <w:szCs w:val="20"/>
              </w:rPr>
              <w:t xml:space="preserve">30 </w:t>
            </w:r>
            <w:r w:rsidR="009E2637">
              <w:rPr>
                <w:rFonts w:cs="Arial"/>
                <w:sz w:val="20"/>
                <w:szCs w:val="20"/>
              </w:rPr>
              <w:t>pm</w:t>
            </w:r>
          </w:p>
        </w:tc>
        <w:tc>
          <w:tcPr>
            <w:tcW w:w="51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274.35</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38.01</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36.08</w:t>
            </w:r>
          </w:p>
        </w:tc>
        <w:tc>
          <w:tcPr>
            <w:tcW w:w="455"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1156</w:t>
            </w:r>
          </w:p>
        </w:tc>
        <w:tc>
          <w:tcPr>
            <w:tcW w:w="45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1098</w:t>
            </w:r>
          </w:p>
        </w:tc>
        <w:tc>
          <w:tcPr>
            <w:tcW w:w="534"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1092</w:t>
            </w:r>
          </w:p>
        </w:tc>
        <w:tc>
          <w:tcPr>
            <w:tcW w:w="532"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2000</w:t>
            </w:r>
          </w:p>
        </w:tc>
        <w:tc>
          <w:tcPr>
            <w:tcW w:w="457"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2002</w:t>
            </w:r>
          </w:p>
        </w:tc>
        <w:tc>
          <w:tcPr>
            <w:tcW w:w="45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2025</w:t>
            </w:r>
          </w:p>
        </w:tc>
      </w:tr>
    </w:tbl>
    <w:p w:rsidR="00E276DD" w:rsidRDefault="00E276DD" w:rsidP="00E276DD">
      <w:pPr>
        <w:pStyle w:val="AERbodytext"/>
      </w:pPr>
      <w:r>
        <w:t xml:space="preserve">Conditions at the time saw demand </w:t>
      </w:r>
      <w:r w:rsidR="001A7212">
        <w:t>around 60</w:t>
      </w:r>
      <w:r>
        <w:t xml:space="preserve"> MW higher than forecast </w:t>
      </w:r>
      <w:r w:rsidR="001A7212">
        <w:t>while</w:t>
      </w:r>
      <w:r>
        <w:t xml:space="preserve"> availability was close to forecast.</w:t>
      </w:r>
    </w:p>
    <w:p w:rsidR="00E276DD" w:rsidRDefault="001A7212" w:rsidP="0048690A">
      <w:pPr>
        <w:pStyle w:val="AERbodytext"/>
      </w:pPr>
      <w:r>
        <w:t>At 8.48 pm</w:t>
      </w:r>
      <w:r w:rsidR="00BC62A5">
        <w:t>,</w:t>
      </w:r>
      <w:r>
        <w:t xml:space="preserve"> </w:t>
      </w:r>
      <w:r w:rsidR="00BC62A5">
        <w:t xml:space="preserve">effective from 9.05 pm, </w:t>
      </w:r>
      <w:proofErr w:type="spellStart"/>
      <w:r>
        <w:t>Hydrotas</w:t>
      </w:r>
      <w:proofErr w:type="spellEnd"/>
      <w:r>
        <w:t xml:space="preserve"> rebid 154 MW of capacity from less than $50/MWh to $274/MWh. </w:t>
      </w:r>
      <w:r w:rsidR="0015721E">
        <w:t>The reason given was “</w:t>
      </w:r>
      <w:r w:rsidR="0015721E" w:rsidRPr="000662F1">
        <w:rPr>
          <w:bCs w:val="0"/>
        </w:rPr>
        <w:t>2046A FCAS REQUIREMENT &gt; FORECAST: TAS R6</w:t>
      </w:r>
      <w:r w:rsidR="0015721E">
        <w:t>”</w:t>
      </w:r>
      <w:r w:rsidR="00BC62A5">
        <w:t>.</w:t>
      </w:r>
      <w:r w:rsidR="0015721E">
        <w:t xml:space="preserve"> </w:t>
      </w:r>
      <w:r w:rsidR="00BC62A5">
        <w:t>With</w:t>
      </w:r>
      <w:r w:rsidR="00E276DD">
        <w:t xml:space="preserve"> no capacity priced between $</w:t>
      </w:r>
      <w:r w:rsidR="0015721E">
        <w:t>29</w:t>
      </w:r>
      <w:r w:rsidR="00E276DD">
        <w:t>/MWh and $274/MWh</w:t>
      </w:r>
      <w:r w:rsidR="00BC62A5">
        <w:t xml:space="preserve"> and</w:t>
      </w:r>
      <w:r w:rsidR="00E276DD">
        <w:t xml:space="preserve"> low-priced generation either trapped or stranded in FCAS or fully dispatched the price increase</w:t>
      </w:r>
      <w:r w:rsidR="00BC62A5">
        <w:t>d</w:t>
      </w:r>
      <w:r w:rsidR="00E276DD">
        <w:t xml:space="preserve"> from $51/MWh at 9 pm to $274/MWh at 9.05 pm and stayed at that price for the rest of the trading interval.</w:t>
      </w:r>
    </w:p>
    <w:p w:rsidR="005E4EB1" w:rsidRPr="005F37A9" w:rsidRDefault="005E4EB1" w:rsidP="005E4EB1">
      <w:pPr>
        <w:pStyle w:val="Heading3"/>
        <w:rPr>
          <w:rFonts w:eastAsia="Times New Roman"/>
        </w:rPr>
      </w:pPr>
      <w:r>
        <w:rPr>
          <w:rFonts w:eastAsia="Times New Roman"/>
        </w:rPr>
        <w:t>Monday, 5 September</w:t>
      </w:r>
    </w:p>
    <w:p w:rsidR="005E4EB1" w:rsidRPr="001C5A97" w:rsidRDefault="005E4EB1" w:rsidP="005E4EB1">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1761A">
        <w:rPr>
          <w:rFonts w:asciiTheme="minorHAnsi" w:hAnsiTheme="minorHAnsi" w:cstheme="minorHAnsi"/>
          <w:noProof/>
        </w:rPr>
        <w:t>7</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5E4EB1" w:rsidRPr="0073319F" w:rsidTr="005E4EB1">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Availability (MW)</w:t>
            </w:r>
          </w:p>
        </w:tc>
      </w:tr>
      <w:tr w:rsidR="005E4EB1" w:rsidRPr="0073319F" w:rsidTr="005E4EB1">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r>
      <w:tr w:rsidR="005E4EB1" w:rsidRPr="0073319F" w:rsidTr="005E4EB1">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E4EB1" w:rsidRPr="005E4EB1" w:rsidRDefault="005E4EB1" w:rsidP="0048690A">
            <w:pPr>
              <w:spacing w:line="240" w:lineRule="auto"/>
              <w:jc w:val="center"/>
              <w:rPr>
                <w:rFonts w:cs="Arial"/>
                <w:sz w:val="20"/>
                <w:szCs w:val="20"/>
              </w:rPr>
            </w:pPr>
            <w:r w:rsidRPr="005E4EB1">
              <w:rPr>
                <w:rFonts w:cs="Arial"/>
                <w:sz w:val="20"/>
                <w:szCs w:val="20"/>
              </w:rPr>
              <w:t>7</w:t>
            </w:r>
            <w:r w:rsidR="009E2637">
              <w:rPr>
                <w:rFonts w:cs="Arial"/>
                <w:sz w:val="20"/>
                <w:szCs w:val="20"/>
              </w:rPr>
              <w:t>.</w:t>
            </w:r>
            <w:r w:rsidRPr="005E4EB1">
              <w:rPr>
                <w:rFonts w:cs="Arial"/>
                <w:sz w:val="20"/>
                <w:szCs w:val="20"/>
              </w:rPr>
              <w:t xml:space="preserve">30 </w:t>
            </w:r>
            <w:r w:rsidR="009E2637">
              <w:rPr>
                <w:rFonts w:cs="Arial"/>
                <w:sz w:val="20"/>
                <w:szCs w:val="20"/>
              </w:rPr>
              <w:t>am</w:t>
            </w:r>
          </w:p>
        </w:tc>
        <w:tc>
          <w:tcPr>
            <w:tcW w:w="51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307.15</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386.41</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31.85</w:t>
            </w:r>
          </w:p>
        </w:tc>
        <w:tc>
          <w:tcPr>
            <w:tcW w:w="455"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1342</w:t>
            </w:r>
          </w:p>
        </w:tc>
        <w:tc>
          <w:tcPr>
            <w:tcW w:w="45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1257</w:t>
            </w:r>
          </w:p>
        </w:tc>
        <w:tc>
          <w:tcPr>
            <w:tcW w:w="534"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1257</w:t>
            </w:r>
          </w:p>
        </w:tc>
        <w:tc>
          <w:tcPr>
            <w:tcW w:w="532"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1998</w:t>
            </w:r>
          </w:p>
        </w:tc>
        <w:tc>
          <w:tcPr>
            <w:tcW w:w="457"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2000</w:t>
            </w:r>
          </w:p>
        </w:tc>
        <w:tc>
          <w:tcPr>
            <w:tcW w:w="45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1993</w:t>
            </w:r>
          </w:p>
        </w:tc>
      </w:tr>
      <w:tr w:rsidR="005E4EB1" w:rsidRPr="0073319F" w:rsidTr="005E4EB1">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E4EB1" w:rsidRPr="005E4EB1" w:rsidRDefault="005E4EB1" w:rsidP="0048690A">
            <w:pPr>
              <w:spacing w:line="240" w:lineRule="auto"/>
              <w:jc w:val="center"/>
              <w:rPr>
                <w:rFonts w:cs="Arial"/>
                <w:sz w:val="20"/>
                <w:szCs w:val="20"/>
              </w:rPr>
            </w:pPr>
            <w:r w:rsidRPr="005E4EB1">
              <w:rPr>
                <w:rFonts w:cs="Arial"/>
                <w:sz w:val="20"/>
                <w:szCs w:val="20"/>
              </w:rPr>
              <w:t xml:space="preserve">8 </w:t>
            </w:r>
            <w:r w:rsidR="009E2637">
              <w:rPr>
                <w:rFonts w:cs="Arial"/>
                <w:sz w:val="20"/>
                <w:szCs w:val="20"/>
              </w:rPr>
              <w:t>am</w:t>
            </w:r>
          </w:p>
        </w:tc>
        <w:tc>
          <w:tcPr>
            <w:tcW w:w="51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319.29</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51.65</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37.84</w:t>
            </w:r>
          </w:p>
        </w:tc>
        <w:tc>
          <w:tcPr>
            <w:tcW w:w="455"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1369</w:t>
            </w:r>
          </w:p>
        </w:tc>
        <w:tc>
          <w:tcPr>
            <w:tcW w:w="45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1291</w:t>
            </w:r>
          </w:p>
        </w:tc>
        <w:tc>
          <w:tcPr>
            <w:tcW w:w="534"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1288</w:t>
            </w:r>
          </w:p>
        </w:tc>
        <w:tc>
          <w:tcPr>
            <w:tcW w:w="532"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1995</w:t>
            </w:r>
          </w:p>
        </w:tc>
        <w:tc>
          <w:tcPr>
            <w:tcW w:w="457"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2000</w:t>
            </w:r>
          </w:p>
        </w:tc>
        <w:tc>
          <w:tcPr>
            <w:tcW w:w="45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1991</w:t>
            </w:r>
          </w:p>
        </w:tc>
      </w:tr>
    </w:tbl>
    <w:p w:rsidR="00AC76B1" w:rsidRDefault="00AC76B1" w:rsidP="00AC76B1">
      <w:pPr>
        <w:pStyle w:val="AERbodytext"/>
      </w:pPr>
    </w:p>
    <w:p w:rsidR="00AC76B1" w:rsidRDefault="00AC76B1" w:rsidP="00AC76B1">
      <w:pPr>
        <w:pStyle w:val="AERbodytext"/>
      </w:pPr>
      <w:r>
        <w:lastRenderedPageBreak/>
        <w:t>The price at 7.30</w:t>
      </w:r>
      <w:r w:rsidR="009E2637">
        <w:t> </w:t>
      </w:r>
      <w:r>
        <w:t xml:space="preserve">am was close to that forecast four hours ahead. </w:t>
      </w:r>
    </w:p>
    <w:p w:rsidR="00AC76B1" w:rsidRDefault="002B1CD0" w:rsidP="00AC76B1">
      <w:pPr>
        <w:pStyle w:val="AERbodytext"/>
      </w:pPr>
      <w:r>
        <w:t>At 8 am d</w:t>
      </w:r>
      <w:r w:rsidR="00AC76B1">
        <w:t xml:space="preserve">emand was </w:t>
      </w:r>
      <w:r>
        <w:t xml:space="preserve">around 80 MW </w:t>
      </w:r>
      <w:r w:rsidR="00AC76B1">
        <w:t>higher</w:t>
      </w:r>
      <w:r w:rsidR="009E2637">
        <w:t xml:space="preserve"> </w:t>
      </w:r>
      <w:r>
        <w:t xml:space="preserve">than forecast </w:t>
      </w:r>
      <w:r w:rsidR="009E2637">
        <w:t>and</w:t>
      </w:r>
      <w:r w:rsidR="00AC76B1">
        <w:t xml:space="preserve"> availability was close to forecast </w:t>
      </w:r>
      <w:r w:rsidR="009E2637">
        <w:t>four</w:t>
      </w:r>
      <w:r w:rsidR="00AC76B1">
        <w:t xml:space="preserve"> hours ahead.</w:t>
      </w:r>
      <w:r w:rsidR="000938D7">
        <w:t xml:space="preserve"> </w:t>
      </w:r>
    </w:p>
    <w:p w:rsidR="00543544" w:rsidRDefault="00D46841" w:rsidP="000662F1">
      <w:pPr>
        <w:pStyle w:val="AERbodytext"/>
      </w:pPr>
      <w:r>
        <w:t>W</w:t>
      </w:r>
      <w:r w:rsidR="00AC76B1">
        <w:t>ith no capacity priced between $5</w:t>
      </w:r>
      <w:r>
        <w:t>5</w:t>
      </w:r>
      <w:r w:rsidR="00AC76B1">
        <w:t>/MWh and $274/MWh</w:t>
      </w:r>
      <w:r w:rsidR="002A3B82">
        <w:t>,</w:t>
      </w:r>
      <w:r w:rsidR="00AC76B1">
        <w:t xml:space="preserve"> </w:t>
      </w:r>
      <w:r>
        <w:t xml:space="preserve">the higher than forecast demand led to the higher than forecast </w:t>
      </w:r>
      <w:r w:rsidR="002A3B82">
        <w:t xml:space="preserve">spot </w:t>
      </w:r>
      <w:r>
        <w:t>price at 8 am, with dispatch prices ranging from $274/MWh to $365/MWh.</w:t>
      </w:r>
    </w:p>
    <w:p w:rsidR="005E4EB1" w:rsidRPr="005F37A9" w:rsidRDefault="005E4EB1" w:rsidP="005E4EB1">
      <w:pPr>
        <w:pStyle w:val="Heading3"/>
        <w:rPr>
          <w:rFonts w:eastAsia="Times New Roman"/>
        </w:rPr>
      </w:pPr>
      <w:r>
        <w:rPr>
          <w:rFonts w:eastAsia="Times New Roman"/>
        </w:rPr>
        <w:t>Wednesday, 7 September</w:t>
      </w:r>
    </w:p>
    <w:p w:rsidR="005E4EB1" w:rsidRPr="001C5A97" w:rsidRDefault="005E4EB1" w:rsidP="005E4EB1">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61761A">
        <w:rPr>
          <w:rFonts w:asciiTheme="minorHAnsi" w:hAnsiTheme="minorHAnsi" w:cstheme="minorHAnsi"/>
          <w:noProof/>
        </w:rPr>
        <w:t>8</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5E4EB1" w:rsidRPr="0073319F" w:rsidTr="00471C7D">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5E4EB1" w:rsidRPr="007D74C6" w:rsidRDefault="005E4EB1" w:rsidP="00471C7D">
            <w:pPr>
              <w:pStyle w:val="TableHeading"/>
              <w:jc w:val="center"/>
              <w:rPr>
                <w:rFonts w:cs="Arial"/>
                <w:b w:val="0"/>
                <w:sz w:val="20"/>
                <w:szCs w:val="20"/>
              </w:rPr>
            </w:pPr>
            <w:r w:rsidRPr="007D74C6">
              <w:rPr>
                <w:rFonts w:cs="Arial"/>
                <w:b w:val="0"/>
                <w:sz w:val="20"/>
                <w:szCs w:val="20"/>
              </w:rPr>
              <w:t>Availability (MW)</w:t>
            </w:r>
          </w:p>
        </w:tc>
      </w:tr>
      <w:tr w:rsidR="005E4EB1" w:rsidRPr="0073319F" w:rsidTr="00471C7D">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5E4EB1" w:rsidRPr="007D74C6" w:rsidRDefault="005E4EB1" w:rsidP="00471C7D">
            <w:pPr>
              <w:pStyle w:val="tableheadingline2"/>
              <w:rPr>
                <w:rFonts w:cs="Arial"/>
                <w:sz w:val="20"/>
                <w:szCs w:val="20"/>
              </w:rPr>
            </w:pPr>
            <w:r w:rsidRPr="007D74C6">
              <w:rPr>
                <w:rFonts w:cs="Arial"/>
                <w:sz w:val="20"/>
                <w:szCs w:val="20"/>
              </w:rPr>
              <w:t>12 hr forecast</w:t>
            </w:r>
          </w:p>
        </w:tc>
      </w:tr>
      <w:tr w:rsidR="005E4EB1" w:rsidRPr="0073319F" w:rsidTr="00471C7D">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9:00 AM</w:t>
            </w:r>
          </w:p>
        </w:tc>
        <w:tc>
          <w:tcPr>
            <w:tcW w:w="51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271.60</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271.82</w:t>
            </w:r>
          </w:p>
        </w:tc>
        <w:tc>
          <w:tcPr>
            <w:tcW w:w="53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271.82</w:t>
            </w:r>
          </w:p>
        </w:tc>
        <w:tc>
          <w:tcPr>
            <w:tcW w:w="455"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1376</w:t>
            </w:r>
          </w:p>
        </w:tc>
        <w:tc>
          <w:tcPr>
            <w:tcW w:w="456"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1342</w:t>
            </w:r>
          </w:p>
        </w:tc>
        <w:tc>
          <w:tcPr>
            <w:tcW w:w="534"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1319</w:t>
            </w:r>
          </w:p>
        </w:tc>
        <w:tc>
          <w:tcPr>
            <w:tcW w:w="532"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1876</w:t>
            </w:r>
          </w:p>
        </w:tc>
        <w:tc>
          <w:tcPr>
            <w:tcW w:w="457"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1880</w:t>
            </w:r>
          </w:p>
        </w:tc>
        <w:tc>
          <w:tcPr>
            <w:tcW w:w="453" w:type="pct"/>
            <w:vAlign w:val="center"/>
          </w:tcPr>
          <w:p w:rsidR="005E4EB1" w:rsidRPr="005E4EB1" w:rsidRDefault="005E4EB1" w:rsidP="005E4EB1">
            <w:pPr>
              <w:spacing w:line="240" w:lineRule="auto"/>
              <w:jc w:val="center"/>
              <w:rPr>
                <w:rFonts w:cs="Arial"/>
                <w:sz w:val="20"/>
                <w:szCs w:val="20"/>
              </w:rPr>
            </w:pPr>
            <w:r w:rsidRPr="005E4EB1">
              <w:rPr>
                <w:rFonts w:cs="Arial"/>
                <w:sz w:val="20"/>
                <w:szCs w:val="20"/>
              </w:rPr>
              <w:t>1889</w:t>
            </w:r>
          </w:p>
        </w:tc>
      </w:tr>
    </w:tbl>
    <w:p w:rsidR="00253004" w:rsidRDefault="00253004" w:rsidP="00253004">
      <w:pPr>
        <w:pStyle w:val="AERbodytext"/>
      </w:pPr>
      <w:r>
        <w:t xml:space="preserve">The price was close to that forecast four hours ahead. </w:t>
      </w:r>
    </w:p>
    <w:p w:rsidR="00275002" w:rsidRPr="009064FC" w:rsidRDefault="00275002" w:rsidP="004F6D0A">
      <w:pPr>
        <w:pStyle w:val="Heading2"/>
      </w:pPr>
      <w:r w:rsidRPr="004F6D0A">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354B6E">
        <w:t>Figure 9</w:t>
      </w:r>
      <w:r>
        <w:fldChar w:fldCharType="end"/>
      </w:r>
      <w:r>
        <w:t xml:space="preserve"> </w:t>
      </w:r>
      <w:r w:rsidRPr="0031019A">
        <w:t>shows for all mainland regions the prices for base contracts (and total traded quantities for the week) for each quarter for the next four financial years.</w:t>
      </w:r>
      <w:r w:rsidR="00E176EC">
        <w:t xml:space="preserve"> </w:t>
      </w:r>
    </w:p>
    <w:p w:rsidR="00D73D17" w:rsidRDefault="00275002" w:rsidP="00783D4E">
      <w:pPr>
        <w:pStyle w:val="Caption"/>
        <w:spacing w:before="0" w:line="240" w:lineRule="auto"/>
      </w:pPr>
      <w:bookmarkStart w:id="21" w:name="_Ref410386540"/>
      <w:r>
        <w:t xml:space="preserve">Figure </w:t>
      </w:r>
      <w:fldSimple w:instr=" SEQ Figure \* ARABIC ">
        <w:r w:rsidR="00354B6E">
          <w:rPr>
            <w:noProof/>
          </w:rPr>
          <w:t>9</w:t>
        </w:r>
      </w:fldSimple>
      <w:bookmarkEnd w:id="21"/>
      <w:r w:rsidR="002515C3">
        <w:t>:</w:t>
      </w:r>
      <w:r>
        <w:t xml:space="preserve"> </w:t>
      </w:r>
      <w:r w:rsidRPr="007A6ACB">
        <w:t>Quarterly base future prices Q</w:t>
      </w:r>
      <w:r w:rsidR="00491631">
        <w:t>3</w:t>
      </w:r>
      <w:r w:rsidR="00C4712A">
        <w:t xml:space="preserve"> 2016</w:t>
      </w:r>
      <w:r w:rsidRPr="007A6ACB">
        <w:t xml:space="preserve"> – Q</w:t>
      </w:r>
      <w:r w:rsidR="00D97DE8">
        <w:t>2</w:t>
      </w:r>
      <w:r w:rsidR="0069547C">
        <w:t xml:space="preserve"> 2020</w:t>
      </w:r>
      <w:r w:rsidR="003A585C" w:rsidRPr="003A585C">
        <w:rPr>
          <w:b w:val="0"/>
          <w:bCs w:val="0"/>
        </w:rPr>
        <w:t xml:space="preserve"> </w:t>
      </w:r>
      <w:r w:rsidR="002941C1" w:rsidRPr="002941C1">
        <w:rPr>
          <w:noProof/>
          <w:lang w:eastAsia="en-AU"/>
        </w:rPr>
        <w:drawing>
          <wp:inline distT="0" distB="0" distL="0" distR="0" wp14:anchorId="70367C54" wp14:editId="754C892A">
            <wp:extent cx="5731510" cy="2883920"/>
            <wp:effectExtent l="0" t="0" r="2540" b="0"/>
            <wp:docPr id="22" name="Picture 22"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3920"/>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354B6E" w:rsidRPr="00491631">
        <w:t xml:space="preserve">Figure </w:t>
      </w:r>
      <w:r w:rsidR="00354B6E">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w:t>
      </w:r>
      <w:r w:rsidRPr="000662F1">
        <w:t xml:space="preserve">The AER notes that data for </w:t>
      </w:r>
      <w:r w:rsidR="005A5657" w:rsidRPr="000662F1">
        <w:t>South </w:t>
      </w:r>
      <w:r w:rsidRPr="000662F1">
        <w:t>Australia is less reliable due to very low numbers of trades.</w:t>
      </w:r>
      <w:r w:rsidR="00E56597" w:rsidRPr="00E56597">
        <w:rPr>
          <w:bCs w:val="0"/>
        </w:rPr>
        <w:t xml:space="preserve"> </w:t>
      </w:r>
    </w:p>
    <w:p w:rsidR="00275002" w:rsidRDefault="00275002" w:rsidP="00783D4E">
      <w:pPr>
        <w:pStyle w:val="Caption"/>
        <w:spacing w:before="0" w:line="240" w:lineRule="auto"/>
      </w:pPr>
      <w:bookmarkStart w:id="22" w:name="_Ref410380382"/>
      <w:r w:rsidRPr="00491631">
        <w:lastRenderedPageBreak/>
        <w:t xml:space="preserve">Figure </w:t>
      </w:r>
      <w:fldSimple w:instr=" SEQ Figure \* ARABIC ">
        <w:r w:rsidR="00354B6E">
          <w:rPr>
            <w:noProof/>
          </w:rPr>
          <w:t>10</w:t>
        </w:r>
      </w:fldSimple>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275002" w:rsidRPr="0031019A" w:rsidRDefault="00193FF4" w:rsidP="00C466B4">
      <w:pPr>
        <w:pStyle w:val="Source"/>
        <w:spacing w:before="0" w:after="120" w:line="240" w:lineRule="auto"/>
        <w:jc w:val="both"/>
      </w:pPr>
      <w:r w:rsidRPr="00193FF4">
        <w:rPr>
          <w:noProof/>
          <w:lang w:eastAsia="en-AU"/>
        </w:rPr>
        <w:drawing>
          <wp:inline distT="0" distB="0" distL="0" distR="0" wp14:anchorId="4A0FC37C" wp14:editId="59CB4D61">
            <wp:extent cx="5731510" cy="2899274"/>
            <wp:effectExtent l="0" t="0" r="2540" b="0"/>
            <wp:docPr id="23" name="Picture 23"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9274"/>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4"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fldChar w:fldCharType="begin"/>
      </w:r>
      <w:r>
        <w:instrText xml:space="preserve"> REF _Ref428276233 \h </w:instrText>
      </w:r>
      <w:r w:rsidR="00AF7C0E">
        <w:instrText xml:space="preserve"> \* MERGEFORMAT </w:instrText>
      </w:r>
      <w:r>
        <w:fldChar w:fldCharType="separate"/>
      </w:r>
      <w:r w:rsidR="00354B6E">
        <w:t xml:space="preserve">Figure </w:t>
      </w:r>
      <w:r w:rsidR="00354B6E">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354B6E">
          <w:rPr>
            <w:noProof/>
          </w:rPr>
          <w:t>11</w:t>
        </w:r>
      </w:fldSimple>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193FF4" w:rsidP="00037EB9">
      <w:pPr>
        <w:pStyle w:val="Source"/>
        <w:spacing w:before="0" w:after="0" w:line="240" w:lineRule="auto"/>
      </w:pPr>
      <w:r w:rsidRPr="00193FF4">
        <w:rPr>
          <w:noProof/>
          <w:lang w:eastAsia="en-AU"/>
        </w:rPr>
        <w:drawing>
          <wp:inline distT="0" distB="0" distL="0" distR="0" wp14:anchorId="191504A8" wp14:editId="56605C86">
            <wp:extent cx="5731510" cy="2871938"/>
            <wp:effectExtent l="0" t="0" r="2540" b="5080"/>
            <wp:docPr id="24" name="Picture 24" descr="Figure 11 shows how the price for each regional Quarter 1 2017 cap contract has changed over the last 10 weeks (as well as the total number of trades each week). The closing quarter 1 2015 and quarter 1 2016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1938"/>
                    </a:xfrm>
                    <a:prstGeom prst="rect">
                      <a:avLst/>
                    </a:prstGeom>
                    <a:noFill/>
                    <a:ln>
                      <a:noFill/>
                    </a:ln>
                  </pic:spPr>
                </pic:pic>
              </a:graphicData>
            </a:graphic>
          </wp:inline>
        </w:drawing>
      </w:r>
      <w:proofErr w:type="gramStart"/>
      <w:r w:rsidR="00275002" w:rsidRPr="002A7439">
        <w:t>Source</w:t>
      </w:r>
      <w:r w:rsidR="00F72F41">
        <w:t>.</w:t>
      </w:r>
      <w:proofErr w:type="gramEnd"/>
      <w:r w:rsidR="00275002" w:rsidRPr="002A7439">
        <w:t xml:space="preserve"> </w:t>
      </w:r>
      <w:hyperlink r:id="rId26"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C33370">
        <w:t>September</w:t>
      </w:r>
      <w:r w:rsidR="004D5447" w:rsidRPr="00D92E07">
        <w:t xml:space="preserve"> </w:t>
      </w:r>
      <w:r w:rsidR="00C4712A" w:rsidRPr="00D92E07">
        <w:t>2016</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DC" w:rsidRDefault="00C24CDC" w:rsidP="004B4412">
      <w:pPr>
        <w:spacing w:before="0"/>
      </w:pPr>
      <w:r>
        <w:separator/>
      </w:r>
    </w:p>
  </w:endnote>
  <w:endnote w:type="continuationSeparator" w:id="0">
    <w:p w:rsidR="00C24CDC" w:rsidRDefault="00C24CD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1A9E" w:rsidRDefault="00C24CDC"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24CDC" w:rsidRDefault="00C24CDC"/>
  <w:p w:rsidR="00C24CDC" w:rsidRDefault="00C24C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4D89" w:rsidRDefault="00C24CDC"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55519">
      <w:rPr>
        <w:rFonts w:cs="Arial"/>
        <w:i/>
        <w:noProof/>
      </w:rPr>
      <w:t>9</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6B" w:rsidRPr="00A94D89" w:rsidRDefault="00C24CDC"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195275">
      <w:rPr>
        <w:rFonts w:cs="Arial"/>
        <w:i/>
        <w:noProof/>
      </w:rPr>
      <w:t>1</w:t>
    </w:r>
    <w:r w:rsidRPr="001F1B78">
      <w:rPr>
        <w:rFonts w:cs="Arial"/>
        <w:i/>
        <w:noProof/>
      </w:rPr>
      <w:fldChar w:fldCharType="end"/>
    </w:r>
    <w:r w:rsidRPr="00F52F00">
      <w:rPr>
        <w:rFonts w:cs="Arial"/>
        <w:i/>
      </w:rPr>
      <w:tab/>
      <w:t xml:space="preserve">AER reference: 39220 – </w:t>
    </w:r>
    <w:r w:rsidR="007F45D2">
      <w:rPr>
        <w:rFonts w:cs="Arial"/>
        <w:i/>
      </w:rPr>
      <w:t>D16/</w:t>
    </w:r>
    <w:r w:rsidR="004D2A5B">
      <w:rPr>
        <w:rFonts w:cs="Arial"/>
        <w:i/>
      </w:rPr>
      <w:t>125227</w:t>
    </w:r>
  </w:p>
  <w:p w:rsidR="00C24CDC" w:rsidRDefault="00C24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DC" w:rsidRDefault="00C24CDC" w:rsidP="004B4412">
      <w:pPr>
        <w:spacing w:before="0"/>
      </w:pPr>
      <w:r>
        <w:separator/>
      </w:r>
    </w:p>
  </w:footnote>
  <w:footnote w:type="continuationSeparator" w:id="0">
    <w:p w:rsidR="00C24CDC" w:rsidRDefault="00C24CDC"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5CEE86E8"/>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63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day\20160904 - 20160910 electricity report (D2016-00125227).docx"/>
  </w:docVars>
  <w:rsids>
    <w:rsidRoot w:val="00275002"/>
    <w:rsid w:val="00000817"/>
    <w:rsid w:val="00000BFE"/>
    <w:rsid w:val="00000CC3"/>
    <w:rsid w:val="00001D6D"/>
    <w:rsid w:val="00003169"/>
    <w:rsid w:val="00005D12"/>
    <w:rsid w:val="0000728F"/>
    <w:rsid w:val="00007624"/>
    <w:rsid w:val="000128E1"/>
    <w:rsid w:val="0001415C"/>
    <w:rsid w:val="000147C1"/>
    <w:rsid w:val="00014D5F"/>
    <w:rsid w:val="00017DD0"/>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2CF4"/>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1ABD"/>
    <w:rsid w:val="00061CE2"/>
    <w:rsid w:val="00061E3B"/>
    <w:rsid w:val="00063247"/>
    <w:rsid w:val="00063473"/>
    <w:rsid w:val="00063C42"/>
    <w:rsid w:val="00066157"/>
    <w:rsid w:val="000661AF"/>
    <w:rsid w:val="000662F1"/>
    <w:rsid w:val="00070F9F"/>
    <w:rsid w:val="0007137B"/>
    <w:rsid w:val="000738F4"/>
    <w:rsid w:val="00074A4E"/>
    <w:rsid w:val="000758D3"/>
    <w:rsid w:val="00075D7D"/>
    <w:rsid w:val="000766E2"/>
    <w:rsid w:val="00077616"/>
    <w:rsid w:val="00077819"/>
    <w:rsid w:val="000822B6"/>
    <w:rsid w:val="00085663"/>
    <w:rsid w:val="00085EBF"/>
    <w:rsid w:val="00086B36"/>
    <w:rsid w:val="00086CF3"/>
    <w:rsid w:val="00087C4A"/>
    <w:rsid w:val="00087CDC"/>
    <w:rsid w:val="00091FB4"/>
    <w:rsid w:val="00092DE3"/>
    <w:rsid w:val="000938D7"/>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7257"/>
    <w:rsid w:val="000C0472"/>
    <w:rsid w:val="000C1B93"/>
    <w:rsid w:val="000C1FA4"/>
    <w:rsid w:val="000C2A63"/>
    <w:rsid w:val="000D0A74"/>
    <w:rsid w:val="000D122C"/>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4537"/>
    <w:rsid w:val="000E4F81"/>
    <w:rsid w:val="000E54D6"/>
    <w:rsid w:val="000E55C7"/>
    <w:rsid w:val="000E5B55"/>
    <w:rsid w:val="000E6C72"/>
    <w:rsid w:val="000E7180"/>
    <w:rsid w:val="000E77BB"/>
    <w:rsid w:val="000E7E24"/>
    <w:rsid w:val="000F189E"/>
    <w:rsid w:val="000F1956"/>
    <w:rsid w:val="000F1D61"/>
    <w:rsid w:val="000F5487"/>
    <w:rsid w:val="000F56F6"/>
    <w:rsid w:val="000F5855"/>
    <w:rsid w:val="000F6FA7"/>
    <w:rsid w:val="000F77D6"/>
    <w:rsid w:val="000F7EE1"/>
    <w:rsid w:val="00100142"/>
    <w:rsid w:val="00100B12"/>
    <w:rsid w:val="00102B64"/>
    <w:rsid w:val="00105281"/>
    <w:rsid w:val="00105AF3"/>
    <w:rsid w:val="0010740E"/>
    <w:rsid w:val="0011019A"/>
    <w:rsid w:val="001107FF"/>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5F4F"/>
    <w:rsid w:val="00126022"/>
    <w:rsid w:val="001270EB"/>
    <w:rsid w:val="0012758A"/>
    <w:rsid w:val="00127CAB"/>
    <w:rsid w:val="00130196"/>
    <w:rsid w:val="0013057E"/>
    <w:rsid w:val="0013257C"/>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E4"/>
    <w:rsid w:val="00160756"/>
    <w:rsid w:val="00162584"/>
    <w:rsid w:val="001629C6"/>
    <w:rsid w:val="00162C9F"/>
    <w:rsid w:val="00164658"/>
    <w:rsid w:val="00164FB1"/>
    <w:rsid w:val="00165247"/>
    <w:rsid w:val="001653F3"/>
    <w:rsid w:val="00165C87"/>
    <w:rsid w:val="001666AA"/>
    <w:rsid w:val="00166BD2"/>
    <w:rsid w:val="0017054C"/>
    <w:rsid w:val="001711CC"/>
    <w:rsid w:val="0017232E"/>
    <w:rsid w:val="00173AE6"/>
    <w:rsid w:val="00173DC1"/>
    <w:rsid w:val="00174102"/>
    <w:rsid w:val="001756AF"/>
    <w:rsid w:val="00176AEF"/>
    <w:rsid w:val="001778E3"/>
    <w:rsid w:val="00180157"/>
    <w:rsid w:val="00181C46"/>
    <w:rsid w:val="001832C7"/>
    <w:rsid w:val="00185510"/>
    <w:rsid w:val="00186831"/>
    <w:rsid w:val="00186F77"/>
    <w:rsid w:val="001901A4"/>
    <w:rsid w:val="00190F24"/>
    <w:rsid w:val="0019177E"/>
    <w:rsid w:val="00191C6F"/>
    <w:rsid w:val="00191DA4"/>
    <w:rsid w:val="00192441"/>
    <w:rsid w:val="001926A4"/>
    <w:rsid w:val="001936FA"/>
    <w:rsid w:val="00193ED7"/>
    <w:rsid w:val="00193FF4"/>
    <w:rsid w:val="00195275"/>
    <w:rsid w:val="001977CC"/>
    <w:rsid w:val="00197DD5"/>
    <w:rsid w:val="001A2BC2"/>
    <w:rsid w:val="001A2C0A"/>
    <w:rsid w:val="001A3AEC"/>
    <w:rsid w:val="001A3CDA"/>
    <w:rsid w:val="001A4FE0"/>
    <w:rsid w:val="001A5B9F"/>
    <w:rsid w:val="001A6790"/>
    <w:rsid w:val="001A7212"/>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5079"/>
    <w:rsid w:val="001C5A97"/>
    <w:rsid w:val="001C5EF2"/>
    <w:rsid w:val="001C5F6B"/>
    <w:rsid w:val="001C666A"/>
    <w:rsid w:val="001C6748"/>
    <w:rsid w:val="001D055E"/>
    <w:rsid w:val="001D0C65"/>
    <w:rsid w:val="001D0CE3"/>
    <w:rsid w:val="001D1AE8"/>
    <w:rsid w:val="001D3A5B"/>
    <w:rsid w:val="001D5BEB"/>
    <w:rsid w:val="001D5EE6"/>
    <w:rsid w:val="001D60FF"/>
    <w:rsid w:val="001D7698"/>
    <w:rsid w:val="001D7FB7"/>
    <w:rsid w:val="001E01B4"/>
    <w:rsid w:val="001E0E82"/>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2D73"/>
    <w:rsid w:val="001F3530"/>
    <w:rsid w:val="001F4726"/>
    <w:rsid w:val="001F492E"/>
    <w:rsid w:val="001F6DA3"/>
    <w:rsid w:val="001F7575"/>
    <w:rsid w:val="002003AE"/>
    <w:rsid w:val="00201136"/>
    <w:rsid w:val="0020132A"/>
    <w:rsid w:val="00201A4B"/>
    <w:rsid w:val="00201C06"/>
    <w:rsid w:val="00203300"/>
    <w:rsid w:val="0020376D"/>
    <w:rsid w:val="00204302"/>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221"/>
    <w:rsid w:val="00217C29"/>
    <w:rsid w:val="002214D9"/>
    <w:rsid w:val="002216F5"/>
    <w:rsid w:val="00222F04"/>
    <w:rsid w:val="00223FEA"/>
    <w:rsid w:val="002242B5"/>
    <w:rsid w:val="00224DB9"/>
    <w:rsid w:val="00224EE7"/>
    <w:rsid w:val="00227098"/>
    <w:rsid w:val="002276F0"/>
    <w:rsid w:val="00227C97"/>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004"/>
    <w:rsid w:val="00253160"/>
    <w:rsid w:val="00262F65"/>
    <w:rsid w:val="00263768"/>
    <w:rsid w:val="00263AC0"/>
    <w:rsid w:val="002649D2"/>
    <w:rsid w:val="002649D8"/>
    <w:rsid w:val="00265486"/>
    <w:rsid w:val="0026772D"/>
    <w:rsid w:val="00270A51"/>
    <w:rsid w:val="00270AF4"/>
    <w:rsid w:val="002714A4"/>
    <w:rsid w:val="00272178"/>
    <w:rsid w:val="0027318A"/>
    <w:rsid w:val="00275002"/>
    <w:rsid w:val="00275927"/>
    <w:rsid w:val="002762EA"/>
    <w:rsid w:val="00276A9F"/>
    <w:rsid w:val="002817AB"/>
    <w:rsid w:val="002828A0"/>
    <w:rsid w:val="00283BF8"/>
    <w:rsid w:val="0028440E"/>
    <w:rsid w:val="0028521F"/>
    <w:rsid w:val="00285B8A"/>
    <w:rsid w:val="00286874"/>
    <w:rsid w:val="00286D68"/>
    <w:rsid w:val="00290C73"/>
    <w:rsid w:val="00291658"/>
    <w:rsid w:val="0029246F"/>
    <w:rsid w:val="002941C1"/>
    <w:rsid w:val="00294653"/>
    <w:rsid w:val="00294D01"/>
    <w:rsid w:val="00296B65"/>
    <w:rsid w:val="00296D07"/>
    <w:rsid w:val="002A0450"/>
    <w:rsid w:val="002A0AF0"/>
    <w:rsid w:val="002A1B5C"/>
    <w:rsid w:val="002A2900"/>
    <w:rsid w:val="002A3B82"/>
    <w:rsid w:val="002A3CF2"/>
    <w:rsid w:val="002A4EF8"/>
    <w:rsid w:val="002A72AE"/>
    <w:rsid w:val="002A7439"/>
    <w:rsid w:val="002A7729"/>
    <w:rsid w:val="002A7C78"/>
    <w:rsid w:val="002A7DEF"/>
    <w:rsid w:val="002B0749"/>
    <w:rsid w:val="002B0DAE"/>
    <w:rsid w:val="002B1949"/>
    <w:rsid w:val="002B1B50"/>
    <w:rsid w:val="002B1CD0"/>
    <w:rsid w:val="002B3B2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5E33"/>
    <w:rsid w:val="002E6254"/>
    <w:rsid w:val="002E64AB"/>
    <w:rsid w:val="002E6E99"/>
    <w:rsid w:val="002E730C"/>
    <w:rsid w:val="002E7557"/>
    <w:rsid w:val="002E7DC5"/>
    <w:rsid w:val="002F02A4"/>
    <w:rsid w:val="002F060B"/>
    <w:rsid w:val="002F16EE"/>
    <w:rsid w:val="002F20C2"/>
    <w:rsid w:val="002F22FD"/>
    <w:rsid w:val="002F2481"/>
    <w:rsid w:val="002F3D02"/>
    <w:rsid w:val="002F4F34"/>
    <w:rsid w:val="002F7986"/>
    <w:rsid w:val="00300C0B"/>
    <w:rsid w:val="00302D83"/>
    <w:rsid w:val="00303F1A"/>
    <w:rsid w:val="0030495F"/>
    <w:rsid w:val="0030576E"/>
    <w:rsid w:val="003061FA"/>
    <w:rsid w:val="003062C2"/>
    <w:rsid w:val="00306DD8"/>
    <w:rsid w:val="003072FB"/>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71B5"/>
    <w:rsid w:val="003274A9"/>
    <w:rsid w:val="0032770E"/>
    <w:rsid w:val="00331264"/>
    <w:rsid w:val="00331DDB"/>
    <w:rsid w:val="00332F5D"/>
    <w:rsid w:val="00333F4A"/>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519"/>
    <w:rsid w:val="00355CDD"/>
    <w:rsid w:val="00355D1A"/>
    <w:rsid w:val="00355D2F"/>
    <w:rsid w:val="00356706"/>
    <w:rsid w:val="00356E72"/>
    <w:rsid w:val="003574A1"/>
    <w:rsid w:val="00361D84"/>
    <w:rsid w:val="003624C2"/>
    <w:rsid w:val="00362ABA"/>
    <w:rsid w:val="003642AD"/>
    <w:rsid w:val="00364EF1"/>
    <w:rsid w:val="00366515"/>
    <w:rsid w:val="00367142"/>
    <w:rsid w:val="003715C8"/>
    <w:rsid w:val="00371F3A"/>
    <w:rsid w:val="003749F7"/>
    <w:rsid w:val="00375E24"/>
    <w:rsid w:val="00376373"/>
    <w:rsid w:val="003769E2"/>
    <w:rsid w:val="00377133"/>
    <w:rsid w:val="00380696"/>
    <w:rsid w:val="003816D4"/>
    <w:rsid w:val="00383C6B"/>
    <w:rsid w:val="003846F1"/>
    <w:rsid w:val="00384A55"/>
    <w:rsid w:val="00384B54"/>
    <w:rsid w:val="00386C86"/>
    <w:rsid w:val="003874F8"/>
    <w:rsid w:val="003904D2"/>
    <w:rsid w:val="00395B4C"/>
    <w:rsid w:val="00397EB2"/>
    <w:rsid w:val="00397FF5"/>
    <w:rsid w:val="003A0810"/>
    <w:rsid w:val="003A0CB8"/>
    <w:rsid w:val="003A1F17"/>
    <w:rsid w:val="003A3E2D"/>
    <w:rsid w:val="003A41E0"/>
    <w:rsid w:val="003A431D"/>
    <w:rsid w:val="003A4B6B"/>
    <w:rsid w:val="003A4D05"/>
    <w:rsid w:val="003A53D5"/>
    <w:rsid w:val="003A585C"/>
    <w:rsid w:val="003A5E58"/>
    <w:rsid w:val="003A7DC0"/>
    <w:rsid w:val="003B069D"/>
    <w:rsid w:val="003B0D56"/>
    <w:rsid w:val="003B1A79"/>
    <w:rsid w:val="003B282E"/>
    <w:rsid w:val="003B40ED"/>
    <w:rsid w:val="003B4804"/>
    <w:rsid w:val="003B4D9B"/>
    <w:rsid w:val="003B5231"/>
    <w:rsid w:val="003B5D14"/>
    <w:rsid w:val="003B6F90"/>
    <w:rsid w:val="003B7D71"/>
    <w:rsid w:val="003C0710"/>
    <w:rsid w:val="003C16AA"/>
    <w:rsid w:val="003C24A9"/>
    <w:rsid w:val="003C2A86"/>
    <w:rsid w:val="003C2B22"/>
    <w:rsid w:val="003C2BC1"/>
    <w:rsid w:val="003C30E5"/>
    <w:rsid w:val="003C3C98"/>
    <w:rsid w:val="003C3D77"/>
    <w:rsid w:val="003C62E9"/>
    <w:rsid w:val="003C6315"/>
    <w:rsid w:val="003C7164"/>
    <w:rsid w:val="003C7EFA"/>
    <w:rsid w:val="003D4F14"/>
    <w:rsid w:val="003D5258"/>
    <w:rsid w:val="003D62D9"/>
    <w:rsid w:val="003E1341"/>
    <w:rsid w:val="003E19A2"/>
    <w:rsid w:val="003E309F"/>
    <w:rsid w:val="003E3C33"/>
    <w:rsid w:val="003E47DC"/>
    <w:rsid w:val="003E521D"/>
    <w:rsid w:val="003E74FF"/>
    <w:rsid w:val="003E78A9"/>
    <w:rsid w:val="003F004E"/>
    <w:rsid w:val="003F0289"/>
    <w:rsid w:val="003F3672"/>
    <w:rsid w:val="003F3CA9"/>
    <w:rsid w:val="003F4AF9"/>
    <w:rsid w:val="003F54CB"/>
    <w:rsid w:val="003F57F1"/>
    <w:rsid w:val="003F5F74"/>
    <w:rsid w:val="003F66C5"/>
    <w:rsid w:val="003F747A"/>
    <w:rsid w:val="003F75C8"/>
    <w:rsid w:val="00401B53"/>
    <w:rsid w:val="00402142"/>
    <w:rsid w:val="00403473"/>
    <w:rsid w:val="004034C5"/>
    <w:rsid w:val="00404492"/>
    <w:rsid w:val="00404504"/>
    <w:rsid w:val="00405B42"/>
    <w:rsid w:val="0040684C"/>
    <w:rsid w:val="00407337"/>
    <w:rsid w:val="00410937"/>
    <w:rsid w:val="00411897"/>
    <w:rsid w:val="00412176"/>
    <w:rsid w:val="00412DB2"/>
    <w:rsid w:val="00414488"/>
    <w:rsid w:val="00414EA6"/>
    <w:rsid w:val="00414F6E"/>
    <w:rsid w:val="00415788"/>
    <w:rsid w:val="004157C0"/>
    <w:rsid w:val="00416641"/>
    <w:rsid w:val="004176E8"/>
    <w:rsid w:val="00420AA9"/>
    <w:rsid w:val="00421154"/>
    <w:rsid w:val="0042429B"/>
    <w:rsid w:val="00424809"/>
    <w:rsid w:val="004253D6"/>
    <w:rsid w:val="00425E38"/>
    <w:rsid w:val="004269FF"/>
    <w:rsid w:val="004303EE"/>
    <w:rsid w:val="00432B5B"/>
    <w:rsid w:val="00433242"/>
    <w:rsid w:val="00436B54"/>
    <w:rsid w:val="00436F76"/>
    <w:rsid w:val="00440D85"/>
    <w:rsid w:val="0044110C"/>
    <w:rsid w:val="00441A99"/>
    <w:rsid w:val="00442767"/>
    <w:rsid w:val="00444A48"/>
    <w:rsid w:val="0044748A"/>
    <w:rsid w:val="00450611"/>
    <w:rsid w:val="004507A1"/>
    <w:rsid w:val="0045129B"/>
    <w:rsid w:val="004518EA"/>
    <w:rsid w:val="00451DFF"/>
    <w:rsid w:val="00453327"/>
    <w:rsid w:val="00453A41"/>
    <w:rsid w:val="00456C20"/>
    <w:rsid w:val="00462CFF"/>
    <w:rsid w:val="00463932"/>
    <w:rsid w:val="00465210"/>
    <w:rsid w:val="0046790A"/>
    <w:rsid w:val="0047014C"/>
    <w:rsid w:val="00470AF4"/>
    <w:rsid w:val="00470EE9"/>
    <w:rsid w:val="0047130B"/>
    <w:rsid w:val="00471992"/>
    <w:rsid w:val="00471E68"/>
    <w:rsid w:val="0047237E"/>
    <w:rsid w:val="0047251B"/>
    <w:rsid w:val="0047346C"/>
    <w:rsid w:val="004740D3"/>
    <w:rsid w:val="00477821"/>
    <w:rsid w:val="0048018F"/>
    <w:rsid w:val="00480B4B"/>
    <w:rsid w:val="00480DA9"/>
    <w:rsid w:val="004819B1"/>
    <w:rsid w:val="004831F8"/>
    <w:rsid w:val="004835FB"/>
    <w:rsid w:val="00484D9C"/>
    <w:rsid w:val="00485752"/>
    <w:rsid w:val="00485DC4"/>
    <w:rsid w:val="0048690A"/>
    <w:rsid w:val="00487C10"/>
    <w:rsid w:val="00491631"/>
    <w:rsid w:val="004923CD"/>
    <w:rsid w:val="00492A06"/>
    <w:rsid w:val="0049337E"/>
    <w:rsid w:val="00493B02"/>
    <w:rsid w:val="00494036"/>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412"/>
    <w:rsid w:val="004B5B3F"/>
    <w:rsid w:val="004C28B2"/>
    <w:rsid w:val="004C348C"/>
    <w:rsid w:val="004C4E90"/>
    <w:rsid w:val="004C63B9"/>
    <w:rsid w:val="004C6486"/>
    <w:rsid w:val="004C6C5B"/>
    <w:rsid w:val="004C7D3A"/>
    <w:rsid w:val="004D1774"/>
    <w:rsid w:val="004D1D1A"/>
    <w:rsid w:val="004D2A5B"/>
    <w:rsid w:val="004D4A76"/>
    <w:rsid w:val="004D5447"/>
    <w:rsid w:val="004D55BA"/>
    <w:rsid w:val="004E0F0F"/>
    <w:rsid w:val="004E1B1C"/>
    <w:rsid w:val="004E1E95"/>
    <w:rsid w:val="004E34E7"/>
    <w:rsid w:val="004E38D9"/>
    <w:rsid w:val="004E4142"/>
    <w:rsid w:val="004E567F"/>
    <w:rsid w:val="004E6AFC"/>
    <w:rsid w:val="004E70CA"/>
    <w:rsid w:val="004E755C"/>
    <w:rsid w:val="004E7D10"/>
    <w:rsid w:val="004F171D"/>
    <w:rsid w:val="004F18F3"/>
    <w:rsid w:val="004F5381"/>
    <w:rsid w:val="004F6D0A"/>
    <w:rsid w:val="004F6ED0"/>
    <w:rsid w:val="00501B85"/>
    <w:rsid w:val="0050244E"/>
    <w:rsid w:val="00502843"/>
    <w:rsid w:val="00502D42"/>
    <w:rsid w:val="00502F3B"/>
    <w:rsid w:val="005033F6"/>
    <w:rsid w:val="005047F1"/>
    <w:rsid w:val="00505B5E"/>
    <w:rsid w:val="00510A43"/>
    <w:rsid w:val="0051195C"/>
    <w:rsid w:val="005177C0"/>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611E"/>
    <w:rsid w:val="0054102B"/>
    <w:rsid w:val="0054173F"/>
    <w:rsid w:val="00541B82"/>
    <w:rsid w:val="0054254C"/>
    <w:rsid w:val="0054313C"/>
    <w:rsid w:val="00543544"/>
    <w:rsid w:val="00543945"/>
    <w:rsid w:val="00543BEC"/>
    <w:rsid w:val="00544C6F"/>
    <w:rsid w:val="00545077"/>
    <w:rsid w:val="005479BB"/>
    <w:rsid w:val="00547DC4"/>
    <w:rsid w:val="005502E7"/>
    <w:rsid w:val="00551739"/>
    <w:rsid w:val="00552108"/>
    <w:rsid w:val="0055298D"/>
    <w:rsid w:val="00552DA2"/>
    <w:rsid w:val="00554D95"/>
    <w:rsid w:val="00555667"/>
    <w:rsid w:val="005556B9"/>
    <w:rsid w:val="00556553"/>
    <w:rsid w:val="00556B64"/>
    <w:rsid w:val="005575B9"/>
    <w:rsid w:val="00560CE5"/>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183"/>
    <w:rsid w:val="00582446"/>
    <w:rsid w:val="005839B3"/>
    <w:rsid w:val="00584D8F"/>
    <w:rsid w:val="00585D42"/>
    <w:rsid w:val="0058645E"/>
    <w:rsid w:val="0059050D"/>
    <w:rsid w:val="005943E8"/>
    <w:rsid w:val="005950AB"/>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838"/>
    <w:rsid w:val="005B0EF5"/>
    <w:rsid w:val="005B1402"/>
    <w:rsid w:val="005B1E3C"/>
    <w:rsid w:val="005B4810"/>
    <w:rsid w:val="005B4C44"/>
    <w:rsid w:val="005B62AF"/>
    <w:rsid w:val="005B6FC9"/>
    <w:rsid w:val="005B7F8F"/>
    <w:rsid w:val="005C08DE"/>
    <w:rsid w:val="005C26CC"/>
    <w:rsid w:val="005C3411"/>
    <w:rsid w:val="005C3D54"/>
    <w:rsid w:val="005C3DEC"/>
    <w:rsid w:val="005C4E3D"/>
    <w:rsid w:val="005C4F80"/>
    <w:rsid w:val="005C53C0"/>
    <w:rsid w:val="005C546A"/>
    <w:rsid w:val="005C553B"/>
    <w:rsid w:val="005C592F"/>
    <w:rsid w:val="005C5D2E"/>
    <w:rsid w:val="005C5E72"/>
    <w:rsid w:val="005D0F07"/>
    <w:rsid w:val="005D24A9"/>
    <w:rsid w:val="005D2FBD"/>
    <w:rsid w:val="005D5ECD"/>
    <w:rsid w:val="005D6509"/>
    <w:rsid w:val="005D69AF"/>
    <w:rsid w:val="005E0B7E"/>
    <w:rsid w:val="005E2086"/>
    <w:rsid w:val="005E343A"/>
    <w:rsid w:val="005E4EB1"/>
    <w:rsid w:val="005E6DAF"/>
    <w:rsid w:val="005E6FFA"/>
    <w:rsid w:val="005E7718"/>
    <w:rsid w:val="005F0661"/>
    <w:rsid w:val="005F0CD5"/>
    <w:rsid w:val="005F37A9"/>
    <w:rsid w:val="005F59D5"/>
    <w:rsid w:val="005F6668"/>
    <w:rsid w:val="005F69C4"/>
    <w:rsid w:val="005F6ADE"/>
    <w:rsid w:val="005F702C"/>
    <w:rsid w:val="005F7247"/>
    <w:rsid w:val="00600B2D"/>
    <w:rsid w:val="00601705"/>
    <w:rsid w:val="0060272B"/>
    <w:rsid w:val="00602A58"/>
    <w:rsid w:val="00602BFF"/>
    <w:rsid w:val="00603914"/>
    <w:rsid w:val="00604DB6"/>
    <w:rsid w:val="006057DD"/>
    <w:rsid w:val="006074A3"/>
    <w:rsid w:val="00607BA0"/>
    <w:rsid w:val="00610304"/>
    <w:rsid w:val="00612006"/>
    <w:rsid w:val="00612702"/>
    <w:rsid w:val="00612FE8"/>
    <w:rsid w:val="00613324"/>
    <w:rsid w:val="00613DEC"/>
    <w:rsid w:val="00615619"/>
    <w:rsid w:val="00615C6B"/>
    <w:rsid w:val="00616CEC"/>
    <w:rsid w:val="0061761A"/>
    <w:rsid w:val="00620B1B"/>
    <w:rsid w:val="00621545"/>
    <w:rsid w:val="0062525D"/>
    <w:rsid w:val="00626A3A"/>
    <w:rsid w:val="00626E1A"/>
    <w:rsid w:val="00627B2D"/>
    <w:rsid w:val="0063066D"/>
    <w:rsid w:val="006309A2"/>
    <w:rsid w:val="00630A15"/>
    <w:rsid w:val="00631560"/>
    <w:rsid w:val="006319C1"/>
    <w:rsid w:val="00631C80"/>
    <w:rsid w:val="00631E89"/>
    <w:rsid w:val="00632D6D"/>
    <w:rsid w:val="00634D01"/>
    <w:rsid w:val="0063567F"/>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3DAD"/>
    <w:rsid w:val="00664083"/>
    <w:rsid w:val="00665ACC"/>
    <w:rsid w:val="00666226"/>
    <w:rsid w:val="0067092D"/>
    <w:rsid w:val="0067180B"/>
    <w:rsid w:val="00673D15"/>
    <w:rsid w:val="006741D4"/>
    <w:rsid w:val="00675C7F"/>
    <w:rsid w:val="00675E21"/>
    <w:rsid w:val="00676392"/>
    <w:rsid w:val="00676679"/>
    <w:rsid w:val="00677233"/>
    <w:rsid w:val="006777D7"/>
    <w:rsid w:val="00681479"/>
    <w:rsid w:val="0068251F"/>
    <w:rsid w:val="00682A0D"/>
    <w:rsid w:val="006836D7"/>
    <w:rsid w:val="00684647"/>
    <w:rsid w:val="00684E01"/>
    <w:rsid w:val="006861F0"/>
    <w:rsid w:val="00686411"/>
    <w:rsid w:val="00687AA8"/>
    <w:rsid w:val="00690F0B"/>
    <w:rsid w:val="00694FD6"/>
    <w:rsid w:val="0069547C"/>
    <w:rsid w:val="006956EC"/>
    <w:rsid w:val="00696FCB"/>
    <w:rsid w:val="006A0411"/>
    <w:rsid w:val="006A20CE"/>
    <w:rsid w:val="006A21CD"/>
    <w:rsid w:val="006A35B0"/>
    <w:rsid w:val="006A698D"/>
    <w:rsid w:val="006A6EDD"/>
    <w:rsid w:val="006A7C64"/>
    <w:rsid w:val="006B0C7B"/>
    <w:rsid w:val="006B3202"/>
    <w:rsid w:val="006B32F3"/>
    <w:rsid w:val="006B4CF9"/>
    <w:rsid w:val="006B6CC3"/>
    <w:rsid w:val="006B72C5"/>
    <w:rsid w:val="006B77F5"/>
    <w:rsid w:val="006B7AC8"/>
    <w:rsid w:val="006C1813"/>
    <w:rsid w:val="006C196C"/>
    <w:rsid w:val="006C1E8B"/>
    <w:rsid w:val="006C1F0C"/>
    <w:rsid w:val="006C2373"/>
    <w:rsid w:val="006C318F"/>
    <w:rsid w:val="006C3620"/>
    <w:rsid w:val="006C41C4"/>
    <w:rsid w:val="006C447D"/>
    <w:rsid w:val="006C4534"/>
    <w:rsid w:val="006C5B09"/>
    <w:rsid w:val="006C62B7"/>
    <w:rsid w:val="006D0C1E"/>
    <w:rsid w:val="006D1D94"/>
    <w:rsid w:val="006D3561"/>
    <w:rsid w:val="006D38CE"/>
    <w:rsid w:val="006D44B4"/>
    <w:rsid w:val="006D550F"/>
    <w:rsid w:val="006D5B9F"/>
    <w:rsid w:val="006D6001"/>
    <w:rsid w:val="006D6AE2"/>
    <w:rsid w:val="006D6B47"/>
    <w:rsid w:val="006D7923"/>
    <w:rsid w:val="006E1E7D"/>
    <w:rsid w:val="006E218F"/>
    <w:rsid w:val="006E244A"/>
    <w:rsid w:val="006E5F3E"/>
    <w:rsid w:val="006E78CF"/>
    <w:rsid w:val="006F0601"/>
    <w:rsid w:val="006F0B74"/>
    <w:rsid w:val="006F0D76"/>
    <w:rsid w:val="006F1044"/>
    <w:rsid w:val="006F222A"/>
    <w:rsid w:val="006F3750"/>
    <w:rsid w:val="006F393C"/>
    <w:rsid w:val="006F3C98"/>
    <w:rsid w:val="006F3FCB"/>
    <w:rsid w:val="006F48AA"/>
    <w:rsid w:val="006F4C38"/>
    <w:rsid w:val="006F4D5B"/>
    <w:rsid w:val="006F6C2D"/>
    <w:rsid w:val="00700DAB"/>
    <w:rsid w:val="00701CAB"/>
    <w:rsid w:val="007037F6"/>
    <w:rsid w:val="00704518"/>
    <w:rsid w:val="00704CA4"/>
    <w:rsid w:val="00707011"/>
    <w:rsid w:val="00707242"/>
    <w:rsid w:val="00707563"/>
    <w:rsid w:val="0071151C"/>
    <w:rsid w:val="00711BF6"/>
    <w:rsid w:val="00712D03"/>
    <w:rsid w:val="00716355"/>
    <w:rsid w:val="0071735A"/>
    <w:rsid w:val="007200F4"/>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6D5"/>
    <w:rsid w:val="00743223"/>
    <w:rsid w:val="00746063"/>
    <w:rsid w:val="00746E01"/>
    <w:rsid w:val="00747D2F"/>
    <w:rsid w:val="0075017A"/>
    <w:rsid w:val="00751821"/>
    <w:rsid w:val="007532DD"/>
    <w:rsid w:val="00753ADA"/>
    <w:rsid w:val="007600A5"/>
    <w:rsid w:val="00760FD8"/>
    <w:rsid w:val="007612E9"/>
    <w:rsid w:val="00761409"/>
    <w:rsid w:val="007618A3"/>
    <w:rsid w:val="00762D41"/>
    <w:rsid w:val="00763E5D"/>
    <w:rsid w:val="00764468"/>
    <w:rsid w:val="00764C7F"/>
    <w:rsid w:val="007666AC"/>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9277A"/>
    <w:rsid w:val="0079310A"/>
    <w:rsid w:val="007959E7"/>
    <w:rsid w:val="0079631B"/>
    <w:rsid w:val="00796C78"/>
    <w:rsid w:val="00796D6A"/>
    <w:rsid w:val="007A0FFE"/>
    <w:rsid w:val="007A1135"/>
    <w:rsid w:val="007A1428"/>
    <w:rsid w:val="007A1AB0"/>
    <w:rsid w:val="007A33E8"/>
    <w:rsid w:val="007A3A5D"/>
    <w:rsid w:val="007A6572"/>
    <w:rsid w:val="007A6656"/>
    <w:rsid w:val="007A7264"/>
    <w:rsid w:val="007B1732"/>
    <w:rsid w:val="007B2C72"/>
    <w:rsid w:val="007B3F68"/>
    <w:rsid w:val="007B497F"/>
    <w:rsid w:val="007B57F8"/>
    <w:rsid w:val="007B5B65"/>
    <w:rsid w:val="007B742A"/>
    <w:rsid w:val="007B78AB"/>
    <w:rsid w:val="007C0679"/>
    <w:rsid w:val="007C1C53"/>
    <w:rsid w:val="007C2EE8"/>
    <w:rsid w:val="007C62FE"/>
    <w:rsid w:val="007C6FE2"/>
    <w:rsid w:val="007C7930"/>
    <w:rsid w:val="007D00F6"/>
    <w:rsid w:val="007D1133"/>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2BBD"/>
    <w:rsid w:val="007F2D03"/>
    <w:rsid w:val="007F3B2C"/>
    <w:rsid w:val="007F3D64"/>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44B4"/>
    <w:rsid w:val="008344F6"/>
    <w:rsid w:val="0083510F"/>
    <w:rsid w:val="008366CD"/>
    <w:rsid w:val="00836890"/>
    <w:rsid w:val="00837C0C"/>
    <w:rsid w:val="00840C6C"/>
    <w:rsid w:val="00840D87"/>
    <w:rsid w:val="00840FCC"/>
    <w:rsid w:val="00843C59"/>
    <w:rsid w:val="008445D3"/>
    <w:rsid w:val="00845396"/>
    <w:rsid w:val="00847ED9"/>
    <w:rsid w:val="00850C5A"/>
    <w:rsid w:val="00851209"/>
    <w:rsid w:val="0085188E"/>
    <w:rsid w:val="00851B46"/>
    <w:rsid w:val="00852B3D"/>
    <w:rsid w:val="008556A5"/>
    <w:rsid w:val="00855D1C"/>
    <w:rsid w:val="00856965"/>
    <w:rsid w:val="00857917"/>
    <w:rsid w:val="0086123D"/>
    <w:rsid w:val="00861AED"/>
    <w:rsid w:val="00862467"/>
    <w:rsid w:val="00864A9F"/>
    <w:rsid w:val="00865749"/>
    <w:rsid w:val="00867506"/>
    <w:rsid w:val="008707C1"/>
    <w:rsid w:val="00870903"/>
    <w:rsid w:val="00871F42"/>
    <w:rsid w:val="0087280A"/>
    <w:rsid w:val="0087308C"/>
    <w:rsid w:val="00873B1F"/>
    <w:rsid w:val="0087479D"/>
    <w:rsid w:val="00882E1D"/>
    <w:rsid w:val="008837AC"/>
    <w:rsid w:val="00883FB8"/>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668B"/>
    <w:rsid w:val="008D6AC3"/>
    <w:rsid w:val="008E1B1B"/>
    <w:rsid w:val="008E1E8E"/>
    <w:rsid w:val="008E2316"/>
    <w:rsid w:val="008E2C54"/>
    <w:rsid w:val="008E3AAC"/>
    <w:rsid w:val="008E535A"/>
    <w:rsid w:val="008E6CAE"/>
    <w:rsid w:val="008E7031"/>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A78"/>
    <w:rsid w:val="00903CF6"/>
    <w:rsid w:val="009057E0"/>
    <w:rsid w:val="009064FC"/>
    <w:rsid w:val="0091130F"/>
    <w:rsid w:val="00913C7D"/>
    <w:rsid w:val="00914975"/>
    <w:rsid w:val="00914A87"/>
    <w:rsid w:val="00915BFF"/>
    <w:rsid w:val="0091710E"/>
    <w:rsid w:val="00921066"/>
    <w:rsid w:val="00921957"/>
    <w:rsid w:val="00922ACF"/>
    <w:rsid w:val="009233EE"/>
    <w:rsid w:val="00924207"/>
    <w:rsid w:val="0092422F"/>
    <w:rsid w:val="00925ADD"/>
    <w:rsid w:val="00927426"/>
    <w:rsid w:val="0092748A"/>
    <w:rsid w:val="00927738"/>
    <w:rsid w:val="0093233D"/>
    <w:rsid w:val="00932606"/>
    <w:rsid w:val="009335AE"/>
    <w:rsid w:val="00933B55"/>
    <w:rsid w:val="00935408"/>
    <w:rsid w:val="00936740"/>
    <w:rsid w:val="009377D8"/>
    <w:rsid w:val="00940393"/>
    <w:rsid w:val="0094150C"/>
    <w:rsid w:val="00941C1B"/>
    <w:rsid w:val="00942863"/>
    <w:rsid w:val="00944863"/>
    <w:rsid w:val="009456B7"/>
    <w:rsid w:val="009456DC"/>
    <w:rsid w:val="0094643C"/>
    <w:rsid w:val="00947919"/>
    <w:rsid w:val="00950B15"/>
    <w:rsid w:val="0095158D"/>
    <w:rsid w:val="00952CF7"/>
    <w:rsid w:val="00953534"/>
    <w:rsid w:val="00953576"/>
    <w:rsid w:val="009540FA"/>
    <w:rsid w:val="00956C19"/>
    <w:rsid w:val="00957591"/>
    <w:rsid w:val="0095772E"/>
    <w:rsid w:val="0096061C"/>
    <w:rsid w:val="00960AC5"/>
    <w:rsid w:val="00960C83"/>
    <w:rsid w:val="00963053"/>
    <w:rsid w:val="00963B7A"/>
    <w:rsid w:val="00963EC7"/>
    <w:rsid w:val="009661DE"/>
    <w:rsid w:val="009709BF"/>
    <w:rsid w:val="009721AF"/>
    <w:rsid w:val="00972A40"/>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BC"/>
    <w:rsid w:val="00991732"/>
    <w:rsid w:val="009920D2"/>
    <w:rsid w:val="009928BC"/>
    <w:rsid w:val="009937B4"/>
    <w:rsid w:val="0099572C"/>
    <w:rsid w:val="00996498"/>
    <w:rsid w:val="009A090B"/>
    <w:rsid w:val="009A0A73"/>
    <w:rsid w:val="009A0EDF"/>
    <w:rsid w:val="009A14D0"/>
    <w:rsid w:val="009A3D22"/>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1895"/>
    <w:rsid w:val="009D3016"/>
    <w:rsid w:val="009D30B3"/>
    <w:rsid w:val="009D3902"/>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806"/>
    <w:rsid w:val="009F4940"/>
    <w:rsid w:val="009F5217"/>
    <w:rsid w:val="00A041F4"/>
    <w:rsid w:val="00A04451"/>
    <w:rsid w:val="00A04F9F"/>
    <w:rsid w:val="00A057D1"/>
    <w:rsid w:val="00A05BED"/>
    <w:rsid w:val="00A06AD1"/>
    <w:rsid w:val="00A11053"/>
    <w:rsid w:val="00A1210E"/>
    <w:rsid w:val="00A159BF"/>
    <w:rsid w:val="00A15E40"/>
    <w:rsid w:val="00A16DAF"/>
    <w:rsid w:val="00A16F26"/>
    <w:rsid w:val="00A20EEB"/>
    <w:rsid w:val="00A21F54"/>
    <w:rsid w:val="00A2302C"/>
    <w:rsid w:val="00A25353"/>
    <w:rsid w:val="00A2563F"/>
    <w:rsid w:val="00A26739"/>
    <w:rsid w:val="00A26C2F"/>
    <w:rsid w:val="00A30B76"/>
    <w:rsid w:val="00A31252"/>
    <w:rsid w:val="00A35169"/>
    <w:rsid w:val="00A3632A"/>
    <w:rsid w:val="00A37951"/>
    <w:rsid w:val="00A42006"/>
    <w:rsid w:val="00A432BC"/>
    <w:rsid w:val="00A433FB"/>
    <w:rsid w:val="00A441EA"/>
    <w:rsid w:val="00A4478A"/>
    <w:rsid w:val="00A44852"/>
    <w:rsid w:val="00A45EAC"/>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334D"/>
    <w:rsid w:val="00A75AAA"/>
    <w:rsid w:val="00A77B76"/>
    <w:rsid w:val="00A81710"/>
    <w:rsid w:val="00A81EF8"/>
    <w:rsid w:val="00A8219E"/>
    <w:rsid w:val="00A82325"/>
    <w:rsid w:val="00A84107"/>
    <w:rsid w:val="00A84E2D"/>
    <w:rsid w:val="00A84F46"/>
    <w:rsid w:val="00A85DE3"/>
    <w:rsid w:val="00A871F4"/>
    <w:rsid w:val="00A87F90"/>
    <w:rsid w:val="00A912B1"/>
    <w:rsid w:val="00A91A4B"/>
    <w:rsid w:val="00A923DD"/>
    <w:rsid w:val="00A93139"/>
    <w:rsid w:val="00A9455D"/>
    <w:rsid w:val="00A94D89"/>
    <w:rsid w:val="00A956AD"/>
    <w:rsid w:val="00A96CE0"/>
    <w:rsid w:val="00A971A0"/>
    <w:rsid w:val="00AA0C1B"/>
    <w:rsid w:val="00AA0CEB"/>
    <w:rsid w:val="00AA12D3"/>
    <w:rsid w:val="00AA39C0"/>
    <w:rsid w:val="00AA3A2C"/>
    <w:rsid w:val="00AA476F"/>
    <w:rsid w:val="00AA649A"/>
    <w:rsid w:val="00AA73F0"/>
    <w:rsid w:val="00AB1500"/>
    <w:rsid w:val="00AB1CC2"/>
    <w:rsid w:val="00AB6478"/>
    <w:rsid w:val="00AB6927"/>
    <w:rsid w:val="00AB6AF1"/>
    <w:rsid w:val="00AC0FE9"/>
    <w:rsid w:val="00AC1491"/>
    <w:rsid w:val="00AC1B2C"/>
    <w:rsid w:val="00AC1CF3"/>
    <w:rsid w:val="00AC242C"/>
    <w:rsid w:val="00AC3264"/>
    <w:rsid w:val="00AC48DA"/>
    <w:rsid w:val="00AC5548"/>
    <w:rsid w:val="00AC5B96"/>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BD3"/>
    <w:rsid w:val="00B02ED5"/>
    <w:rsid w:val="00B03817"/>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2EC8"/>
    <w:rsid w:val="00B55C24"/>
    <w:rsid w:val="00B56CF6"/>
    <w:rsid w:val="00B56E03"/>
    <w:rsid w:val="00B6278D"/>
    <w:rsid w:val="00B62BB5"/>
    <w:rsid w:val="00B63E2C"/>
    <w:rsid w:val="00B64DF7"/>
    <w:rsid w:val="00B652AF"/>
    <w:rsid w:val="00B65ABB"/>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4260"/>
    <w:rsid w:val="00B956D7"/>
    <w:rsid w:val="00BA1F27"/>
    <w:rsid w:val="00BA2E61"/>
    <w:rsid w:val="00BA390A"/>
    <w:rsid w:val="00BA3992"/>
    <w:rsid w:val="00BA4665"/>
    <w:rsid w:val="00BA50DC"/>
    <w:rsid w:val="00BA5D97"/>
    <w:rsid w:val="00BA621C"/>
    <w:rsid w:val="00BB127C"/>
    <w:rsid w:val="00BB20BA"/>
    <w:rsid w:val="00BB2FB2"/>
    <w:rsid w:val="00BB3304"/>
    <w:rsid w:val="00BB4732"/>
    <w:rsid w:val="00BB51C2"/>
    <w:rsid w:val="00BB6815"/>
    <w:rsid w:val="00BB7780"/>
    <w:rsid w:val="00BC03BC"/>
    <w:rsid w:val="00BC1B6B"/>
    <w:rsid w:val="00BC4B2E"/>
    <w:rsid w:val="00BC4CD2"/>
    <w:rsid w:val="00BC5D4F"/>
    <w:rsid w:val="00BC5E1C"/>
    <w:rsid w:val="00BC614B"/>
    <w:rsid w:val="00BC62A5"/>
    <w:rsid w:val="00BC6398"/>
    <w:rsid w:val="00BC675F"/>
    <w:rsid w:val="00BC6DF0"/>
    <w:rsid w:val="00BD0BD0"/>
    <w:rsid w:val="00BD10B4"/>
    <w:rsid w:val="00BD10D7"/>
    <w:rsid w:val="00BD1AD7"/>
    <w:rsid w:val="00BD1BCA"/>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7DBC"/>
    <w:rsid w:val="00BE7DFF"/>
    <w:rsid w:val="00BE7F9E"/>
    <w:rsid w:val="00BF19CB"/>
    <w:rsid w:val="00BF1BF5"/>
    <w:rsid w:val="00BF1E45"/>
    <w:rsid w:val="00BF2274"/>
    <w:rsid w:val="00BF295F"/>
    <w:rsid w:val="00BF4639"/>
    <w:rsid w:val="00BF6004"/>
    <w:rsid w:val="00BF65C1"/>
    <w:rsid w:val="00BF771C"/>
    <w:rsid w:val="00C004FD"/>
    <w:rsid w:val="00C008E0"/>
    <w:rsid w:val="00C008FE"/>
    <w:rsid w:val="00C01734"/>
    <w:rsid w:val="00C024A5"/>
    <w:rsid w:val="00C030BB"/>
    <w:rsid w:val="00C03C71"/>
    <w:rsid w:val="00C04914"/>
    <w:rsid w:val="00C05C48"/>
    <w:rsid w:val="00C064A7"/>
    <w:rsid w:val="00C075A3"/>
    <w:rsid w:val="00C07A89"/>
    <w:rsid w:val="00C101F2"/>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38EB"/>
    <w:rsid w:val="00C24398"/>
    <w:rsid w:val="00C248B1"/>
    <w:rsid w:val="00C24CDC"/>
    <w:rsid w:val="00C25A9A"/>
    <w:rsid w:val="00C273A6"/>
    <w:rsid w:val="00C30BBE"/>
    <w:rsid w:val="00C33370"/>
    <w:rsid w:val="00C3355D"/>
    <w:rsid w:val="00C33EE6"/>
    <w:rsid w:val="00C34065"/>
    <w:rsid w:val="00C345D6"/>
    <w:rsid w:val="00C35876"/>
    <w:rsid w:val="00C35BA6"/>
    <w:rsid w:val="00C361EB"/>
    <w:rsid w:val="00C41237"/>
    <w:rsid w:val="00C420D7"/>
    <w:rsid w:val="00C420EB"/>
    <w:rsid w:val="00C43065"/>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72E0"/>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867"/>
    <w:rsid w:val="00C91830"/>
    <w:rsid w:val="00C9478B"/>
    <w:rsid w:val="00C94A8E"/>
    <w:rsid w:val="00C950AF"/>
    <w:rsid w:val="00C9660A"/>
    <w:rsid w:val="00C96A92"/>
    <w:rsid w:val="00CA04F2"/>
    <w:rsid w:val="00CA0ECB"/>
    <w:rsid w:val="00CA4EE0"/>
    <w:rsid w:val="00CA51FE"/>
    <w:rsid w:val="00CA771A"/>
    <w:rsid w:val="00CA7D3F"/>
    <w:rsid w:val="00CB0FA5"/>
    <w:rsid w:val="00CB34AC"/>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D5338"/>
    <w:rsid w:val="00CE0074"/>
    <w:rsid w:val="00CE0A5F"/>
    <w:rsid w:val="00CE15A5"/>
    <w:rsid w:val="00CE1831"/>
    <w:rsid w:val="00CE1B68"/>
    <w:rsid w:val="00CE2DD3"/>
    <w:rsid w:val="00CE4B01"/>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773B"/>
    <w:rsid w:val="00D2067B"/>
    <w:rsid w:val="00D22BD4"/>
    <w:rsid w:val="00D22E23"/>
    <w:rsid w:val="00D2306D"/>
    <w:rsid w:val="00D250AC"/>
    <w:rsid w:val="00D270E1"/>
    <w:rsid w:val="00D323D0"/>
    <w:rsid w:val="00D32767"/>
    <w:rsid w:val="00D33489"/>
    <w:rsid w:val="00D372FA"/>
    <w:rsid w:val="00D40B44"/>
    <w:rsid w:val="00D41EB0"/>
    <w:rsid w:val="00D42ECE"/>
    <w:rsid w:val="00D43232"/>
    <w:rsid w:val="00D43663"/>
    <w:rsid w:val="00D43C03"/>
    <w:rsid w:val="00D44037"/>
    <w:rsid w:val="00D4594F"/>
    <w:rsid w:val="00D4681D"/>
    <w:rsid w:val="00D46841"/>
    <w:rsid w:val="00D510A2"/>
    <w:rsid w:val="00D5111E"/>
    <w:rsid w:val="00D5124C"/>
    <w:rsid w:val="00D53F55"/>
    <w:rsid w:val="00D60387"/>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971"/>
    <w:rsid w:val="00D77C40"/>
    <w:rsid w:val="00D80893"/>
    <w:rsid w:val="00D81B2D"/>
    <w:rsid w:val="00D839A7"/>
    <w:rsid w:val="00D83BFF"/>
    <w:rsid w:val="00D83DD9"/>
    <w:rsid w:val="00D84797"/>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BC2"/>
    <w:rsid w:val="00DA6816"/>
    <w:rsid w:val="00DA72EB"/>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F02A4"/>
    <w:rsid w:val="00DF0714"/>
    <w:rsid w:val="00DF13A6"/>
    <w:rsid w:val="00DF1C55"/>
    <w:rsid w:val="00DF2298"/>
    <w:rsid w:val="00DF2934"/>
    <w:rsid w:val="00DF2D42"/>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3056"/>
    <w:rsid w:val="00E13280"/>
    <w:rsid w:val="00E135DB"/>
    <w:rsid w:val="00E13C85"/>
    <w:rsid w:val="00E15B15"/>
    <w:rsid w:val="00E176EC"/>
    <w:rsid w:val="00E17E20"/>
    <w:rsid w:val="00E214E9"/>
    <w:rsid w:val="00E227A4"/>
    <w:rsid w:val="00E2374E"/>
    <w:rsid w:val="00E23993"/>
    <w:rsid w:val="00E247D2"/>
    <w:rsid w:val="00E24D12"/>
    <w:rsid w:val="00E2504E"/>
    <w:rsid w:val="00E25B8C"/>
    <w:rsid w:val="00E25F40"/>
    <w:rsid w:val="00E274E8"/>
    <w:rsid w:val="00E275E5"/>
    <w:rsid w:val="00E276DD"/>
    <w:rsid w:val="00E3050B"/>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805CC"/>
    <w:rsid w:val="00E809F7"/>
    <w:rsid w:val="00E8137D"/>
    <w:rsid w:val="00E823D9"/>
    <w:rsid w:val="00E8569F"/>
    <w:rsid w:val="00E86851"/>
    <w:rsid w:val="00E90A23"/>
    <w:rsid w:val="00E91678"/>
    <w:rsid w:val="00E91BED"/>
    <w:rsid w:val="00E926FC"/>
    <w:rsid w:val="00E936DB"/>
    <w:rsid w:val="00E95CA7"/>
    <w:rsid w:val="00E96EFF"/>
    <w:rsid w:val="00E973CA"/>
    <w:rsid w:val="00EA1DEE"/>
    <w:rsid w:val="00EA3D42"/>
    <w:rsid w:val="00EA4DD9"/>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7EB1"/>
    <w:rsid w:val="00ED399F"/>
    <w:rsid w:val="00ED3C5B"/>
    <w:rsid w:val="00ED4A25"/>
    <w:rsid w:val="00ED5137"/>
    <w:rsid w:val="00ED5530"/>
    <w:rsid w:val="00ED61CA"/>
    <w:rsid w:val="00ED6E24"/>
    <w:rsid w:val="00EE164B"/>
    <w:rsid w:val="00EE28F3"/>
    <w:rsid w:val="00EE347F"/>
    <w:rsid w:val="00EE42C2"/>
    <w:rsid w:val="00EE46CE"/>
    <w:rsid w:val="00EE575A"/>
    <w:rsid w:val="00EE5984"/>
    <w:rsid w:val="00EE6B29"/>
    <w:rsid w:val="00EF013A"/>
    <w:rsid w:val="00EF0E42"/>
    <w:rsid w:val="00EF0FE6"/>
    <w:rsid w:val="00EF1961"/>
    <w:rsid w:val="00EF3FB8"/>
    <w:rsid w:val="00EF48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67CF"/>
    <w:rsid w:val="00F16858"/>
    <w:rsid w:val="00F1785E"/>
    <w:rsid w:val="00F20BD3"/>
    <w:rsid w:val="00F20C14"/>
    <w:rsid w:val="00F219B8"/>
    <w:rsid w:val="00F21BB0"/>
    <w:rsid w:val="00F22856"/>
    <w:rsid w:val="00F247E7"/>
    <w:rsid w:val="00F248D0"/>
    <w:rsid w:val="00F25CF1"/>
    <w:rsid w:val="00F27967"/>
    <w:rsid w:val="00F27EF9"/>
    <w:rsid w:val="00F3008B"/>
    <w:rsid w:val="00F32D35"/>
    <w:rsid w:val="00F336DF"/>
    <w:rsid w:val="00F3401F"/>
    <w:rsid w:val="00F342A8"/>
    <w:rsid w:val="00F35787"/>
    <w:rsid w:val="00F3590E"/>
    <w:rsid w:val="00F35CAA"/>
    <w:rsid w:val="00F36430"/>
    <w:rsid w:val="00F373A5"/>
    <w:rsid w:val="00F376D3"/>
    <w:rsid w:val="00F42DB4"/>
    <w:rsid w:val="00F45B2F"/>
    <w:rsid w:val="00F45C69"/>
    <w:rsid w:val="00F46013"/>
    <w:rsid w:val="00F47559"/>
    <w:rsid w:val="00F50531"/>
    <w:rsid w:val="00F50A7C"/>
    <w:rsid w:val="00F5112C"/>
    <w:rsid w:val="00F536B2"/>
    <w:rsid w:val="00F541D9"/>
    <w:rsid w:val="00F5475E"/>
    <w:rsid w:val="00F55548"/>
    <w:rsid w:val="00F55859"/>
    <w:rsid w:val="00F55C77"/>
    <w:rsid w:val="00F6043C"/>
    <w:rsid w:val="00F60561"/>
    <w:rsid w:val="00F60B34"/>
    <w:rsid w:val="00F61055"/>
    <w:rsid w:val="00F61AA8"/>
    <w:rsid w:val="00F61EEA"/>
    <w:rsid w:val="00F63B85"/>
    <w:rsid w:val="00F64A21"/>
    <w:rsid w:val="00F64A7A"/>
    <w:rsid w:val="00F64C7B"/>
    <w:rsid w:val="00F64F82"/>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1DFF"/>
    <w:rsid w:val="00F835F8"/>
    <w:rsid w:val="00F83FAD"/>
    <w:rsid w:val="00F87EBA"/>
    <w:rsid w:val="00F90705"/>
    <w:rsid w:val="00F908CD"/>
    <w:rsid w:val="00F90A80"/>
    <w:rsid w:val="00F91F06"/>
    <w:rsid w:val="00F93027"/>
    <w:rsid w:val="00F946BA"/>
    <w:rsid w:val="00F94788"/>
    <w:rsid w:val="00F952A0"/>
    <w:rsid w:val="00F965FC"/>
    <w:rsid w:val="00F9786B"/>
    <w:rsid w:val="00FA25D4"/>
    <w:rsid w:val="00FA279B"/>
    <w:rsid w:val="00FA3830"/>
    <w:rsid w:val="00FA3C7F"/>
    <w:rsid w:val="00FA7736"/>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08DA"/>
    <w:rsid w:val="00FC0910"/>
    <w:rsid w:val="00FC0DB9"/>
    <w:rsid w:val="00FC2CBB"/>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CA8"/>
    <w:rsid w:val="00FD5316"/>
    <w:rsid w:val="00FD5614"/>
    <w:rsid w:val="00FD72DC"/>
    <w:rsid w:val="00FE07CB"/>
    <w:rsid w:val="00FE0BE1"/>
    <w:rsid w:val="00FE1DE9"/>
    <w:rsid w:val="00FE292D"/>
    <w:rsid w:val="00FE2E42"/>
    <w:rsid w:val="00FE39C2"/>
    <w:rsid w:val="00FE3E67"/>
    <w:rsid w:val="00FE4B6D"/>
    <w:rsid w:val="00FE602C"/>
    <w:rsid w:val="00FE64AE"/>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3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063C42"/>
    <w:pPr>
      <w:numPr>
        <w:numId w:val="2"/>
      </w:numPr>
      <w:ind w:left="357" w:hanging="357"/>
      <w:jc w:val="both"/>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063C42"/>
    <w:pPr>
      <w:numPr>
        <w:numId w:val="2"/>
      </w:numPr>
      <w:ind w:left="357" w:hanging="357"/>
      <w:jc w:val="both"/>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4C671A-7E88-4382-94EF-DB32812F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E05F1C12</Template>
  <TotalTime>0</TotalTime>
  <Pages>10</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2016-09-28T01:39:00Z</dcterms:created>
  <dcterms:modified xsi:type="dcterms:W3CDTF">2016-09-28T01:39:00Z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\\cdchnas-evs02\home$\adday\20160904 - 20160910 electricity report (D2016-00125227).docx</vt:lpwstr>
  </property>
</Properties>
</file>