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7F59CB3B" wp14:editId="32D692E4">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643B2F" w:rsidP="002A4EF8">
      <w:pPr>
        <w:rPr>
          <w:b/>
          <w:sz w:val="36"/>
          <w:szCs w:val="36"/>
        </w:rPr>
      </w:pPr>
      <w:r>
        <w:rPr>
          <w:b/>
          <w:sz w:val="36"/>
          <w:szCs w:val="36"/>
        </w:rPr>
        <w:t>24</w:t>
      </w:r>
      <w:r w:rsidR="00451DFF">
        <w:rPr>
          <w:b/>
          <w:sz w:val="36"/>
          <w:szCs w:val="36"/>
        </w:rPr>
        <w:t xml:space="preserve"> </w:t>
      </w:r>
      <w:r w:rsidR="00F90A80">
        <w:rPr>
          <w:b/>
          <w:sz w:val="36"/>
          <w:szCs w:val="36"/>
        </w:rPr>
        <w:t xml:space="preserve">– </w:t>
      </w:r>
      <w:r>
        <w:rPr>
          <w:b/>
          <w:sz w:val="36"/>
          <w:szCs w:val="36"/>
        </w:rPr>
        <w:t>30</w:t>
      </w:r>
      <w:r w:rsidR="00BE3F55">
        <w:rPr>
          <w:b/>
          <w:sz w:val="36"/>
          <w:szCs w:val="36"/>
        </w:rPr>
        <w:t xml:space="preserve"> </w:t>
      </w:r>
      <w:r w:rsidR="00451DFF">
        <w:rPr>
          <w:b/>
          <w:sz w:val="36"/>
          <w:szCs w:val="36"/>
        </w:rPr>
        <w:t>July</w:t>
      </w:r>
      <w:r w:rsidR="0011019A">
        <w:rPr>
          <w:b/>
          <w:sz w:val="36"/>
          <w:szCs w:val="36"/>
        </w:rPr>
        <w:t xml:space="preserve"> </w:t>
      </w:r>
      <w:r w:rsidR="00FA25D4" w:rsidRPr="00C4712A">
        <w:rPr>
          <w:b/>
          <w:sz w:val="36"/>
          <w:szCs w:val="36"/>
        </w:rPr>
        <w:t>2016</w:t>
      </w:r>
    </w:p>
    <w:p w:rsidR="00275002" w:rsidRPr="00C4712A" w:rsidRDefault="00275002" w:rsidP="004F6D0A">
      <w:pPr>
        <w:pStyle w:val="AERHeading1"/>
      </w:pPr>
      <w:r w:rsidRPr="00C4712A">
        <w:t>Introduction</w:t>
      </w:r>
    </w:p>
    <w:p w:rsidR="00BE6087" w:rsidRDefault="00275002" w:rsidP="00BE6087">
      <w:pPr>
        <w:pStyle w:val="AERbodytext"/>
      </w:pPr>
      <w:r w:rsidRPr="00BE6087">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C4712A" w:rsidRDefault="00275002" w:rsidP="004F6D0A">
      <w:pPr>
        <w:pStyle w:val="AERHeading1"/>
      </w:pPr>
      <w:r w:rsidRPr="00C4712A">
        <w:t>Spot market prices</w:t>
      </w:r>
    </w:p>
    <w:p w:rsidR="002F2481" w:rsidRPr="009A574C" w:rsidRDefault="001D0CE3" w:rsidP="00DA331C">
      <w:pPr>
        <w:jc w:val="both"/>
        <w:rPr>
          <w:rFonts w:eastAsia="Times New Roman" w:cs="Arial"/>
          <w:bCs/>
          <w:lang w:eastAsia="en-AU"/>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173420" w:rsidRPr="00BE2075">
        <w:t xml:space="preserve">Figure </w:t>
      </w:r>
      <w:r w:rsidR="00173420">
        <w:t>1</w:t>
      </w:r>
      <w:r w:rsidRPr="00C4712A">
        <w:fldChar w:fldCharType="end"/>
      </w:r>
      <w:r w:rsidRPr="00C4712A">
        <w:t xml:space="preserve"> </w:t>
      </w:r>
      <w:r w:rsidR="00AF7058" w:rsidRPr="00C4712A">
        <w:t xml:space="preserve">shows the spot prices that occurred in each region during the week </w:t>
      </w:r>
      <w:r w:rsidR="007F45D2">
        <w:t>24</w:t>
      </w:r>
      <w:r w:rsidR="005B0838">
        <w:t xml:space="preserve"> </w:t>
      </w:r>
      <w:r w:rsidR="00061E3B">
        <w:t xml:space="preserve">to </w:t>
      </w:r>
      <w:r w:rsidR="007F45D2">
        <w:t>30</w:t>
      </w:r>
      <w:r w:rsidR="00BE3F55">
        <w:t> </w:t>
      </w:r>
      <w:r w:rsidR="00451DFF">
        <w:t xml:space="preserve">July </w:t>
      </w:r>
      <w:r w:rsidR="00FA25D4" w:rsidRPr="00C4712A">
        <w:t>2016</w:t>
      </w:r>
      <w:r w:rsidR="00AF7058" w:rsidRPr="00C4712A">
        <w:t>.</w:t>
      </w:r>
      <w:r w:rsidR="00E03725">
        <w:t xml:space="preserve"> </w:t>
      </w:r>
    </w:p>
    <w:p w:rsidR="00BF4639" w:rsidRPr="00C4712A" w:rsidRDefault="00275002" w:rsidP="00405B42">
      <w:pPr>
        <w:pStyle w:val="Caption"/>
      </w:pPr>
      <w:bookmarkStart w:id="7" w:name="_Ref410382491"/>
      <w:bookmarkStart w:id="8" w:name="OLE_LINK28"/>
      <w:bookmarkStart w:id="9" w:name="OLE_LINK29"/>
      <w:r w:rsidRPr="00BE2075">
        <w:t xml:space="preserve">Figure </w:t>
      </w:r>
      <w:r w:rsidR="00173420">
        <w:fldChar w:fldCharType="begin"/>
      </w:r>
      <w:r w:rsidR="00173420">
        <w:instrText xml:space="preserve"> SEQ Figure \* ARABIC </w:instrText>
      </w:r>
      <w:r w:rsidR="00173420">
        <w:fldChar w:fldCharType="separate"/>
      </w:r>
      <w:r w:rsidR="00173420">
        <w:rPr>
          <w:noProof/>
        </w:rPr>
        <w:t>1</w:t>
      </w:r>
      <w:r w:rsidR="00173420">
        <w:rPr>
          <w:noProof/>
        </w:rPr>
        <w:fldChar w:fldCharType="end"/>
      </w:r>
      <w:bookmarkEnd w:id="7"/>
      <w:r w:rsidRPr="00BE2075">
        <w:t>: Spot price by region ($/MWh)</w:t>
      </w:r>
    </w:p>
    <w:p w:rsidR="00EC05BF" w:rsidRDefault="00C24CDC" w:rsidP="00C4712A">
      <w:pPr>
        <w:pStyle w:val="Caption"/>
        <w:rPr>
          <w:bCs w:val="0"/>
          <w:lang w:eastAsia="en-AU"/>
        </w:rPr>
      </w:pPr>
      <w:r w:rsidRPr="00C24CDC">
        <w:rPr>
          <w:noProof/>
          <w:lang w:eastAsia="en-AU"/>
        </w:rPr>
        <w:drawing>
          <wp:inline distT="0" distB="0" distL="0" distR="0" wp14:anchorId="6CCE036D" wp14:editId="36665B31">
            <wp:extent cx="5731510" cy="3232463"/>
            <wp:effectExtent l="0" t="0" r="2540" b="6350"/>
            <wp:docPr id="4" name="Picture 4"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232463"/>
                    </a:xfrm>
                    <a:prstGeom prst="rect">
                      <a:avLst/>
                    </a:prstGeom>
                    <a:noFill/>
                    <a:ln>
                      <a:noFill/>
                    </a:ln>
                  </pic:spPr>
                </pic:pic>
              </a:graphicData>
            </a:graphic>
          </wp:inline>
        </w:drawing>
      </w:r>
    </w:p>
    <w:p w:rsidR="00275002" w:rsidRPr="00C4712A" w:rsidRDefault="00275002" w:rsidP="001778E3">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173420" w:rsidRPr="00C4712A">
        <w:t xml:space="preserve">Figure </w:t>
      </w:r>
      <w:r w:rsidR="00173420">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173420" w:rsidRPr="009A7F75">
        <w:t xml:space="preserve">Table </w:t>
      </w:r>
      <w:r w:rsidR="00173420">
        <w:t>1</w:t>
      </w:r>
      <w:r w:rsidRPr="00C4712A">
        <w:fldChar w:fldCharType="end"/>
      </w:r>
      <w:r w:rsidRPr="00C4712A">
        <w:t>) and the preceding 12 weeks, as well as the VWA price over the previous 3 financial years</w:t>
      </w:r>
      <w:r w:rsidR="00762D41" w:rsidRPr="00C4712A">
        <w:t>.</w:t>
      </w:r>
    </w:p>
    <w:p w:rsidR="00275002" w:rsidRPr="00C4712A" w:rsidRDefault="00275002" w:rsidP="00F167CF">
      <w:pPr>
        <w:pStyle w:val="Caption"/>
        <w:spacing w:before="0" w:line="240" w:lineRule="auto"/>
      </w:pPr>
      <w:bookmarkStart w:id="10" w:name="_Ref410382517"/>
      <w:r w:rsidRPr="00C4712A">
        <w:lastRenderedPageBreak/>
        <w:t xml:space="preserve">Figure </w:t>
      </w:r>
      <w:r w:rsidR="00173420">
        <w:fldChar w:fldCharType="begin"/>
      </w:r>
      <w:r w:rsidR="00173420">
        <w:instrText xml:space="preserve"> SEQ Figure \* ARABIC </w:instrText>
      </w:r>
      <w:r w:rsidR="00173420">
        <w:fldChar w:fldCharType="separate"/>
      </w:r>
      <w:r w:rsidR="00173420">
        <w:rPr>
          <w:noProof/>
        </w:rPr>
        <w:t>2</w:t>
      </w:r>
      <w:r w:rsidR="00173420">
        <w:rPr>
          <w:noProof/>
        </w:rPr>
        <w:fldChar w:fldCharType="end"/>
      </w:r>
      <w:bookmarkEnd w:id="10"/>
      <w:r w:rsidRPr="00C4712A">
        <w:t>: Volume weighted average spot price by region ($/MWh)</w:t>
      </w:r>
    </w:p>
    <w:p w:rsidR="001F22EE" w:rsidRDefault="00C24CDC" w:rsidP="00F167CF">
      <w:pPr>
        <w:spacing w:before="0" w:after="120" w:line="240" w:lineRule="auto"/>
      </w:pPr>
      <w:r w:rsidRPr="00C24CDC">
        <w:rPr>
          <w:noProof/>
          <w:lang w:eastAsia="en-AU"/>
        </w:rPr>
        <w:drawing>
          <wp:inline distT="0" distB="0" distL="0" distR="0" wp14:anchorId="0FC5448A" wp14:editId="1DE31E87">
            <wp:extent cx="5731510" cy="2860244"/>
            <wp:effectExtent l="0" t="0" r="2540" b="0"/>
            <wp:docPr id="6" name="Picture 6"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60244"/>
                    </a:xfrm>
                    <a:prstGeom prst="rect">
                      <a:avLst/>
                    </a:prstGeom>
                    <a:noFill/>
                    <a:ln>
                      <a:noFill/>
                    </a:ln>
                  </pic:spPr>
                </pic:pic>
              </a:graphicData>
            </a:graphic>
          </wp:inline>
        </w:drawing>
      </w:r>
    </w:p>
    <w:p w:rsidR="001666AA" w:rsidRPr="00C4712A" w:rsidRDefault="001666AA" w:rsidP="00F167CF">
      <w:pPr>
        <w:spacing w:before="0" w:after="120" w:line="240" w:lineRule="auto"/>
      </w:pPr>
    </w:p>
    <w:p w:rsidR="00275002" w:rsidRPr="00C4712A" w:rsidRDefault="00275002" w:rsidP="00F167CF">
      <w:pPr>
        <w:pStyle w:val="Caption"/>
        <w:spacing w:before="0" w:line="240" w:lineRule="auto"/>
      </w:pPr>
      <w:bookmarkStart w:id="11" w:name="_Ref410382587"/>
      <w:r w:rsidRPr="009A7F75">
        <w:t xml:space="preserve">Table </w:t>
      </w:r>
      <w:r w:rsidR="00173420">
        <w:fldChar w:fldCharType="begin"/>
      </w:r>
      <w:r w:rsidR="00173420">
        <w:instrText xml:space="preserve"> SEQ Table \* ARABIC </w:instrText>
      </w:r>
      <w:r w:rsidR="00173420">
        <w:fldChar w:fldCharType="separate"/>
      </w:r>
      <w:r w:rsidR="00173420">
        <w:rPr>
          <w:noProof/>
        </w:rPr>
        <w:t>1</w:t>
      </w:r>
      <w:r w:rsidR="00173420">
        <w:rPr>
          <w:noProof/>
        </w:rPr>
        <w:fldChar w:fldCharType="end"/>
      </w:r>
      <w:bookmarkEnd w:id="11"/>
      <w:r w:rsidRPr="009A7F75">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9B21F2">
            <w:pPr>
              <w:spacing w:before="0" w:after="0"/>
              <w:jc w:val="center"/>
              <w:rPr>
                <w:sz w:val="20"/>
              </w:rPr>
            </w:pPr>
            <w:r w:rsidRPr="00C4712A">
              <w:rPr>
                <w:sz w:val="20"/>
              </w:rPr>
              <w:t>Region</w:t>
            </w:r>
          </w:p>
        </w:tc>
        <w:tc>
          <w:tcPr>
            <w:tcW w:w="728" w:type="pct"/>
            <w:noWrap/>
            <w:vAlign w:val="center"/>
            <w:hideMark/>
          </w:tcPr>
          <w:p w:rsidR="00B92CD5" w:rsidRPr="00C4712A" w:rsidRDefault="00B92CD5" w:rsidP="009B21F2">
            <w:pPr>
              <w:spacing w:before="0" w:after="0"/>
              <w:jc w:val="center"/>
              <w:rPr>
                <w:sz w:val="20"/>
              </w:rPr>
            </w:pPr>
            <w:r w:rsidRPr="00C4712A">
              <w:rPr>
                <w:sz w:val="20"/>
              </w:rPr>
              <w:t>Qld</w:t>
            </w:r>
          </w:p>
        </w:tc>
        <w:tc>
          <w:tcPr>
            <w:tcW w:w="729" w:type="pct"/>
            <w:noWrap/>
            <w:vAlign w:val="center"/>
            <w:hideMark/>
          </w:tcPr>
          <w:p w:rsidR="00B92CD5" w:rsidRPr="00C4712A" w:rsidRDefault="00B92CD5" w:rsidP="009B21F2">
            <w:pPr>
              <w:spacing w:before="0" w:after="0"/>
              <w:jc w:val="center"/>
              <w:rPr>
                <w:sz w:val="20"/>
              </w:rPr>
            </w:pPr>
            <w:r w:rsidRPr="00C4712A">
              <w:rPr>
                <w:sz w:val="20"/>
              </w:rPr>
              <w:t>NSW</w:t>
            </w:r>
          </w:p>
        </w:tc>
        <w:tc>
          <w:tcPr>
            <w:tcW w:w="728" w:type="pct"/>
            <w:noWrap/>
            <w:vAlign w:val="center"/>
            <w:hideMark/>
          </w:tcPr>
          <w:p w:rsidR="00B92CD5" w:rsidRPr="00C4712A" w:rsidRDefault="00B92CD5" w:rsidP="009B21F2">
            <w:pPr>
              <w:spacing w:before="0" w:after="0"/>
              <w:jc w:val="center"/>
              <w:rPr>
                <w:sz w:val="20"/>
              </w:rPr>
            </w:pPr>
            <w:r w:rsidRPr="00C4712A">
              <w:rPr>
                <w:sz w:val="20"/>
              </w:rPr>
              <w:t>Vic</w:t>
            </w:r>
          </w:p>
        </w:tc>
        <w:tc>
          <w:tcPr>
            <w:tcW w:w="729" w:type="pct"/>
            <w:noWrap/>
            <w:vAlign w:val="center"/>
            <w:hideMark/>
          </w:tcPr>
          <w:p w:rsidR="00B92CD5" w:rsidRPr="00C4712A" w:rsidRDefault="00B92CD5" w:rsidP="009B21F2">
            <w:pPr>
              <w:spacing w:before="0" w:after="0"/>
              <w:jc w:val="center"/>
              <w:rPr>
                <w:sz w:val="20"/>
              </w:rPr>
            </w:pPr>
            <w:r w:rsidRPr="00C4712A">
              <w:rPr>
                <w:sz w:val="20"/>
              </w:rPr>
              <w:t>SA</w:t>
            </w:r>
          </w:p>
        </w:tc>
        <w:tc>
          <w:tcPr>
            <w:tcW w:w="729" w:type="pct"/>
            <w:noWrap/>
            <w:vAlign w:val="center"/>
            <w:hideMark/>
          </w:tcPr>
          <w:p w:rsidR="00B92CD5" w:rsidRPr="00C4712A" w:rsidRDefault="00B92CD5" w:rsidP="009B21F2">
            <w:pPr>
              <w:spacing w:before="0" w:after="0"/>
              <w:jc w:val="center"/>
              <w:rPr>
                <w:sz w:val="20"/>
              </w:rPr>
            </w:pPr>
            <w:proofErr w:type="spellStart"/>
            <w:r w:rsidRPr="00C4712A">
              <w:rPr>
                <w:sz w:val="20"/>
              </w:rPr>
              <w:t>Tas</w:t>
            </w:r>
            <w:proofErr w:type="spellEnd"/>
          </w:p>
        </w:tc>
      </w:tr>
      <w:tr w:rsidR="00C24CDC" w:rsidRPr="00C4712A" w:rsidTr="00E334A4">
        <w:trPr>
          <w:trHeight w:hRule="exact" w:val="340"/>
        </w:trPr>
        <w:tc>
          <w:tcPr>
            <w:tcW w:w="1357" w:type="pct"/>
            <w:noWrap/>
            <w:vAlign w:val="center"/>
            <w:hideMark/>
          </w:tcPr>
          <w:p w:rsidR="00C24CDC" w:rsidRPr="00C4712A" w:rsidRDefault="00C24CDC" w:rsidP="00B65CAC">
            <w:pPr>
              <w:spacing w:before="100" w:beforeAutospacing="1" w:after="100" w:afterAutospacing="1" w:line="240" w:lineRule="auto"/>
              <w:rPr>
                <w:rFonts w:cs="Arial"/>
                <w:sz w:val="20"/>
                <w:szCs w:val="20"/>
              </w:rPr>
            </w:pPr>
            <w:r w:rsidRPr="00C4712A">
              <w:rPr>
                <w:rFonts w:cs="Arial"/>
                <w:sz w:val="20"/>
                <w:szCs w:val="20"/>
              </w:rPr>
              <w:t>Current week</w:t>
            </w:r>
          </w:p>
        </w:tc>
        <w:tc>
          <w:tcPr>
            <w:tcW w:w="728" w:type="pct"/>
            <w:noWrap/>
            <w:vAlign w:val="center"/>
          </w:tcPr>
          <w:p w:rsidR="00C24CDC" w:rsidRDefault="00C24CDC" w:rsidP="00C24CDC">
            <w:pPr>
              <w:spacing w:before="0" w:after="0" w:line="240" w:lineRule="auto"/>
              <w:jc w:val="center"/>
              <w:rPr>
                <w:rFonts w:cs="Arial"/>
                <w:sz w:val="20"/>
                <w:szCs w:val="20"/>
              </w:rPr>
            </w:pPr>
            <w:r>
              <w:rPr>
                <w:rFonts w:cs="Arial"/>
                <w:sz w:val="20"/>
                <w:szCs w:val="20"/>
              </w:rPr>
              <w:t>39</w:t>
            </w:r>
          </w:p>
        </w:tc>
        <w:tc>
          <w:tcPr>
            <w:tcW w:w="729" w:type="pct"/>
            <w:noWrap/>
            <w:vAlign w:val="center"/>
          </w:tcPr>
          <w:p w:rsidR="00C24CDC" w:rsidRDefault="00C24CDC" w:rsidP="00C24CDC">
            <w:pPr>
              <w:spacing w:before="0" w:after="0" w:line="240" w:lineRule="auto"/>
              <w:jc w:val="center"/>
              <w:rPr>
                <w:rFonts w:cs="Arial"/>
                <w:sz w:val="20"/>
                <w:szCs w:val="20"/>
              </w:rPr>
            </w:pPr>
            <w:r>
              <w:rPr>
                <w:rFonts w:cs="Arial"/>
                <w:sz w:val="20"/>
                <w:szCs w:val="20"/>
              </w:rPr>
              <w:t>41</w:t>
            </w:r>
          </w:p>
        </w:tc>
        <w:tc>
          <w:tcPr>
            <w:tcW w:w="728" w:type="pct"/>
            <w:noWrap/>
            <w:vAlign w:val="center"/>
          </w:tcPr>
          <w:p w:rsidR="00C24CDC" w:rsidRDefault="00C24CDC" w:rsidP="00C24CDC">
            <w:pPr>
              <w:spacing w:before="0" w:after="0" w:line="240" w:lineRule="auto"/>
              <w:jc w:val="center"/>
              <w:rPr>
                <w:rFonts w:cs="Arial"/>
                <w:sz w:val="20"/>
                <w:szCs w:val="20"/>
              </w:rPr>
            </w:pPr>
            <w:r>
              <w:rPr>
                <w:rFonts w:cs="Arial"/>
                <w:sz w:val="20"/>
                <w:szCs w:val="20"/>
              </w:rPr>
              <w:t>39</w:t>
            </w:r>
          </w:p>
        </w:tc>
        <w:tc>
          <w:tcPr>
            <w:tcW w:w="729" w:type="pct"/>
            <w:noWrap/>
            <w:vAlign w:val="center"/>
          </w:tcPr>
          <w:p w:rsidR="00C24CDC" w:rsidRDefault="00C24CDC" w:rsidP="00C24CDC">
            <w:pPr>
              <w:spacing w:before="0" w:after="0" w:line="240" w:lineRule="auto"/>
              <w:jc w:val="center"/>
              <w:rPr>
                <w:rFonts w:cs="Arial"/>
                <w:sz w:val="20"/>
                <w:szCs w:val="20"/>
              </w:rPr>
            </w:pPr>
            <w:r>
              <w:rPr>
                <w:rFonts w:cs="Arial"/>
                <w:sz w:val="20"/>
                <w:szCs w:val="20"/>
              </w:rPr>
              <w:t>64</w:t>
            </w:r>
          </w:p>
        </w:tc>
        <w:tc>
          <w:tcPr>
            <w:tcW w:w="729" w:type="pct"/>
            <w:noWrap/>
            <w:vAlign w:val="center"/>
          </w:tcPr>
          <w:p w:rsidR="00C24CDC" w:rsidRDefault="00C24CDC" w:rsidP="00C24CDC">
            <w:pPr>
              <w:spacing w:before="0" w:after="0" w:line="240" w:lineRule="auto"/>
              <w:jc w:val="center"/>
              <w:rPr>
                <w:rFonts w:cs="Arial"/>
                <w:sz w:val="20"/>
                <w:szCs w:val="20"/>
              </w:rPr>
            </w:pPr>
            <w:r>
              <w:rPr>
                <w:rFonts w:cs="Arial"/>
                <w:sz w:val="20"/>
                <w:szCs w:val="20"/>
              </w:rPr>
              <w:t>53</w:t>
            </w:r>
          </w:p>
        </w:tc>
      </w:tr>
      <w:tr w:rsidR="00C24CDC" w:rsidRPr="00C4712A" w:rsidTr="00E334A4">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C24CDC" w:rsidRPr="00C4712A" w:rsidRDefault="00C24CDC" w:rsidP="00B65CAC">
            <w:pPr>
              <w:spacing w:before="100" w:beforeAutospacing="1" w:after="100" w:afterAutospacing="1" w:line="240" w:lineRule="auto"/>
              <w:rPr>
                <w:rFonts w:cs="Arial"/>
                <w:bCs/>
                <w:szCs w:val="20"/>
              </w:rPr>
            </w:pPr>
            <w:r>
              <w:rPr>
                <w:rFonts w:cs="Arial"/>
                <w:bCs/>
                <w:szCs w:val="20"/>
              </w:rPr>
              <w:t>15-16 financial YTD</w:t>
            </w:r>
          </w:p>
        </w:tc>
        <w:tc>
          <w:tcPr>
            <w:tcW w:w="728" w:type="pct"/>
            <w:noWrap/>
            <w:vAlign w:val="center"/>
          </w:tcPr>
          <w:p w:rsidR="00C24CDC" w:rsidRDefault="00C24CDC" w:rsidP="00C24CDC">
            <w:pPr>
              <w:spacing w:before="0" w:after="0" w:line="240" w:lineRule="auto"/>
              <w:jc w:val="center"/>
              <w:rPr>
                <w:rFonts w:cs="Arial"/>
                <w:szCs w:val="20"/>
              </w:rPr>
            </w:pPr>
            <w:r>
              <w:rPr>
                <w:rFonts w:cs="Arial"/>
                <w:szCs w:val="20"/>
              </w:rPr>
              <w:t>49</w:t>
            </w:r>
          </w:p>
        </w:tc>
        <w:tc>
          <w:tcPr>
            <w:tcW w:w="729" w:type="pct"/>
            <w:noWrap/>
            <w:vAlign w:val="center"/>
          </w:tcPr>
          <w:p w:rsidR="00C24CDC" w:rsidRDefault="00C24CDC" w:rsidP="00C24CDC">
            <w:pPr>
              <w:spacing w:before="0" w:after="0" w:line="240" w:lineRule="auto"/>
              <w:jc w:val="center"/>
              <w:rPr>
                <w:rFonts w:cs="Arial"/>
                <w:szCs w:val="20"/>
              </w:rPr>
            </w:pPr>
            <w:r>
              <w:rPr>
                <w:rFonts w:cs="Arial"/>
                <w:szCs w:val="20"/>
              </w:rPr>
              <w:t>41</w:t>
            </w:r>
          </w:p>
        </w:tc>
        <w:tc>
          <w:tcPr>
            <w:tcW w:w="728" w:type="pct"/>
            <w:noWrap/>
            <w:vAlign w:val="center"/>
          </w:tcPr>
          <w:p w:rsidR="00C24CDC" w:rsidRDefault="00C24CDC" w:rsidP="00C24CDC">
            <w:pPr>
              <w:spacing w:before="0" w:after="0" w:line="240" w:lineRule="auto"/>
              <w:jc w:val="center"/>
              <w:rPr>
                <w:rFonts w:cs="Arial"/>
                <w:szCs w:val="20"/>
              </w:rPr>
            </w:pPr>
            <w:r>
              <w:rPr>
                <w:rFonts w:cs="Arial"/>
                <w:szCs w:val="20"/>
              </w:rPr>
              <w:t>36</w:t>
            </w:r>
          </w:p>
        </w:tc>
        <w:tc>
          <w:tcPr>
            <w:tcW w:w="729" w:type="pct"/>
            <w:noWrap/>
            <w:vAlign w:val="center"/>
          </w:tcPr>
          <w:p w:rsidR="00C24CDC" w:rsidRDefault="00C24CDC" w:rsidP="00C24CDC">
            <w:pPr>
              <w:spacing w:before="0" w:after="0" w:line="240" w:lineRule="auto"/>
              <w:jc w:val="center"/>
              <w:rPr>
                <w:rFonts w:cs="Arial"/>
                <w:szCs w:val="20"/>
              </w:rPr>
            </w:pPr>
            <w:r>
              <w:rPr>
                <w:rFonts w:cs="Arial"/>
                <w:szCs w:val="20"/>
              </w:rPr>
              <w:t>80</w:t>
            </w:r>
          </w:p>
        </w:tc>
        <w:tc>
          <w:tcPr>
            <w:tcW w:w="729" w:type="pct"/>
            <w:noWrap/>
            <w:vAlign w:val="center"/>
          </w:tcPr>
          <w:p w:rsidR="00C24CDC" w:rsidRDefault="00C24CDC" w:rsidP="00C24CDC">
            <w:pPr>
              <w:spacing w:before="0" w:after="0" w:line="240" w:lineRule="auto"/>
              <w:jc w:val="center"/>
              <w:rPr>
                <w:rFonts w:cs="Arial"/>
                <w:szCs w:val="20"/>
              </w:rPr>
            </w:pPr>
            <w:r>
              <w:rPr>
                <w:rFonts w:cs="Arial"/>
                <w:szCs w:val="20"/>
              </w:rPr>
              <w:t>36</w:t>
            </w:r>
          </w:p>
        </w:tc>
      </w:tr>
      <w:tr w:rsidR="00C24CDC" w:rsidRPr="00C4712A" w:rsidTr="00E334A4">
        <w:trPr>
          <w:trHeight w:hRule="exact" w:val="340"/>
        </w:trPr>
        <w:tc>
          <w:tcPr>
            <w:tcW w:w="1357" w:type="pct"/>
            <w:noWrap/>
            <w:vAlign w:val="center"/>
            <w:hideMark/>
          </w:tcPr>
          <w:p w:rsidR="00C24CDC" w:rsidRPr="00C4712A" w:rsidRDefault="00C24CDC" w:rsidP="009A7F75">
            <w:pPr>
              <w:spacing w:before="100" w:beforeAutospacing="1" w:after="100" w:afterAutospacing="1" w:line="240" w:lineRule="auto"/>
              <w:rPr>
                <w:rFonts w:cs="Arial"/>
                <w:bCs/>
                <w:sz w:val="20"/>
                <w:szCs w:val="20"/>
              </w:rPr>
            </w:pPr>
            <w:r>
              <w:rPr>
                <w:rFonts w:cs="Arial"/>
                <w:bCs/>
                <w:sz w:val="20"/>
                <w:szCs w:val="20"/>
              </w:rPr>
              <w:t>16-17</w:t>
            </w:r>
            <w:r w:rsidRPr="00C4712A">
              <w:rPr>
                <w:rFonts w:cs="Arial"/>
                <w:bCs/>
                <w:sz w:val="20"/>
                <w:szCs w:val="20"/>
              </w:rPr>
              <w:t xml:space="preserve"> </w:t>
            </w:r>
            <w:r>
              <w:rPr>
                <w:rFonts w:cs="Arial"/>
                <w:bCs/>
                <w:sz w:val="20"/>
                <w:szCs w:val="20"/>
              </w:rPr>
              <w:t>financial YTD</w:t>
            </w:r>
          </w:p>
        </w:tc>
        <w:tc>
          <w:tcPr>
            <w:tcW w:w="728" w:type="pct"/>
            <w:noWrap/>
            <w:vAlign w:val="center"/>
          </w:tcPr>
          <w:p w:rsidR="00C24CDC" w:rsidRDefault="00C24CDC" w:rsidP="00C24CDC">
            <w:pPr>
              <w:spacing w:before="0" w:after="0" w:line="240" w:lineRule="auto"/>
              <w:jc w:val="center"/>
              <w:rPr>
                <w:rFonts w:cs="Arial"/>
                <w:sz w:val="20"/>
                <w:szCs w:val="20"/>
              </w:rPr>
            </w:pPr>
            <w:r>
              <w:rPr>
                <w:rFonts w:cs="Arial"/>
                <w:sz w:val="20"/>
                <w:szCs w:val="20"/>
              </w:rPr>
              <w:t>64</w:t>
            </w:r>
          </w:p>
        </w:tc>
        <w:tc>
          <w:tcPr>
            <w:tcW w:w="729" w:type="pct"/>
            <w:noWrap/>
            <w:vAlign w:val="center"/>
          </w:tcPr>
          <w:p w:rsidR="00C24CDC" w:rsidRDefault="00C24CDC" w:rsidP="00C24CDC">
            <w:pPr>
              <w:spacing w:before="0" w:after="0" w:line="240" w:lineRule="auto"/>
              <w:jc w:val="center"/>
              <w:rPr>
                <w:rFonts w:cs="Arial"/>
                <w:sz w:val="20"/>
                <w:szCs w:val="20"/>
              </w:rPr>
            </w:pPr>
            <w:r>
              <w:rPr>
                <w:rFonts w:cs="Arial"/>
                <w:sz w:val="20"/>
                <w:szCs w:val="20"/>
              </w:rPr>
              <w:t>71</w:t>
            </w:r>
          </w:p>
        </w:tc>
        <w:tc>
          <w:tcPr>
            <w:tcW w:w="728" w:type="pct"/>
            <w:noWrap/>
            <w:vAlign w:val="center"/>
          </w:tcPr>
          <w:p w:rsidR="00C24CDC" w:rsidRDefault="00C24CDC" w:rsidP="00C24CDC">
            <w:pPr>
              <w:spacing w:before="0" w:after="0" w:line="240" w:lineRule="auto"/>
              <w:jc w:val="center"/>
              <w:rPr>
                <w:rFonts w:cs="Arial"/>
                <w:sz w:val="20"/>
                <w:szCs w:val="20"/>
              </w:rPr>
            </w:pPr>
            <w:r>
              <w:rPr>
                <w:rFonts w:cs="Arial"/>
                <w:sz w:val="20"/>
                <w:szCs w:val="20"/>
              </w:rPr>
              <w:t>69</w:t>
            </w:r>
          </w:p>
        </w:tc>
        <w:tc>
          <w:tcPr>
            <w:tcW w:w="729" w:type="pct"/>
            <w:noWrap/>
            <w:vAlign w:val="center"/>
          </w:tcPr>
          <w:p w:rsidR="00C24CDC" w:rsidRDefault="00C24CDC" w:rsidP="00C24CDC">
            <w:pPr>
              <w:spacing w:before="0" w:after="0" w:line="240" w:lineRule="auto"/>
              <w:jc w:val="center"/>
              <w:rPr>
                <w:rFonts w:cs="Arial"/>
                <w:sz w:val="20"/>
                <w:szCs w:val="20"/>
              </w:rPr>
            </w:pPr>
            <w:r>
              <w:rPr>
                <w:rFonts w:cs="Arial"/>
                <w:sz w:val="20"/>
                <w:szCs w:val="20"/>
              </w:rPr>
              <w:t>258</w:t>
            </w:r>
          </w:p>
        </w:tc>
        <w:tc>
          <w:tcPr>
            <w:tcW w:w="729" w:type="pct"/>
            <w:noWrap/>
            <w:vAlign w:val="center"/>
          </w:tcPr>
          <w:p w:rsidR="00C24CDC" w:rsidRDefault="00C24CDC" w:rsidP="00C24CDC">
            <w:pPr>
              <w:spacing w:before="0" w:after="0" w:line="240" w:lineRule="auto"/>
              <w:jc w:val="center"/>
              <w:rPr>
                <w:rFonts w:cs="Arial"/>
                <w:sz w:val="20"/>
                <w:szCs w:val="20"/>
              </w:rPr>
            </w:pPr>
            <w:r>
              <w:rPr>
                <w:rFonts w:cs="Arial"/>
                <w:sz w:val="20"/>
                <w:szCs w:val="20"/>
              </w:rPr>
              <w:t>73</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2" w:history="1">
        <w:r w:rsidRPr="00C4712A">
          <w:rPr>
            <w:rStyle w:val="Hyperlink"/>
            <w:sz w:val="18"/>
            <w:szCs w:val="18"/>
          </w:rPr>
          <w:t>AER website</w:t>
        </w:r>
      </w:hyperlink>
      <w:r w:rsidRPr="00C4712A">
        <w:rPr>
          <w:sz w:val="18"/>
          <w:szCs w:val="18"/>
        </w:rPr>
        <w:t xml:space="preserve">. </w:t>
      </w:r>
      <w:bookmarkEnd w:id="8"/>
      <w:bookmarkEnd w:id="9"/>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1A3AEC" w:rsidP="006F1044">
      <w:pPr>
        <w:pStyle w:val="AERbodytext"/>
      </w:pPr>
      <w:r>
        <w:t xml:space="preserve">There were </w:t>
      </w:r>
      <w:r w:rsidR="00C24CDC">
        <w:t>260</w:t>
      </w:r>
      <w:r w:rsidR="006F1044">
        <w:t xml:space="preserve"> trading intervals throughout the week where actual prices varied significantly from forecasts. This compares to the weekly average in 2015 of 133 counts and the average in 2014 of 71. </w:t>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173420" w:rsidRPr="00C4712A">
        <w:t xml:space="preserve">Table </w:t>
      </w:r>
      <w:r w:rsidR="00173420">
        <w:t>2</w:t>
      </w:r>
      <w:r w:rsidR="00E7472E" w:rsidRPr="00C4712A">
        <w:fldChar w:fldCharType="end"/>
      </w:r>
      <w:r w:rsidR="00275002" w:rsidRPr="00C4712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C4712A">
        <w:t>ahead</w:t>
      </w:r>
      <w:proofErr w:type="gramEnd"/>
      <w:r w:rsidR="00275002" w:rsidRPr="00C4712A">
        <w:t xml:space="preserve">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C4712A">
        <w:lastRenderedPageBreak/>
        <w:t xml:space="preserve">Table </w:t>
      </w:r>
      <w:r w:rsidR="00173420">
        <w:fldChar w:fldCharType="begin"/>
      </w:r>
      <w:r w:rsidR="00173420">
        <w:instrText xml:space="preserve"> SEQ Table \* ARABIC </w:instrText>
      </w:r>
      <w:r w:rsidR="00173420">
        <w:fldChar w:fldCharType="separate"/>
      </w:r>
      <w:r w:rsidR="00173420">
        <w:rPr>
          <w:noProof/>
        </w:rPr>
        <w:t>2</w:t>
      </w:r>
      <w:r w:rsidR="00173420">
        <w:rPr>
          <w:noProof/>
        </w:rPr>
        <w:fldChar w:fldCharType="end"/>
      </w:r>
      <w:bookmarkEnd w:id="12"/>
      <w:r w:rsidRPr="00C4712A">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C24CDC"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C24CDC" w:rsidRPr="00C4712A" w:rsidRDefault="00C24CDC" w:rsidP="006C62B7">
            <w:pPr>
              <w:spacing w:after="0" w:line="240" w:lineRule="auto"/>
              <w:rPr>
                <w:sz w:val="20"/>
                <w:szCs w:val="20"/>
              </w:rPr>
            </w:pPr>
            <w:r w:rsidRPr="00C4712A">
              <w:rPr>
                <w:sz w:val="20"/>
                <w:szCs w:val="20"/>
              </w:rPr>
              <w:t>% of total above forecast</w:t>
            </w:r>
          </w:p>
        </w:tc>
        <w:tc>
          <w:tcPr>
            <w:tcW w:w="1571" w:type="dxa"/>
            <w:noWrap/>
            <w:vAlign w:val="center"/>
          </w:tcPr>
          <w:p w:rsidR="00C24CDC" w:rsidRDefault="00C24CDC" w:rsidP="00C24CDC">
            <w:pPr>
              <w:spacing w:after="0" w:line="240" w:lineRule="auto"/>
              <w:jc w:val="center"/>
              <w:rPr>
                <w:rFonts w:cs="Arial"/>
                <w:sz w:val="20"/>
                <w:szCs w:val="20"/>
              </w:rPr>
            </w:pPr>
            <w:r>
              <w:rPr>
                <w:rFonts w:cs="Arial"/>
                <w:sz w:val="20"/>
                <w:szCs w:val="20"/>
              </w:rPr>
              <w:t>1</w:t>
            </w:r>
          </w:p>
        </w:tc>
        <w:tc>
          <w:tcPr>
            <w:tcW w:w="1572" w:type="dxa"/>
            <w:noWrap/>
            <w:vAlign w:val="center"/>
          </w:tcPr>
          <w:p w:rsidR="00C24CDC" w:rsidRDefault="00C24CDC" w:rsidP="00C24CDC">
            <w:pPr>
              <w:spacing w:after="0" w:line="240" w:lineRule="auto"/>
              <w:jc w:val="center"/>
              <w:rPr>
                <w:rFonts w:cs="Arial"/>
                <w:sz w:val="20"/>
                <w:szCs w:val="20"/>
              </w:rPr>
            </w:pPr>
            <w:r>
              <w:rPr>
                <w:rFonts w:cs="Arial"/>
                <w:sz w:val="20"/>
                <w:szCs w:val="20"/>
              </w:rPr>
              <w:t>51</w:t>
            </w:r>
          </w:p>
        </w:tc>
        <w:tc>
          <w:tcPr>
            <w:tcW w:w="1572" w:type="dxa"/>
            <w:noWrap/>
            <w:vAlign w:val="center"/>
          </w:tcPr>
          <w:p w:rsidR="00C24CDC" w:rsidRDefault="00C24CDC" w:rsidP="00C24CDC">
            <w:pPr>
              <w:spacing w:after="0" w:line="240" w:lineRule="auto"/>
              <w:jc w:val="center"/>
              <w:rPr>
                <w:rFonts w:cs="Arial"/>
                <w:sz w:val="20"/>
                <w:szCs w:val="20"/>
              </w:rPr>
            </w:pPr>
            <w:r>
              <w:rPr>
                <w:rFonts w:cs="Arial"/>
                <w:sz w:val="20"/>
                <w:szCs w:val="20"/>
              </w:rPr>
              <w:t>0</w:t>
            </w:r>
          </w:p>
        </w:tc>
        <w:tc>
          <w:tcPr>
            <w:tcW w:w="1572" w:type="dxa"/>
            <w:vAlign w:val="center"/>
          </w:tcPr>
          <w:p w:rsidR="00C24CDC" w:rsidRDefault="00C24CDC" w:rsidP="00C24CDC">
            <w:pPr>
              <w:spacing w:after="0" w:line="240" w:lineRule="auto"/>
              <w:jc w:val="center"/>
              <w:rPr>
                <w:rFonts w:cs="Arial"/>
                <w:sz w:val="20"/>
                <w:szCs w:val="20"/>
              </w:rPr>
            </w:pPr>
            <w:r>
              <w:rPr>
                <w:rFonts w:cs="Arial"/>
                <w:sz w:val="20"/>
                <w:szCs w:val="20"/>
              </w:rPr>
              <w:t>1</w:t>
            </w:r>
          </w:p>
        </w:tc>
      </w:tr>
      <w:tr w:rsidR="00C24CDC"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C24CDC" w:rsidRPr="00C4712A" w:rsidRDefault="00C24CDC" w:rsidP="006C62B7">
            <w:pPr>
              <w:spacing w:after="0" w:line="240" w:lineRule="auto"/>
              <w:rPr>
                <w:sz w:val="20"/>
                <w:szCs w:val="20"/>
              </w:rPr>
            </w:pPr>
            <w:r w:rsidRPr="00C4712A">
              <w:rPr>
                <w:sz w:val="20"/>
                <w:szCs w:val="20"/>
              </w:rPr>
              <w:t>% of total below forecast</w:t>
            </w:r>
          </w:p>
        </w:tc>
        <w:tc>
          <w:tcPr>
            <w:tcW w:w="1571" w:type="dxa"/>
            <w:noWrap/>
            <w:vAlign w:val="center"/>
          </w:tcPr>
          <w:p w:rsidR="00C24CDC" w:rsidRDefault="00C24CDC" w:rsidP="00C24CDC">
            <w:pPr>
              <w:spacing w:after="0" w:line="240" w:lineRule="auto"/>
              <w:jc w:val="center"/>
              <w:rPr>
                <w:rFonts w:cs="Arial"/>
                <w:sz w:val="20"/>
                <w:szCs w:val="20"/>
              </w:rPr>
            </w:pPr>
            <w:r>
              <w:rPr>
                <w:rFonts w:cs="Arial"/>
                <w:sz w:val="20"/>
                <w:szCs w:val="20"/>
              </w:rPr>
              <w:t>34</w:t>
            </w:r>
          </w:p>
        </w:tc>
        <w:tc>
          <w:tcPr>
            <w:tcW w:w="1572" w:type="dxa"/>
            <w:noWrap/>
            <w:vAlign w:val="center"/>
          </w:tcPr>
          <w:p w:rsidR="00C24CDC" w:rsidRDefault="00C24CDC" w:rsidP="00C24CDC">
            <w:pPr>
              <w:spacing w:after="0" w:line="240" w:lineRule="auto"/>
              <w:jc w:val="center"/>
              <w:rPr>
                <w:rFonts w:cs="Arial"/>
                <w:sz w:val="20"/>
                <w:szCs w:val="20"/>
              </w:rPr>
            </w:pPr>
            <w:r>
              <w:rPr>
                <w:rFonts w:cs="Arial"/>
                <w:sz w:val="20"/>
                <w:szCs w:val="20"/>
              </w:rPr>
              <w:t>12</w:t>
            </w:r>
          </w:p>
        </w:tc>
        <w:tc>
          <w:tcPr>
            <w:tcW w:w="1572" w:type="dxa"/>
            <w:noWrap/>
            <w:vAlign w:val="center"/>
          </w:tcPr>
          <w:p w:rsidR="00C24CDC" w:rsidRDefault="00C24CDC" w:rsidP="00C24CDC">
            <w:pPr>
              <w:spacing w:after="0" w:line="240" w:lineRule="auto"/>
              <w:jc w:val="center"/>
              <w:rPr>
                <w:rFonts w:cs="Arial"/>
                <w:sz w:val="20"/>
                <w:szCs w:val="20"/>
              </w:rPr>
            </w:pPr>
            <w:r>
              <w:rPr>
                <w:rFonts w:cs="Arial"/>
                <w:sz w:val="20"/>
                <w:szCs w:val="20"/>
              </w:rPr>
              <w:t>0</w:t>
            </w:r>
          </w:p>
        </w:tc>
        <w:tc>
          <w:tcPr>
            <w:tcW w:w="1572" w:type="dxa"/>
            <w:vAlign w:val="center"/>
          </w:tcPr>
          <w:p w:rsidR="00C24CDC" w:rsidRDefault="00C24CDC" w:rsidP="00C24CDC">
            <w:pPr>
              <w:spacing w:after="0" w:line="240" w:lineRule="auto"/>
              <w:jc w:val="center"/>
              <w:rPr>
                <w:rFonts w:cs="Arial"/>
                <w:sz w:val="20"/>
                <w:szCs w:val="20"/>
              </w:rPr>
            </w:pPr>
            <w:r>
              <w:rPr>
                <w:rFonts w:cs="Arial"/>
                <w:sz w:val="20"/>
                <w:szCs w:val="20"/>
              </w:rPr>
              <w:t>2</w:t>
            </w:r>
          </w:p>
        </w:tc>
      </w:tr>
    </w:tbl>
    <w:p w:rsidR="00562103" w:rsidRDefault="00275002" w:rsidP="009A090B">
      <w:pPr>
        <w:spacing w:before="120" w:after="120"/>
        <w:rPr>
          <w:rFonts w:eastAsia="Times New Roman" w:cs="Times New Roman"/>
          <w:b/>
          <w:bCs/>
          <w:color w:val="2272A3" w:themeColor="accent4" w:themeShade="80"/>
          <w:sz w:val="32"/>
          <w:szCs w:val="20"/>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173420" w:rsidRPr="00C4712A">
        <w:t xml:space="preserve">Figure </w:t>
      </w:r>
      <w:r w:rsidR="00173420">
        <w:t>3</w:t>
      </w:r>
      <w:r w:rsidRPr="00C4712A">
        <w:fldChar w:fldCharType="end"/>
      </w:r>
      <w:r w:rsidRPr="00C4712A">
        <w:t xml:space="preserve"> to</w:t>
      </w:r>
      <w:r w:rsidR="00056949" w:rsidRPr="00C4712A">
        <w:t xml:space="preserve"> </w:t>
      </w:r>
      <w:r w:rsidR="00C81324">
        <w:fldChar w:fldCharType="begin"/>
      </w:r>
      <w:r w:rsidR="00C81324">
        <w:instrText xml:space="preserve"> REF _Ref448330536 \h  \* MERGEFORMAT </w:instrText>
      </w:r>
      <w:r w:rsidR="00C81324">
        <w:fldChar w:fldCharType="separate"/>
      </w:r>
      <w:r w:rsidR="00173420" w:rsidRPr="002C6B96">
        <w:t xml:space="preserve">Figure </w:t>
      </w:r>
      <w:r w:rsidR="00173420" w:rsidRPr="00173420">
        <w:rPr>
          <w:bCs w:val="0"/>
          <w:noProof/>
        </w:rPr>
        <w:t>7</w:t>
      </w:r>
      <w:r w:rsidR="00C81324">
        <w:fldChar w:fldCharType="end"/>
      </w:r>
      <w:r w:rsidR="00C81324">
        <w:t xml:space="preserve"> </w:t>
      </w:r>
      <w:r w:rsidR="001121C2">
        <w:t>show</w:t>
      </w:r>
      <w:r w:rsidRPr="00C4712A">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C4712A">
        <w:t xml:space="preserve">Figure </w:t>
      </w:r>
      <w:r w:rsidR="00173420">
        <w:fldChar w:fldCharType="begin"/>
      </w:r>
      <w:r w:rsidR="00173420">
        <w:instrText xml:space="preserve"> SEQ Figure \* ARABIC </w:instrText>
      </w:r>
      <w:r w:rsidR="00173420">
        <w:fldChar w:fldCharType="separate"/>
      </w:r>
      <w:r w:rsidR="00173420">
        <w:rPr>
          <w:noProof/>
        </w:rPr>
        <w:t>3</w:t>
      </w:r>
      <w:r w:rsidR="00173420">
        <w:rPr>
          <w:noProof/>
        </w:rPr>
        <w:fldChar w:fldCharType="end"/>
      </w:r>
      <w:bookmarkEnd w:id="14"/>
      <w:r w:rsidRPr="00C4712A">
        <w:t>: Queensland generation and bidding patterns</w:t>
      </w:r>
    </w:p>
    <w:p w:rsidR="007B78AB" w:rsidRPr="008707C1" w:rsidRDefault="00C24CDC" w:rsidP="00886FA8">
      <w:pPr>
        <w:pStyle w:val="AERbodytext"/>
        <w:rPr>
          <w:bCs w:val="0"/>
        </w:rPr>
      </w:pPr>
      <w:r w:rsidRPr="00C24CDC">
        <w:rPr>
          <w:noProof/>
        </w:rPr>
        <w:drawing>
          <wp:inline distT="0" distB="0" distL="0" distR="0" wp14:anchorId="2D16E3F5" wp14:editId="6233E958">
            <wp:extent cx="5731510" cy="4115071"/>
            <wp:effectExtent l="0" t="0" r="2540" b="0"/>
            <wp:docPr id="7" name="Picture 7"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C4712A">
        <w:lastRenderedPageBreak/>
        <w:t xml:space="preserve">Figure </w:t>
      </w:r>
      <w:r w:rsidR="00173420">
        <w:fldChar w:fldCharType="begin"/>
      </w:r>
      <w:r w:rsidR="00173420">
        <w:instrText xml:space="preserve"> SEQ Figure \* ARABIC </w:instrText>
      </w:r>
      <w:r w:rsidR="00173420">
        <w:fldChar w:fldCharType="separate"/>
      </w:r>
      <w:r w:rsidR="00173420">
        <w:rPr>
          <w:noProof/>
        </w:rPr>
        <w:t>4</w:t>
      </w:r>
      <w:r w:rsidR="00173420">
        <w:rPr>
          <w:noProof/>
        </w:rPr>
        <w:fldChar w:fldCharType="end"/>
      </w:r>
      <w:bookmarkEnd w:id="15"/>
      <w:r w:rsidRPr="00C4712A">
        <w:t>: New South Wales generation and bidding patterns</w:t>
      </w:r>
    </w:p>
    <w:p w:rsidR="00181C46" w:rsidRPr="00C4712A" w:rsidRDefault="00C24CDC" w:rsidP="00181C46">
      <w:r w:rsidRPr="00C24CDC">
        <w:rPr>
          <w:noProof/>
          <w:lang w:eastAsia="en-AU"/>
        </w:rPr>
        <w:drawing>
          <wp:inline distT="0" distB="0" distL="0" distR="0" wp14:anchorId="7C8BCFC6" wp14:editId="1AAED3F8">
            <wp:extent cx="5731510" cy="4120550"/>
            <wp:effectExtent l="0" t="0" r="2540" b="0"/>
            <wp:docPr id="9" name="Picture 9"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20550"/>
                    </a:xfrm>
                    <a:prstGeom prst="rect">
                      <a:avLst/>
                    </a:prstGeom>
                    <a:noFill/>
                    <a:ln>
                      <a:noFill/>
                    </a:ln>
                  </pic:spPr>
                </pic:pic>
              </a:graphicData>
            </a:graphic>
          </wp:inline>
        </w:drawing>
      </w:r>
    </w:p>
    <w:p w:rsidR="00275002" w:rsidRPr="00C4712A" w:rsidRDefault="00275002" w:rsidP="000E2946">
      <w:pPr>
        <w:pStyle w:val="Caption"/>
      </w:pPr>
      <w:r w:rsidRPr="00C4712A">
        <w:t xml:space="preserve">Figure </w:t>
      </w:r>
      <w:r w:rsidR="00173420">
        <w:fldChar w:fldCharType="begin"/>
      </w:r>
      <w:r w:rsidR="00173420">
        <w:instrText xml:space="preserve"> SEQ Figure \* ARABIC </w:instrText>
      </w:r>
      <w:r w:rsidR="00173420">
        <w:fldChar w:fldCharType="separate"/>
      </w:r>
      <w:r w:rsidR="00173420">
        <w:rPr>
          <w:noProof/>
        </w:rPr>
        <w:t>5</w:t>
      </w:r>
      <w:r w:rsidR="00173420">
        <w:rPr>
          <w:noProof/>
        </w:rPr>
        <w:fldChar w:fldCharType="end"/>
      </w:r>
      <w:r w:rsidRPr="00C4712A">
        <w:t>: Victoria generation and bidding patterns</w:t>
      </w:r>
    </w:p>
    <w:p w:rsidR="00FB265D" w:rsidRDefault="00C24CDC" w:rsidP="00FB265D">
      <w:r w:rsidRPr="00C24CDC">
        <w:rPr>
          <w:noProof/>
          <w:lang w:eastAsia="en-AU"/>
        </w:rPr>
        <w:drawing>
          <wp:inline distT="0" distB="0" distL="0" distR="0" wp14:anchorId="4006A04B" wp14:editId="594036DC">
            <wp:extent cx="5731510" cy="4115071"/>
            <wp:effectExtent l="0" t="0" r="2540" b="0"/>
            <wp:docPr id="12" name="Picture 12"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275002" w:rsidRDefault="00275002" w:rsidP="000E2946">
      <w:pPr>
        <w:pStyle w:val="Caption"/>
      </w:pPr>
      <w:bookmarkStart w:id="16" w:name="_Ref423965683"/>
      <w:r w:rsidRPr="00610304">
        <w:lastRenderedPageBreak/>
        <w:t xml:space="preserve">Figure </w:t>
      </w:r>
      <w:r w:rsidR="00173420">
        <w:fldChar w:fldCharType="begin"/>
      </w:r>
      <w:r w:rsidR="00173420">
        <w:instrText xml:space="preserve"> SEQ Figure \* ARABIC </w:instrText>
      </w:r>
      <w:r w:rsidR="00173420">
        <w:fldChar w:fldCharType="separate"/>
      </w:r>
      <w:r w:rsidR="00173420">
        <w:rPr>
          <w:noProof/>
        </w:rPr>
        <w:t>6</w:t>
      </w:r>
      <w:r w:rsidR="00173420">
        <w:rPr>
          <w:noProof/>
        </w:rPr>
        <w:fldChar w:fldCharType="end"/>
      </w:r>
      <w:bookmarkEnd w:id="16"/>
      <w:r w:rsidRPr="00610304">
        <w:t>: South Australia generation and bidding patterns</w:t>
      </w:r>
    </w:p>
    <w:p w:rsidR="002F2481" w:rsidRDefault="00CE4B01" w:rsidP="00A25353">
      <w:r w:rsidRPr="00CE4B01">
        <w:rPr>
          <w:noProof/>
          <w:lang w:eastAsia="en-AU"/>
        </w:rPr>
        <w:drawing>
          <wp:inline distT="0" distB="0" distL="0" distR="0" wp14:anchorId="0F85790E" wp14:editId="0E81CD7B">
            <wp:extent cx="5731510" cy="4124493"/>
            <wp:effectExtent l="0" t="0" r="2540" b="9525"/>
            <wp:docPr id="25" name="Picture 25"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24493"/>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2C6B96">
        <w:t xml:space="preserve">Figure </w:t>
      </w:r>
      <w:r w:rsidR="00173420">
        <w:fldChar w:fldCharType="begin"/>
      </w:r>
      <w:r w:rsidR="00173420">
        <w:instrText xml:space="preserve"> SEQ Figure \* ARABIC </w:instrText>
      </w:r>
      <w:r w:rsidR="00173420">
        <w:fldChar w:fldCharType="separate"/>
      </w:r>
      <w:r w:rsidR="00173420">
        <w:rPr>
          <w:noProof/>
        </w:rPr>
        <w:t>7</w:t>
      </w:r>
      <w:r w:rsidR="00173420">
        <w:rPr>
          <w:noProof/>
        </w:rPr>
        <w:fldChar w:fldCharType="end"/>
      </w:r>
      <w:bookmarkEnd w:id="17"/>
      <w:r w:rsidRPr="002C6B96">
        <w:t>: Tasmania generation and bidding patterns</w:t>
      </w:r>
    </w:p>
    <w:bookmarkEnd w:id="18"/>
    <w:p w:rsidR="00E43848" w:rsidRDefault="00C24CDC" w:rsidP="00AF7C0E">
      <w:pPr>
        <w:pStyle w:val="AERbodytext"/>
      </w:pPr>
      <w:r w:rsidRPr="00C24CDC">
        <w:rPr>
          <w:noProof/>
        </w:rPr>
        <w:drawing>
          <wp:inline distT="0" distB="0" distL="0" distR="0" wp14:anchorId="24B48E6C" wp14:editId="3DC89B8D">
            <wp:extent cx="5731510" cy="4115071"/>
            <wp:effectExtent l="0" t="0" r="2540" b="0"/>
            <wp:docPr id="16" name="Picture 16"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5071"/>
                    </a:xfrm>
                    <a:prstGeom prst="rect">
                      <a:avLst/>
                    </a:prstGeom>
                    <a:noFill/>
                    <a:ln>
                      <a:noFill/>
                    </a:ln>
                  </pic:spPr>
                </pic:pic>
              </a:graphicData>
            </a:graphic>
          </wp:inline>
        </w:drawing>
      </w:r>
    </w:p>
    <w:p w:rsidR="00DB7B59" w:rsidRDefault="00DB7B59" w:rsidP="00AF7C0E">
      <w:pPr>
        <w:pStyle w:val="AERbodytext"/>
      </w:pPr>
    </w:p>
    <w:p w:rsidR="00275002" w:rsidRPr="00C4712A" w:rsidRDefault="00275002" w:rsidP="004F6D0A">
      <w:pPr>
        <w:pStyle w:val="AERHeading1"/>
      </w:pPr>
      <w:r w:rsidRPr="00C4712A">
        <w:lastRenderedPageBreak/>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Default="00275002" w:rsidP="00AF7C0E">
      <w:pPr>
        <w:pStyle w:val="AERbodytext"/>
      </w:pPr>
      <w:r w:rsidRPr="00C4712A">
        <w:t>The Electricity Rules stipulate that generators pay for raise contingency services and customers pay for lower contingency services. Regulation services are paid for on a “causer pays” basis determined every four weeks by AEMO.</w:t>
      </w:r>
    </w:p>
    <w:p w:rsidR="00BE2F8A" w:rsidRPr="00BE2F8A" w:rsidRDefault="006F1044" w:rsidP="00BE2F8A">
      <w:pPr>
        <w:pStyle w:val="AERbodytext"/>
      </w:pPr>
      <w:r w:rsidRPr="006F1044">
        <w:t>The total cost of FCAS on the mainland for the week was $</w:t>
      </w:r>
      <w:r w:rsidR="00367142">
        <w:t>1 439</w:t>
      </w:r>
      <w:r w:rsidR="00BD26EE">
        <w:t> </w:t>
      </w:r>
      <w:r w:rsidR="00AF200D">
        <w:t>5</w:t>
      </w:r>
      <w:r w:rsidRPr="006F1044">
        <w:t>00 or less than 1 per cent of energy turnover on the mainland.</w:t>
      </w:r>
    </w:p>
    <w:p w:rsidR="00173420" w:rsidRDefault="006F1044" w:rsidP="00551739">
      <w:pPr>
        <w:pStyle w:val="AERbodytext"/>
      </w:pPr>
      <w:bookmarkStart w:id="19" w:name="_Ref410383413"/>
      <w:r w:rsidRPr="006F1044">
        <w:t>The total cost of FCAS i</w:t>
      </w:r>
      <w:r w:rsidR="001A3AEC">
        <w:t>n Tasmania for the week was $</w:t>
      </w:r>
      <w:r w:rsidR="00367142">
        <w:t>142 000</w:t>
      </w:r>
      <w:r w:rsidR="001A3AEC">
        <w:t xml:space="preserve"> or </w:t>
      </w:r>
      <w:r w:rsidR="00001D6D">
        <w:t>around</w:t>
      </w:r>
      <w:r w:rsidR="00367142">
        <w:t xml:space="preserve"> </w:t>
      </w:r>
      <w:r w:rsidR="00001D6D">
        <w:t>1.5</w:t>
      </w:r>
      <w:r w:rsidR="00AF200D">
        <w:t> </w:t>
      </w:r>
      <w:r w:rsidRPr="006F1044">
        <w:t>per cent of energy turnover in Tasmania.</w:t>
      </w:r>
      <w:r w:rsidR="00F3590E" w:rsidRPr="00C4712A">
        <w:fldChar w:fldCharType="begin"/>
      </w:r>
      <w:r w:rsidR="00F3590E" w:rsidRPr="00C4712A">
        <w:instrText xml:space="preserve"> REF _Ref418082853 \h </w:instrText>
      </w:r>
      <w:r w:rsidR="00215E19" w:rsidRPr="00C4712A">
        <w:instrText xml:space="preserve"> \* MERGEFORMAT </w:instrText>
      </w:r>
      <w:r w:rsidR="00F3590E" w:rsidRPr="00C4712A">
        <w:fldChar w:fldCharType="separate"/>
      </w:r>
    </w:p>
    <w:p w:rsidR="00B01BD3" w:rsidRDefault="00173420" w:rsidP="00551739">
      <w:pPr>
        <w:pStyle w:val="AERbodytext"/>
      </w:pPr>
      <w:r w:rsidRPr="00551739">
        <w:t xml:space="preserve">Figure </w:t>
      </w:r>
      <w:r>
        <w:rPr>
          <w:noProof/>
        </w:rPr>
        <w:t>8</w:t>
      </w:r>
      <w:r w:rsidR="00F3590E" w:rsidRPr="00C4712A">
        <w:fldChar w:fldCharType="end"/>
      </w:r>
      <w:r w:rsidR="00F3590E" w:rsidRPr="00C4712A">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551739">
        <w:rPr>
          <w:noProof/>
        </w:rPr>
        <w:t xml:space="preserve">Figure </w:t>
      </w:r>
      <w:r w:rsidR="00DF6E09">
        <w:rPr>
          <w:noProof/>
        </w:rPr>
        <w:fldChar w:fldCharType="begin"/>
      </w:r>
      <w:r w:rsidR="00DF6E09">
        <w:rPr>
          <w:noProof/>
        </w:rPr>
        <w:instrText xml:space="preserve"> SEQ Figure \* ARABIC </w:instrText>
      </w:r>
      <w:r w:rsidR="00DF6E09">
        <w:rPr>
          <w:noProof/>
        </w:rPr>
        <w:fldChar w:fldCharType="separate"/>
      </w:r>
      <w:r w:rsidR="00173420">
        <w:rPr>
          <w:noProof/>
        </w:rPr>
        <w:t>8</w:t>
      </w:r>
      <w:r w:rsidR="00DF6E09">
        <w:rPr>
          <w:noProof/>
        </w:rPr>
        <w:fldChar w:fldCharType="end"/>
      </w:r>
      <w:bookmarkEnd w:id="19"/>
      <w:bookmarkEnd w:id="20"/>
      <w:r w:rsidRPr="00551739">
        <w:rPr>
          <w:noProof/>
        </w:rPr>
        <w:t>: Daily frequency control ancillary service cost</w:t>
      </w:r>
    </w:p>
    <w:p w:rsidR="00562103" w:rsidRDefault="00367142" w:rsidP="00562103">
      <w:r w:rsidRPr="00367142">
        <w:rPr>
          <w:noProof/>
          <w:lang w:eastAsia="en-AU"/>
        </w:rPr>
        <w:drawing>
          <wp:inline distT="0" distB="0" distL="0" distR="0" wp14:anchorId="540453A7" wp14:editId="450A08EE">
            <wp:extent cx="5731510" cy="2893363"/>
            <wp:effectExtent l="0" t="0" r="2540" b="2540"/>
            <wp:docPr id="20" name="Picture 20" descr="Figure 8 shows the daily breakdown of cost for each FCAS for the NEM, as well as the average cost since the beginning of the previous financial year.&#10;Should you require a description of the data for the week under review, please email us at  AERInquiry@aer.gov.au.      &#10;        &#10;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893363"/>
                    </a:xfrm>
                    <a:prstGeom prst="rect">
                      <a:avLst/>
                    </a:prstGeom>
                    <a:noFill/>
                    <a:ln>
                      <a:noFill/>
                    </a:ln>
                  </pic:spPr>
                </pic:pic>
              </a:graphicData>
            </a:graphic>
          </wp:inline>
        </w:drawing>
      </w:r>
    </w:p>
    <w:p w:rsidR="00433242" w:rsidRDefault="00433242" w:rsidP="00433242">
      <w:pPr>
        <w:rPr>
          <w:rFonts w:eastAsia="Times New Roman" w:cs="Times New Roman"/>
          <w:color w:val="2272A3" w:themeColor="accent4" w:themeShade="80"/>
          <w:sz w:val="32"/>
          <w:szCs w:val="20"/>
        </w:rPr>
      </w:pPr>
      <w:r>
        <w:br w:type="page"/>
      </w:r>
    </w:p>
    <w:p w:rsidR="00950B15" w:rsidRPr="00C4712A" w:rsidRDefault="00950B15" w:rsidP="00562103">
      <w:pPr>
        <w:pStyle w:val="AERHeading1"/>
      </w:pPr>
      <w:r w:rsidRPr="00C4712A">
        <w:lastRenderedPageBreak/>
        <w:t>Detailed market analysis of significant price events</w:t>
      </w:r>
    </w:p>
    <w:p w:rsidR="00ED5530" w:rsidRDefault="00ED5530" w:rsidP="00ED5530">
      <w:pPr>
        <w:pStyle w:val="Heading2"/>
        <w:rPr>
          <w:rFonts w:eastAsia="Times New Roman"/>
          <w:b w:val="0"/>
          <w:bCs w:val="0"/>
          <w:lang w:eastAsia="en-AU"/>
        </w:rPr>
      </w:pPr>
      <w:r>
        <w:rPr>
          <w:rFonts w:eastAsia="Times New Roman"/>
          <w:b w:val="0"/>
          <w:bCs w:val="0"/>
          <w:lang w:eastAsia="en-AU"/>
        </w:rPr>
        <w:t>Tasmania</w:t>
      </w:r>
    </w:p>
    <w:p w:rsidR="00F060C8" w:rsidRDefault="00F060C8" w:rsidP="00F060C8">
      <w:pPr>
        <w:pStyle w:val="AERbodytext"/>
      </w:pPr>
      <w:r w:rsidRPr="00F060C8">
        <w:t>There were five occasions where the spot price in Tasmania was greater than three times the Tasmania weekly average price of $53/MWh and above $250/MWh</w:t>
      </w:r>
      <w:r>
        <w:t>.</w:t>
      </w:r>
      <w:r w:rsidRPr="00AF7C0E">
        <w:t xml:space="preserve"> </w:t>
      </w:r>
    </w:p>
    <w:p w:rsidR="001C5A97" w:rsidRPr="005F37A9" w:rsidRDefault="00F060C8" w:rsidP="005F37A9">
      <w:pPr>
        <w:pStyle w:val="Heading3"/>
        <w:rPr>
          <w:rFonts w:eastAsia="Times New Roman"/>
        </w:rPr>
      </w:pPr>
      <w:r>
        <w:rPr>
          <w:rFonts w:eastAsia="Times New Roman"/>
        </w:rPr>
        <w:t>Sunday, 24</w:t>
      </w:r>
      <w:r w:rsidR="00ED5530">
        <w:rPr>
          <w:rFonts w:eastAsia="Times New Roman"/>
        </w:rPr>
        <w:t xml:space="preserve"> July</w:t>
      </w:r>
    </w:p>
    <w:p w:rsidR="001C5A97" w:rsidRPr="001C5A97" w:rsidRDefault="001C5A97" w:rsidP="001C5A97">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173420">
        <w:rPr>
          <w:rFonts w:asciiTheme="minorHAnsi" w:hAnsiTheme="minorHAnsi" w:cstheme="minorHAnsi"/>
          <w:noProof/>
        </w:rPr>
        <w:t>3</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1C5A97"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 xml:space="preserve">Time </w:t>
            </w:r>
          </w:p>
        </w:tc>
        <w:tc>
          <w:tcPr>
            <w:tcW w:w="1657"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Price ($/MWh)</w:t>
            </w:r>
          </w:p>
        </w:tc>
        <w:tc>
          <w:tcPr>
            <w:tcW w:w="1368"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Demand (MW)</w:t>
            </w:r>
          </w:p>
        </w:tc>
        <w:tc>
          <w:tcPr>
            <w:tcW w:w="1444"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Availability (MW)</w:t>
            </w:r>
          </w:p>
        </w:tc>
      </w:tr>
      <w:tr w:rsidR="001C5A97"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 </w:t>
            </w:r>
          </w:p>
        </w:tc>
        <w:tc>
          <w:tcPr>
            <w:tcW w:w="474"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574"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609"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c>
          <w:tcPr>
            <w:tcW w:w="379"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455"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r>
      <w:tr w:rsidR="00F060C8" w:rsidRPr="0073319F" w:rsidTr="005F37A9">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060C8" w:rsidRPr="00BD10D7" w:rsidRDefault="00F060C8">
            <w:pPr>
              <w:pStyle w:val="NormalWeb"/>
              <w:jc w:val="center"/>
              <w:rPr>
                <w:rFonts w:asciiTheme="minorHAnsi" w:hAnsiTheme="minorHAnsi" w:cstheme="minorHAnsi"/>
                <w:bCs/>
                <w:sz w:val="18"/>
                <w:szCs w:val="18"/>
              </w:rPr>
            </w:pPr>
            <w:r w:rsidRPr="00BD10D7">
              <w:rPr>
                <w:rFonts w:asciiTheme="minorHAnsi" w:hAnsiTheme="minorHAnsi" w:cstheme="minorHAnsi"/>
                <w:bCs/>
                <w:sz w:val="18"/>
                <w:szCs w:val="18"/>
              </w:rPr>
              <w:t>7</w:t>
            </w:r>
            <w:r w:rsidR="007F45D2">
              <w:rPr>
                <w:rFonts w:asciiTheme="minorHAnsi" w:hAnsiTheme="minorHAnsi" w:cstheme="minorHAnsi"/>
                <w:bCs/>
                <w:sz w:val="18"/>
                <w:szCs w:val="18"/>
              </w:rPr>
              <w:t>.30 pm</w:t>
            </w:r>
          </w:p>
        </w:tc>
        <w:tc>
          <w:tcPr>
            <w:tcW w:w="474" w:type="pct"/>
            <w:vAlign w:val="center"/>
          </w:tcPr>
          <w:p w:rsidR="00F060C8" w:rsidRPr="00BD10D7" w:rsidRDefault="00F060C8">
            <w:pPr>
              <w:pStyle w:val="NormalWeb"/>
              <w:jc w:val="center"/>
              <w:rPr>
                <w:rFonts w:asciiTheme="minorHAnsi" w:hAnsiTheme="minorHAnsi" w:cstheme="minorHAnsi"/>
                <w:bCs/>
                <w:sz w:val="18"/>
                <w:szCs w:val="18"/>
              </w:rPr>
            </w:pPr>
            <w:r w:rsidRPr="00BD10D7">
              <w:rPr>
                <w:rFonts w:asciiTheme="minorHAnsi" w:hAnsiTheme="minorHAnsi" w:cstheme="minorHAnsi"/>
                <w:bCs/>
                <w:sz w:val="18"/>
                <w:szCs w:val="18"/>
              </w:rPr>
              <w:t>321.49</w:t>
            </w:r>
          </w:p>
        </w:tc>
        <w:tc>
          <w:tcPr>
            <w:tcW w:w="574" w:type="pct"/>
            <w:vAlign w:val="center"/>
          </w:tcPr>
          <w:p w:rsidR="00F060C8" w:rsidRPr="00BD10D7" w:rsidRDefault="00F060C8">
            <w:pPr>
              <w:pStyle w:val="NormalWeb"/>
              <w:jc w:val="center"/>
              <w:rPr>
                <w:rFonts w:asciiTheme="minorHAnsi" w:hAnsiTheme="minorHAnsi" w:cstheme="minorHAnsi"/>
                <w:bCs/>
                <w:sz w:val="18"/>
                <w:szCs w:val="18"/>
              </w:rPr>
            </w:pPr>
            <w:r w:rsidRPr="00BD10D7">
              <w:rPr>
                <w:rFonts w:asciiTheme="minorHAnsi" w:hAnsiTheme="minorHAnsi" w:cstheme="minorHAnsi"/>
                <w:bCs/>
                <w:sz w:val="18"/>
                <w:szCs w:val="18"/>
              </w:rPr>
              <w:t>93.97</w:t>
            </w:r>
          </w:p>
        </w:tc>
        <w:tc>
          <w:tcPr>
            <w:tcW w:w="609" w:type="pct"/>
            <w:vAlign w:val="center"/>
          </w:tcPr>
          <w:p w:rsidR="00F060C8" w:rsidRPr="00BD10D7" w:rsidRDefault="00F060C8">
            <w:pPr>
              <w:pStyle w:val="NormalWeb"/>
              <w:jc w:val="center"/>
              <w:rPr>
                <w:rFonts w:asciiTheme="minorHAnsi" w:hAnsiTheme="minorHAnsi" w:cstheme="minorHAnsi"/>
                <w:bCs/>
                <w:sz w:val="18"/>
                <w:szCs w:val="18"/>
              </w:rPr>
            </w:pPr>
            <w:r w:rsidRPr="00BD10D7">
              <w:rPr>
                <w:rFonts w:asciiTheme="minorHAnsi" w:hAnsiTheme="minorHAnsi" w:cstheme="minorHAnsi"/>
                <w:bCs/>
                <w:sz w:val="18"/>
                <w:szCs w:val="18"/>
              </w:rPr>
              <w:t>58.54</w:t>
            </w:r>
          </w:p>
        </w:tc>
        <w:tc>
          <w:tcPr>
            <w:tcW w:w="379" w:type="pct"/>
            <w:vAlign w:val="center"/>
          </w:tcPr>
          <w:p w:rsidR="00F060C8" w:rsidRPr="00BD10D7" w:rsidRDefault="00F060C8">
            <w:pPr>
              <w:pStyle w:val="NormalWeb"/>
              <w:jc w:val="center"/>
              <w:rPr>
                <w:rFonts w:asciiTheme="minorHAnsi" w:hAnsiTheme="minorHAnsi" w:cstheme="minorHAnsi"/>
                <w:bCs/>
                <w:sz w:val="18"/>
                <w:szCs w:val="18"/>
              </w:rPr>
            </w:pPr>
            <w:r w:rsidRPr="00BD10D7">
              <w:rPr>
                <w:rFonts w:asciiTheme="minorHAnsi" w:hAnsiTheme="minorHAnsi" w:cstheme="minorHAnsi"/>
                <w:bCs/>
                <w:sz w:val="18"/>
                <w:szCs w:val="18"/>
              </w:rPr>
              <w:t>1461</w:t>
            </w:r>
          </w:p>
        </w:tc>
        <w:tc>
          <w:tcPr>
            <w:tcW w:w="456" w:type="pct"/>
            <w:vAlign w:val="center"/>
          </w:tcPr>
          <w:p w:rsidR="00F060C8" w:rsidRPr="00BD10D7" w:rsidRDefault="00F060C8">
            <w:pPr>
              <w:pStyle w:val="NormalWeb"/>
              <w:jc w:val="center"/>
              <w:rPr>
                <w:rFonts w:asciiTheme="minorHAnsi" w:hAnsiTheme="minorHAnsi" w:cstheme="minorHAnsi"/>
                <w:bCs/>
                <w:sz w:val="18"/>
                <w:szCs w:val="18"/>
              </w:rPr>
            </w:pPr>
            <w:r w:rsidRPr="00BD10D7">
              <w:rPr>
                <w:rFonts w:asciiTheme="minorHAnsi" w:hAnsiTheme="minorHAnsi" w:cstheme="minorHAnsi"/>
                <w:bCs/>
                <w:sz w:val="18"/>
                <w:szCs w:val="18"/>
              </w:rPr>
              <w:t>1491</w:t>
            </w:r>
          </w:p>
        </w:tc>
        <w:tc>
          <w:tcPr>
            <w:tcW w:w="533" w:type="pct"/>
            <w:vAlign w:val="center"/>
          </w:tcPr>
          <w:p w:rsidR="00F060C8" w:rsidRPr="00BD10D7" w:rsidRDefault="00F060C8">
            <w:pPr>
              <w:pStyle w:val="NormalWeb"/>
              <w:jc w:val="center"/>
              <w:rPr>
                <w:rFonts w:asciiTheme="minorHAnsi" w:hAnsiTheme="minorHAnsi" w:cstheme="minorHAnsi"/>
                <w:bCs/>
                <w:sz w:val="18"/>
                <w:szCs w:val="18"/>
              </w:rPr>
            </w:pPr>
            <w:r w:rsidRPr="00BD10D7">
              <w:rPr>
                <w:rFonts w:asciiTheme="minorHAnsi" w:hAnsiTheme="minorHAnsi" w:cstheme="minorHAnsi"/>
                <w:bCs/>
                <w:sz w:val="18"/>
                <w:szCs w:val="18"/>
              </w:rPr>
              <w:t>1483</w:t>
            </w:r>
          </w:p>
        </w:tc>
        <w:tc>
          <w:tcPr>
            <w:tcW w:w="532" w:type="pct"/>
            <w:vAlign w:val="center"/>
          </w:tcPr>
          <w:p w:rsidR="00F060C8" w:rsidRPr="00BD10D7" w:rsidRDefault="00F060C8">
            <w:pPr>
              <w:pStyle w:val="NormalWeb"/>
              <w:jc w:val="center"/>
              <w:rPr>
                <w:rFonts w:asciiTheme="minorHAnsi" w:hAnsiTheme="minorHAnsi" w:cstheme="minorHAnsi"/>
                <w:bCs/>
                <w:sz w:val="18"/>
                <w:szCs w:val="18"/>
              </w:rPr>
            </w:pPr>
            <w:r w:rsidRPr="00BD10D7">
              <w:rPr>
                <w:rFonts w:asciiTheme="minorHAnsi" w:hAnsiTheme="minorHAnsi" w:cstheme="minorHAnsi"/>
                <w:bCs/>
                <w:sz w:val="18"/>
                <w:szCs w:val="18"/>
              </w:rPr>
              <w:t>2234</w:t>
            </w:r>
          </w:p>
        </w:tc>
        <w:tc>
          <w:tcPr>
            <w:tcW w:w="457" w:type="pct"/>
            <w:vAlign w:val="center"/>
          </w:tcPr>
          <w:p w:rsidR="00F060C8" w:rsidRPr="00BD10D7" w:rsidRDefault="00F060C8">
            <w:pPr>
              <w:pStyle w:val="NormalWeb"/>
              <w:jc w:val="center"/>
              <w:rPr>
                <w:rFonts w:asciiTheme="minorHAnsi" w:hAnsiTheme="minorHAnsi" w:cstheme="minorHAnsi"/>
                <w:bCs/>
                <w:sz w:val="18"/>
                <w:szCs w:val="18"/>
              </w:rPr>
            </w:pPr>
            <w:r w:rsidRPr="00BD10D7">
              <w:rPr>
                <w:rFonts w:asciiTheme="minorHAnsi" w:hAnsiTheme="minorHAnsi" w:cstheme="minorHAnsi"/>
                <w:bCs/>
                <w:sz w:val="18"/>
                <w:szCs w:val="18"/>
              </w:rPr>
              <w:t>2262</w:t>
            </w:r>
          </w:p>
        </w:tc>
        <w:tc>
          <w:tcPr>
            <w:tcW w:w="455" w:type="pct"/>
            <w:vAlign w:val="center"/>
          </w:tcPr>
          <w:p w:rsidR="00F060C8" w:rsidRPr="00BD10D7" w:rsidRDefault="00F060C8">
            <w:pPr>
              <w:pStyle w:val="NormalWeb"/>
              <w:jc w:val="center"/>
              <w:rPr>
                <w:rFonts w:asciiTheme="minorHAnsi" w:hAnsiTheme="minorHAnsi" w:cstheme="minorHAnsi"/>
                <w:bCs/>
                <w:sz w:val="18"/>
                <w:szCs w:val="18"/>
              </w:rPr>
            </w:pPr>
            <w:r w:rsidRPr="00BD10D7">
              <w:rPr>
                <w:rFonts w:asciiTheme="minorHAnsi" w:hAnsiTheme="minorHAnsi" w:cstheme="minorHAnsi"/>
                <w:bCs/>
                <w:sz w:val="18"/>
                <w:szCs w:val="18"/>
              </w:rPr>
              <w:t>2270</w:t>
            </w:r>
          </w:p>
        </w:tc>
      </w:tr>
    </w:tbl>
    <w:p w:rsidR="001629C6" w:rsidRDefault="0012758A" w:rsidP="00FC08DA">
      <w:pPr>
        <w:pStyle w:val="Heading3"/>
        <w:jc w:val="both"/>
        <w:rPr>
          <w:rFonts w:eastAsia="Times New Roman"/>
          <w:b w:val="0"/>
          <w:sz w:val="22"/>
        </w:rPr>
      </w:pPr>
      <w:r>
        <w:rPr>
          <w:rFonts w:eastAsia="Times New Roman"/>
          <w:b w:val="0"/>
          <w:sz w:val="22"/>
        </w:rPr>
        <w:t xml:space="preserve">Conditions at the time saw demand </w:t>
      </w:r>
      <w:r w:rsidR="0056218D">
        <w:rPr>
          <w:rFonts w:eastAsia="Times New Roman"/>
          <w:b w:val="0"/>
          <w:sz w:val="22"/>
        </w:rPr>
        <w:t xml:space="preserve">and availability </w:t>
      </w:r>
      <w:r>
        <w:rPr>
          <w:rFonts w:eastAsia="Times New Roman"/>
          <w:b w:val="0"/>
          <w:sz w:val="22"/>
        </w:rPr>
        <w:t>slightly</w:t>
      </w:r>
      <w:r w:rsidR="0056218D">
        <w:rPr>
          <w:rFonts w:eastAsia="Times New Roman"/>
          <w:b w:val="0"/>
          <w:sz w:val="22"/>
        </w:rPr>
        <w:t xml:space="preserve"> lower than forecast.</w:t>
      </w:r>
    </w:p>
    <w:p w:rsidR="0056218D" w:rsidRPr="0056218D" w:rsidRDefault="00991732" w:rsidP="00FC08DA">
      <w:pPr>
        <w:jc w:val="both"/>
      </w:pPr>
      <w:r>
        <w:t>At this time t</w:t>
      </w:r>
      <w:r w:rsidR="0012758A">
        <w:t>here was</w:t>
      </w:r>
      <w:r w:rsidR="0056218D">
        <w:t xml:space="preserve"> no capacity priced between $2/MWh and $252/MWh.</w:t>
      </w:r>
      <w:r>
        <w:t xml:space="preserve"> </w:t>
      </w:r>
      <w:r w:rsidR="00FC08DA">
        <w:t xml:space="preserve">At 6.32 pm Hydro Tasmania rebid 95 MW of capacity at Poatina from </w:t>
      </w:r>
      <w:r w:rsidR="00A2563F">
        <w:t>$</w:t>
      </w:r>
      <w:r w:rsidR="00FC08DA">
        <w:t>1/MWh to $260/</w:t>
      </w:r>
      <w:r w:rsidR="00A2563F">
        <w:t xml:space="preserve">MWh. The reason given was “1831P Wind gen in </w:t>
      </w:r>
      <w:proofErr w:type="spellStart"/>
      <w:r w:rsidR="00A2563F">
        <w:t>Tas</w:t>
      </w:r>
      <w:proofErr w:type="spellEnd"/>
      <w:r w:rsidR="00A2563F">
        <w:t xml:space="preserve"> different from forecast”. </w:t>
      </w:r>
      <w:r w:rsidR="004A4CEF">
        <w:t>Wind generation was 79 MW lower than forecast four hours ahead</w:t>
      </w:r>
      <w:r w:rsidR="00A2563F">
        <w:t xml:space="preserve">. </w:t>
      </w:r>
      <w:r>
        <w:t xml:space="preserve">This rebid shifted the supply curve to the left and in combination with the lower than forecast wind output </w:t>
      </w:r>
      <w:r w:rsidR="004A4CEF">
        <w:t>result</w:t>
      </w:r>
      <w:r w:rsidR="00A2563F">
        <w:t>ed</w:t>
      </w:r>
      <w:r w:rsidR="004A4CEF">
        <w:t xml:space="preserve"> in dispatch prices at around $330/MWh for the majority of the trading interval.</w:t>
      </w:r>
    </w:p>
    <w:p w:rsidR="00ED5530" w:rsidRDefault="00F060C8" w:rsidP="00ED5530">
      <w:pPr>
        <w:pStyle w:val="Heading3"/>
        <w:rPr>
          <w:rFonts w:eastAsia="Times New Roman"/>
        </w:rPr>
      </w:pPr>
      <w:r>
        <w:rPr>
          <w:rFonts w:eastAsia="Times New Roman"/>
        </w:rPr>
        <w:t>Tuesday, 26</w:t>
      </w:r>
      <w:r w:rsidR="00ED5530">
        <w:rPr>
          <w:rFonts w:eastAsia="Times New Roman"/>
        </w:rPr>
        <w:t xml:space="preserve"> July</w:t>
      </w:r>
    </w:p>
    <w:p w:rsidR="001C5A97" w:rsidRPr="001C5A97" w:rsidRDefault="001C5A97" w:rsidP="001C5A97">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173420">
        <w:rPr>
          <w:rFonts w:asciiTheme="minorHAnsi" w:hAnsiTheme="minorHAnsi" w:cstheme="minorHAnsi"/>
          <w:noProof/>
        </w:rPr>
        <w:t>4</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1C5A97"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 xml:space="preserve">Time </w:t>
            </w:r>
          </w:p>
        </w:tc>
        <w:tc>
          <w:tcPr>
            <w:tcW w:w="1657"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Price ($/MWh)</w:t>
            </w:r>
          </w:p>
        </w:tc>
        <w:tc>
          <w:tcPr>
            <w:tcW w:w="1368"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Demand (MW)</w:t>
            </w:r>
          </w:p>
        </w:tc>
        <w:tc>
          <w:tcPr>
            <w:tcW w:w="1444"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Availability (MW)</w:t>
            </w:r>
          </w:p>
        </w:tc>
      </w:tr>
      <w:tr w:rsidR="001C5A97"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 </w:t>
            </w:r>
          </w:p>
        </w:tc>
        <w:tc>
          <w:tcPr>
            <w:tcW w:w="474"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574"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609"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c>
          <w:tcPr>
            <w:tcW w:w="379"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455"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r>
      <w:tr w:rsidR="00F060C8" w:rsidRPr="0030495F" w:rsidTr="005F37A9">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060C8" w:rsidRPr="00F060C8" w:rsidRDefault="007F45D2">
            <w:pPr>
              <w:pStyle w:val="NormalWeb"/>
              <w:jc w:val="center"/>
              <w:rPr>
                <w:rFonts w:asciiTheme="minorHAnsi" w:hAnsiTheme="minorHAnsi" w:cstheme="minorHAnsi"/>
                <w:bCs/>
                <w:sz w:val="18"/>
                <w:szCs w:val="18"/>
              </w:rPr>
            </w:pPr>
            <w:r>
              <w:rPr>
                <w:rFonts w:asciiTheme="minorHAnsi" w:hAnsiTheme="minorHAnsi" w:cstheme="minorHAnsi"/>
                <w:bCs/>
                <w:sz w:val="18"/>
                <w:szCs w:val="18"/>
              </w:rPr>
              <w:t>6.30 pm</w:t>
            </w:r>
          </w:p>
        </w:tc>
        <w:tc>
          <w:tcPr>
            <w:tcW w:w="474"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253.67</w:t>
            </w:r>
          </w:p>
        </w:tc>
        <w:tc>
          <w:tcPr>
            <w:tcW w:w="574"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314.99</w:t>
            </w:r>
          </w:p>
        </w:tc>
        <w:tc>
          <w:tcPr>
            <w:tcW w:w="609"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316.82</w:t>
            </w:r>
          </w:p>
        </w:tc>
        <w:tc>
          <w:tcPr>
            <w:tcW w:w="379"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1513</w:t>
            </w:r>
          </w:p>
        </w:tc>
        <w:tc>
          <w:tcPr>
            <w:tcW w:w="456"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1415</w:t>
            </w:r>
          </w:p>
        </w:tc>
        <w:tc>
          <w:tcPr>
            <w:tcW w:w="533"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1415</w:t>
            </w:r>
          </w:p>
        </w:tc>
        <w:tc>
          <w:tcPr>
            <w:tcW w:w="532"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2326</w:t>
            </w:r>
          </w:p>
        </w:tc>
        <w:tc>
          <w:tcPr>
            <w:tcW w:w="457"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2317</w:t>
            </w:r>
          </w:p>
        </w:tc>
        <w:tc>
          <w:tcPr>
            <w:tcW w:w="455"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2307</w:t>
            </w:r>
          </w:p>
        </w:tc>
      </w:tr>
    </w:tbl>
    <w:p w:rsidR="000C1FA4" w:rsidRPr="000C1FA4" w:rsidRDefault="000C1FA4" w:rsidP="00ED5530">
      <w:pPr>
        <w:pStyle w:val="Heading3"/>
        <w:rPr>
          <w:rFonts w:eastAsia="Times New Roman"/>
          <w:b w:val="0"/>
          <w:sz w:val="22"/>
        </w:rPr>
      </w:pPr>
      <w:r>
        <w:rPr>
          <w:rFonts w:eastAsia="Times New Roman"/>
          <w:b w:val="0"/>
          <w:sz w:val="22"/>
        </w:rPr>
        <w:t>The spot price was close to forecast four hours ahead.</w:t>
      </w:r>
    </w:p>
    <w:p w:rsidR="00ED5530" w:rsidRDefault="00F060C8" w:rsidP="00ED5530">
      <w:pPr>
        <w:pStyle w:val="Heading3"/>
        <w:rPr>
          <w:rFonts w:eastAsia="Times New Roman"/>
        </w:rPr>
      </w:pPr>
      <w:r>
        <w:rPr>
          <w:rFonts w:eastAsia="Times New Roman"/>
        </w:rPr>
        <w:t>Wednesday, 27</w:t>
      </w:r>
      <w:r w:rsidR="00ED5530">
        <w:rPr>
          <w:rFonts w:eastAsia="Times New Roman"/>
        </w:rPr>
        <w:t xml:space="preserve"> July</w:t>
      </w:r>
    </w:p>
    <w:p w:rsidR="001C5A97" w:rsidRPr="001C5A97" w:rsidRDefault="001C5A97" w:rsidP="001C5A97">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173420">
        <w:rPr>
          <w:rFonts w:asciiTheme="minorHAnsi" w:hAnsiTheme="minorHAnsi" w:cstheme="minorHAnsi"/>
          <w:noProof/>
        </w:rPr>
        <w:t>5</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1C5A97"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 xml:space="preserve">Time </w:t>
            </w:r>
          </w:p>
        </w:tc>
        <w:tc>
          <w:tcPr>
            <w:tcW w:w="1657"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Price ($/MWh)</w:t>
            </w:r>
          </w:p>
        </w:tc>
        <w:tc>
          <w:tcPr>
            <w:tcW w:w="1368"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Demand (MW)</w:t>
            </w:r>
          </w:p>
        </w:tc>
        <w:tc>
          <w:tcPr>
            <w:tcW w:w="1444" w:type="pct"/>
            <w:gridSpan w:val="3"/>
            <w:hideMark/>
          </w:tcPr>
          <w:p w:rsidR="001C5A97" w:rsidRPr="007D74C6" w:rsidRDefault="001C5A97" w:rsidP="005F37A9">
            <w:pPr>
              <w:pStyle w:val="TableHeading"/>
              <w:jc w:val="center"/>
              <w:rPr>
                <w:rFonts w:cs="Arial"/>
                <w:b w:val="0"/>
                <w:sz w:val="20"/>
                <w:szCs w:val="20"/>
              </w:rPr>
            </w:pPr>
            <w:r w:rsidRPr="007D74C6">
              <w:rPr>
                <w:rFonts w:cs="Arial"/>
                <w:b w:val="0"/>
                <w:sz w:val="20"/>
                <w:szCs w:val="20"/>
              </w:rPr>
              <w:t>Availability (MW)</w:t>
            </w:r>
          </w:p>
        </w:tc>
      </w:tr>
      <w:tr w:rsidR="001C5A97"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 </w:t>
            </w:r>
          </w:p>
        </w:tc>
        <w:tc>
          <w:tcPr>
            <w:tcW w:w="474"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574"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609"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c>
          <w:tcPr>
            <w:tcW w:w="379"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4 hr forecast</w:t>
            </w:r>
          </w:p>
        </w:tc>
        <w:tc>
          <w:tcPr>
            <w:tcW w:w="455" w:type="pct"/>
            <w:tcMar>
              <w:left w:w="57" w:type="dxa"/>
              <w:right w:w="57" w:type="dxa"/>
            </w:tcMar>
            <w:hideMark/>
          </w:tcPr>
          <w:p w:rsidR="001C5A97" w:rsidRPr="007D74C6" w:rsidRDefault="001C5A97" w:rsidP="005F37A9">
            <w:pPr>
              <w:pStyle w:val="tableheadingline2"/>
              <w:rPr>
                <w:rFonts w:cs="Arial"/>
                <w:sz w:val="20"/>
                <w:szCs w:val="20"/>
              </w:rPr>
            </w:pPr>
            <w:r w:rsidRPr="007D74C6">
              <w:rPr>
                <w:rFonts w:cs="Arial"/>
                <w:sz w:val="20"/>
                <w:szCs w:val="20"/>
              </w:rPr>
              <w:t>12 hr forecast</w:t>
            </w:r>
          </w:p>
        </w:tc>
      </w:tr>
      <w:tr w:rsidR="00F060C8" w:rsidRPr="0073319F" w:rsidTr="005F37A9">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6</w:t>
            </w:r>
            <w:r w:rsidR="007F45D2">
              <w:rPr>
                <w:rFonts w:asciiTheme="minorHAnsi" w:hAnsiTheme="minorHAnsi" w:cstheme="minorHAnsi"/>
                <w:bCs/>
                <w:sz w:val="18"/>
                <w:szCs w:val="18"/>
              </w:rPr>
              <w:t>.30 pm</w:t>
            </w:r>
          </w:p>
        </w:tc>
        <w:tc>
          <w:tcPr>
            <w:tcW w:w="474"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1736.90</w:t>
            </w:r>
          </w:p>
        </w:tc>
        <w:tc>
          <w:tcPr>
            <w:tcW w:w="574"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80.19</w:t>
            </w:r>
          </w:p>
        </w:tc>
        <w:tc>
          <w:tcPr>
            <w:tcW w:w="609"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318.54</w:t>
            </w:r>
          </w:p>
        </w:tc>
        <w:tc>
          <w:tcPr>
            <w:tcW w:w="379"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1466</w:t>
            </w:r>
          </w:p>
        </w:tc>
        <w:tc>
          <w:tcPr>
            <w:tcW w:w="456"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1361</w:t>
            </w:r>
          </w:p>
        </w:tc>
        <w:tc>
          <w:tcPr>
            <w:tcW w:w="533"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1468</w:t>
            </w:r>
          </w:p>
        </w:tc>
        <w:tc>
          <w:tcPr>
            <w:tcW w:w="532"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2237</w:t>
            </w:r>
          </w:p>
        </w:tc>
        <w:tc>
          <w:tcPr>
            <w:tcW w:w="457"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2327</w:t>
            </w:r>
          </w:p>
        </w:tc>
        <w:tc>
          <w:tcPr>
            <w:tcW w:w="455"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2324</w:t>
            </w:r>
          </w:p>
        </w:tc>
      </w:tr>
    </w:tbl>
    <w:p w:rsidR="00DF2934" w:rsidRDefault="007F54B4" w:rsidP="000C1FA4">
      <w:pPr>
        <w:pStyle w:val="AERbodytext"/>
      </w:pPr>
      <w:r>
        <w:t xml:space="preserve">There was a significant reduction in demand forecast </w:t>
      </w:r>
      <w:r w:rsidR="00991732">
        <w:t xml:space="preserve">from 12 to </w:t>
      </w:r>
      <w:r>
        <w:t>four hours ahead</w:t>
      </w:r>
      <w:r w:rsidR="00963053">
        <w:t>,</w:t>
      </w:r>
      <w:r>
        <w:t xml:space="preserve"> </w:t>
      </w:r>
      <w:r w:rsidR="00991732">
        <w:t xml:space="preserve">lowering the </w:t>
      </w:r>
      <w:r>
        <w:t>forecast prices</w:t>
      </w:r>
      <w:r w:rsidR="00963053">
        <w:t xml:space="preserve"> but</w:t>
      </w:r>
      <w:r>
        <w:t xml:space="preserve"> </w:t>
      </w:r>
      <w:r w:rsidR="00963053">
        <w:t>a</w:t>
      </w:r>
      <w:r>
        <w:t>ctual demand was around 100 MW higher than forecast four hours ahead</w:t>
      </w:r>
      <w:r w:rsidR="00963053">
        <w:t xml:space="preserve"> and</w:t>
      </w:r>
      <w:r>
        <w:t xml:space="preserve"> </w:t>
      </w:r>
      <w:r w:rsidR="00963053">
        <w:t>a</w:t>
      </w:r>
      <w:r w:rsidR="000C1FA4">
        <w:t xml:space="preserve">vailability was </w:t>
      </w:r>
      <w:r>
        <w:t xml:space="preserve">90 MW </w:t>
      </w:r>
      <w:r w:rsidR="000C1FA4">
        <w:t>lower than forecast</w:t>
      </w:r>
      <w:r>
        <w:t xml:space="preserve"> four hours ahead</w:t>
      </w:r>
      <w:r w:rsidR="000C1FA4">
        <w:t>.</w:t>
      </w:r>
    </w:p>
    <w:p w:rsidR="00AB6AF1" w:rsidRDefault="004E38D9" w:rsidP="000C1FA4">
      <w:pPr>
        <w:pStyle w:val="AERbodytext"/>
      </w:pPr>
      <w:r>
        <w:t xml:space="preserve">At 6.30 pm the </w:t>
      </w:r>
      <w:r w:rsidR="00522199">
        <w:t xml:space="preserve">local Tasmanian </w:t>
      </w:r>
      <w:r>
        <w:t>requirement for r</w:t>
      </w:r>
      <w:r w:rsidR="000C1FA4">
        <w:t xml:space="preserve">aise 6 </w:t>
      </w:r>
      <w:r>
        <w:t xml:space="preserve">and 60 </w:t>
      </w:r>
      <w:r w:rsidR="000C1FA4">
        <w:t xml:space="preserve">second FCAS </w:t>
      </w:r>
      <w:r>
        <w:t>increase from 0 to 28 MW and 45 MW respectively</w:t>
      </w:r>
      <w:r w:rsidR="00522199">
        <w:t xml:space="preserve"> as a network constraint designed to control </w:t>
      </w:r>
      <w:proofErr w:type="spellStart"/>
      <w:r w:rsidR="000B3004">
        <w:t>Basslink</w:t>
      </w:r>
      <w:proofErr w:type="spellEnd"/>
      <w:r w:rsidR="000B3004">
        <w:t xml:space="preserve">, </w:t>
      </w:r>
      <w:r w:rsidR="000B3004">
        <w:lastRenderedPageBreak/>
        <w:t>which forms</w:t>
      </w:r>
      <w:r w:rsidR="00522199">
        <w:t xml:space="preserve"> part of the </w:t>
      </w:r>
      <w:r w:rsidR="000B3004" w:rsidRPr="00522199">
        <w:t>n</w:t>
      </w:r>
      <w:r w:rsidR="000B3004">
        <w:t xml:space="preserve">etwork </w:t>
      </w:r>
      <w:r w:rsidR="00522199">
        <w:t xml:space="preserve">control </w:t>
      </w:r>
      <w:r w:rsidR="000B3004" w:rsidRPr="00522199">
        <w:t>s</w:t>
      </w:r>
      <w:r w:rsidR="000B3004">
        <w:t xml:space="preserve">pecial </w:t>
      </w:r>
      <w:r w:rsidR="000B3004" w:rsidRPr="00522199">
        <w:t>p</w:t>
      </w:r>
      <w:r w:rsidR="000B3004">
        <w:t xml:space="preserve">rotection </w:t>
      </w:r>
      <w:r w:rsidR="000B3004" w:rsidRPr="00522199">
        <w:t>s</w:t>
      </w:r>
      <w:r w:rsidR="000B3004">
        <w:t>cheme,</w:t>
      </w:r>
      <w:r w:rsidR="00522199">
        <w:t xml:space="preserve"> violated</w:t>
      </w:r>
      <w:r w:rsidR="00522199" w:rsidRPr="00522199">
        <w:t>.</w:t>
      </w:r>
      <w:r>
        <w:t xml:space="preserve"> The co-optimisation of these services with the energy market</w:t>
      </w:r>
      <w:r w:rsidR="00DD502F">
        <w:t xml:space="preserve"> </w:t>
      </w:r>
      <w:r w:rsidR="008A346B">
        <w:t xml:space="preserve">caused the price to increase from </w:t>
      </w:r>
      <w:r w:rsidR="00DD502F">
        <w:t>$367</w:t>
      </w:r>
      <w:r w:rsidR="003134B8">
        <w:t>/MWh at 6.25 p</w:t>
      </w:r>
      <w:r w:rsidR="008A346B">
        <w:t xml:space="preserve">m to </w:t>
      </w:r>
      <w:r w:rsidR="00DD502F">
        <w:t>$9215</w:t>
      </w:r>
      <w:r w:rsidR="003134B8">
        <w:t>/MWh at 6.30 p</w:t>
      </w:r>
      <w:r w:rsidR="008A346B">
        <w:t>m</w:t>
      </w:r>
      <w:r w:rsidR="00522199">
        <w:t xml:space="preserve"> as the output of some units decreased</w:t>
      </w:r>
      <w:r w:rsidR="008A346B">
        <w:t>.</w:t>
      </w:r>
      <w:r w:rsidR="000C1FA4">
        <w:t xml:space="preserve"> </w:t>
      </w:r>
    </w:p>
    <w:p w:rsidR="0030495F" w:rsidRPr="00DF2934" w:rsidRDefault="00DF2934" w:rsidP="00DF2934">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173420">
        <w:rPr>
          <w:rFonts w:asciiTheme="minorHAnsi" w:hAnsiTheme="minorHAnsi" w:cstheme="minorHAnsi"/>
          <w:noProof/>
        </w:rPr>
        <w:t>6</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89"/>
        <w:gridCol w:w="884"/>
        <w:gridCol w:w="1070"/>
        <w:gridCol w:w="1135"/>
        <w:gridCol w:w="707"/>
        <w:gridCol w:w="850"/>
        <w:gridCol w:w="994"/>
        <w:gridCol w:w="992"/>
        <w:gridCol w:w="852"/>
        <w:gridCol w:w="848"/>
      </w:tblGrid>
      <w:tr w:rsidR="0030495F"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hideMark/>
          </w:tcPr>
          <w:p w:rsidR="0030495F" w:rsidRPr="007D74C6" w:rsidRDefault="0030495F" w:rsidP="005F37A9">
            <w:pPr>
              <w:pStyle w:val="TableHeading"/>
              <w:jc w:val="center"/>
              <w:rPr>
                <w:rFonts w:cs="Arial"/>
                <w:b w:val="0"/>
                <w:sz w:val="20"/>
                <w:szCs w:val="20"/>
              </w:rPr>
            </w:pPr>
            <w:r w:rsidRPr="007D74C6">
              <w:rPr>
                <w:rFonts w:cs="Arial"/>
                <w:b w:val="0"/>
                <w:sz w:val="20"/>
                <w:szCs w:val="20"/>
              </w:rPr>
              <w:t xml:space="preserve">Time </w:t>
            </w:r>
          </w:p>
        </w:tc>
        <w:tc>
          <w:tcPr>
            <w:tcW w:w="1657" w:type="pct"/>
            <w:gridSpan w:val="3"/>
            <w:hideMark/>
          </w:tcPr>
          <w:p w:rsidR="0030495F" w:rsidRPr="007D74C6" w:rsidRDefault="0030495F" w:rsidP="005F37A9">
            <w:pPr>
              <w:pStyle w:val="TableHeading"/>
              <w:jc w:val="center"/>
              <w:rPr>
                <w:rFonts w:cs="Arial"/>
                <w:b w:val="0"/>
                <w:sz w:val="20"/>
                <w:szCs w:val="20"/>
              </w:rPr>
            </w:pPr>
            <w:r w:rsidRPr="007D74C6">
              <w:rPr>
                <w:rFonts w:cs="Arial"/>
                <w:b w:val="0"/>
                <w:sz w:val="20"/>
                <w:szCs w:val="20"/>
              </w:rPr>
              <w:t>Price ($/MWh)</w:t>
            </w:r>
          </w:p>
        </w:tc>
        <w:tc>
          <w:tcPr>
            <w:tcW w:w="1368" w:type="pct"/>
            <w:gridSpan w:val="3"/>
            <w:hideMark/>
          </w:tcPr>
          <w:p w:rsidR="0030495F" w:rsidRPr="007D74C6" w:rsidRDefault="0030495F" w:rsidP="005F37A9">
            <w:pPr>
              <w:pStyle w:val="TableHeading"/>
              <w:jc w:val="center"/>
              <w:rPr>
                <w:rFonts w:cs="Arial"/>
                <w:b w:val="0"/>
                <w:sz w:val="20"/>
                <w:szCs w:val="20"/>
              </w:rPr>
            </w:pPr>
            <w:r w:rsidRPr="007D74C6">
              <w:rPr>
                <w:rFonts w:cs="Arial"/>
                <w:b w:val="0"/>
                <w:sz w:val="20"/>
                <w:szCs w:val="20"/>
              </w:rPr>
              <w:t>Demand (MW)</w:t>
            </w:r>
          </w:p>
        </w:tc>
        <w:tc>
          <w:tcPr>
            <w:tcW w:w="1444" w:type="pct"/>
            <w:gridSpan w:val="3"/>
            <w:hideMark/>
          </w:tcPr>
          <w:p w:rsidR="0030495F" w:rsidRPr="007D74C6" w:rsidRDefault="0030495F" w:rsidP="005F37A9">
            <w:pPr>
              <w:pStyle w:val="TableHeading"/>
              <w:jc w:val="center"/>
              <w:rPr>
                <w:rFonts w:cs="Arial"/>
                <w:b w:val="0"/>
                <w:sz w:val="20"/>
                <w:szCs w:val="20"/>
              </w:rPr>
            </w:pPr>
            <w:r w:rsidRPr="007D74C6">
              <w:rPr>
                <w:rFonts w:cs="Arial"/>
                <w:b w:val="0"/>
                <w:sz w:val="20"/>
                <w:szCs w:val="20"/>
              </w:rPr>
              <w:t>Availability (MW)</w:t>
            </w:r>
          </w:p>
        </w:tc>
      </w:tr>
      <w:tr w:rsidR="0030495F" w:rsidRPr="0073319F" w:rsidTr="005F37A9">
        <w:trPr>
          <w:cnfStyle w:val="100000000000" w:firstRow="1" w:lastRow="0" w:firstColumn="0" w:lastColumn="0" w:oddVBand="0" w:evenVBand="0" w:oddHBand="0" w:evenHBand="0" w:firstRowFirstColumn="0" w:firstRowLastColumn="0" w:lastRowFirstColumn="0" w:lastRowLastColumn="0"/>
          <w:tblHeader/>
        </w:trPr>
        <w:tc>
          <w:tcPr>
            <w:tcW w:w="531"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 </w:t>
            </w:r>
          </w:p>
        </w:tc>
        <w:tc>
          <w:tcPr>
            <w:tcW w:w="474"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Actual</w:t>
            </w:r>
          </w:p>
        </w:tc>
        <w:tc>
          <w:tcPr>
            <w:tcW w:w="574"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4 hr forecast</w:t>
            </w:r>
          </w:p>
        </w:tc>
        <w:tc>
          <w:tcPr>
            <w:tcW w:w="609"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12 hr forecast</w:t>
            </w:r>
          </w:p>
        </w:tc>
        <w:tc>
          <w:tcPr>
            <w:tcW w:w="379"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4 hr forecast</w:t>
            </w:r>
          </w:p>
        </w:tc>
        <w:tc>
          <w:tcPr>
            <w:tcW w:w="533"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4 hr forecast</w:t>
            </w:r>
          </w:p>
        </w:tc>
        <w:tc>
          <w:tcPr>
            <w:tcW w:w="455" w:type="pct"/>
            <w:tcMar>
              <w:left w:w="57" w:type="dxa"/>
              <w:right w:w="57" w:type="dxa"/>
            </w:tcMar>
            <w:hideMark/>
          </w:tcPr>
          <w:p w:rsidR="0030495F" w:rsidRPr="007D74C6" w:rsidRDefault="0030495F" w:rsidP="005F37A9">
            <w:pPr>
              <w:pStyle w:val="tableheadingline2"/>
              <w:rPr>
                <w:rFonts w:cs="Arial"/>
                <w:sz w:val="20"/>
                <w:szCs w:val="20"/>
              </w:rPr>
            </w:pPr>
            <w:r w:rsidRPr="007D74C6">
              <w:rPr>
                <w:rFonts w:cs="Arial"/>
                <w:sz w:val="20"/>
                <w:szCs w:val="20"/>
              </w:rPr>
              <w:t>12 hr forecast</w:t>
            </w:r>
          </w:p>
        </w:tc>
      </w:tr>
      <w:tr w:rsidR="00F060C8" w:rsidRPr="0073319F" w:rsidTr="005F37A9">
        <w:trPr>
          <w:cnfStyle w:val="000000100000" w:firstRow="0" w:lastRow="0" w:firstColumn="0" w:lastColumn="0" w:oddVBand="0" w:evenVBand="0" w:oddHBand="1" w:evenHBand="0" w:firstRowFirstColumn="0" w:firstRowLastColumn="0" w:lastRowFirstColumn="0" w:lastRowLastColumn="0"/>
          <w:trHeight w:val="510"/>
        </w:trPr>
        <w:tc>
          <w:tcPr>
            <w:tcW w:w="531" w:type="pct"/>
            <w:vAlign w:val="center"/>
          </w:tcPr>
          <w:p w:rsidR="00F060C8" w:rsidRPr="00F060C8" w:rsidRDefault="007F45D2" w:rsidP="004E38D9">
            <w:pPr>
              <w:pStyle w:val="NormalWeb"/>
              <w:jc w:val="center"/>
              <w:rPr>
                <w:rFonts w:asciiTheme="minorHAnsi" w:hAnsiTheme="minorHAnsi" w:cstheme="minorHAnsi"/>
                <w:bCs/>
                <w:sz w:val="18"/>
                <w:szCs w:val="18"/>
              </w:rPr>
            </w:pPr>
            <w:r>
              <w:rPr>
                <w:rFonts w:asciiTheme="minorHAnsi" w:hAnsiTheme="minorHAnsi" w:cstheme="minorHAnsi"/>
                <w:bCs/>
                <w:sz w:val="18"/>
                <w:szCs w:val="18"/>
              </w:rPr>
              <w:t>8 pm</w:t>
            </w:r>
          </w:p>
        </w:tc>
        <w:tc>
          <w:tcPr>
            <w:tcW w:w="474"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365.63</w:t>
            </w:r>
          </w:p>
        </w:tc>
        <w:tc>
          <w:tcPr>
            <w:tcW w:w="574"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36.34</w:t>
            </w:r>
          </w:p>
        </w:tc>
        <w:tc>
          <w:tcPr>
            <w:tcW w:w="609"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339.23</w:t>
            </w:r>
          </w:p>
        </w:tc>
        <w:tc>
          <w:tcPr>
            <w:tcW w:w="379"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1405</w:t>
            </w:r>
          </w:p>
        </w:tc>
        <w:tc>
          <w:tcPr>
            <w:tcW w:w="456"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1354</w:t>
            </w:r>
          </w:p>
        </w:tc>
        <w:tc>
          <w:tcPr>
            <w:tcW w:w="533"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1404</w:t>
            </w:r>
          </w:p>
        </w:tc>
        <w:tc>
          <w:tcPr>
            <w:tcW w:w="532"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2163</w:t>
            </w:r>
          </w:p>
        </w:tc>
        <w:tc>
          <w:tcPr>
            <w:tcW w:w="457"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2327</w:t>
            </w:r>
          </w:p>
        </w:tc>
        <w:tc>
          <w:tcPr>
            <w:tcW w:w="455" w:type="pct"/>
            <w:vAlign w:val="center"/>
          </w:tcPr>
          <w:p w:rsidR="00F060C8" w:rsidRPr="00F060C8" w:rsidRDefault="00F060C8">
            <w:pPr>
              <w:pStyle w:val="NormalWeb"/>
              <w:jc w:val="center"/>
              <w:rPr>
                <w:rFonts w:asciiTheme="minorHAnsi" w:hAnsiTheme="minorHAnsi" w:cstheme="minorHAnsi"/>
                <w:bCs/>
                <w:sz w:val="18"/>
                <w:szCs w:val="18"/>
              </w:rPr>
            </w:pPr>
            <w:r w:rsidRPr="00F060C8">
              <w:rPr>
                <w:rFonts w:asciiTheme="minorHAnsi" w:hAnsiTheme="minorHAnsi" w:cstheme="minorHAnsi"/>
                <w:bCs/>
                <w:sz w:val="18"/>
                <w:szCs w:val="18"/>
              </w:rPr>
              <w:t>2324</w:t>
            </w:r>
          </w:p>
        </w:tc>
      </w:tr>
    </w:tbl>
    <w:p w:rsidR="004E38D9" w:rsidRDefault="004E38D9" w:rsidP="00BD501B">
      <w:pPr>
        <w:jc w:val="both"/>
      </w:pPr>
      <w:r>
        <w:t>Actual demand was close to that forecast 12 hours ahead but higher than that forecast four hours ahead. As a result</w:t>
      </w:r>
      <w:r w:rsidRPr="004E38D9">
        <w:t xml:space="preserve"> </w:t>
      </w:r>
      <w:r>
        <w:t>the spot price was close to that forecast 12 hours ahead but higher than that forecast four hours ahead.</w:t>
      </w:r>
    </w:p>
    <w:p w:rsidR="00F060C8" w:rsidRDefault="00F060C8" w:rsidP="00F060C8">
      <w:pPr>
        <w:pStyle w:val="Heading3"/>
        <w:rPr>
          <w:rFonts w:eastAsia="Times New Roman"/>
        </w:rPr>
      </w:pPr>
      <w:r>
        <w:rPr>
          <w:rFonts w:eastAsia="Times New Roman"/>
        </w:rPr>
        <w:t>Thursday, 28 July</w:t>
      </w:r>
    </w:p>
    <w:p w:rsidR="00F060C8" w:rsidRPr="00DF2934" w:rsidRDefault="00DF2934" w:rsidP="00DF2934">
      <w:pPr>
        <w:pStyle w:val="Caption"/>
        <w:rPr>
          <w:rFonts w:asciiTheme="minorHAnsi" w:hAnsiTheme="minorHAnsi" w:cstheme="minorHAnsi"/>
        </w:rPr>
      </w:pPr>
      <w:r w:rsidRPr="0073319F">
        <w:rPr>
          <w:rFonts w:asciiTheme="minorHAnsi" w:hAnsiTheme="minorHAnsi" w:cstheme="minorHAnsi"/>
        </w:rPr>
        <w:t xml:space="preserve">Table </w:t>
      </w:r>
      <w:r w:rsidRPr="0073319F">
        <w:rPr>
          <w:rFonts w:asciiTheme="minorHAnsi" w:hAnsiTheme="minorHAnsi" w:cstheme="minorHAnsi"/>
        </w:rPr>
        <w:fldChar w:fldCharType="begin"/>
      </w:r>
      <w:r w:rsidRPr="0073319F">
        <w:rPr>
          <w:rFonts w:asciiTheme="minorHAnsi" w:hAnsiTheme="minorHAnsi" w:cstheme="minorHAnsi"/>
        </w:rPr>
        <w:instrText xml:space="preserve"> SEQ Table \* ARABIC </w:instrText>
      </w:r>
      <w:r w:rsidRPr="0073319F">
        <w:rPr>
          <w:rFonts w:asciiTheme="minorHAnsi" w:hAnsiTheme="minorHAnsi" w:cstheme="minorHAnsi"/>
        </w:rPr>
        <w:fldChar w:fldCharType="separate"/>
      </w:r>
      <w:r w:rsidR="00173420">
        <w:rPr>
          <w:rFonts w:asciiTheme="minorHAnsi" w:hAnsiTheme="minorHAnsi" w:cstheme="minorHAnsi"/>
          <w:noProof/>
        </w:rPr>
        <w:t>7</w:t>
      </w:r>
      <w:r w:rsidRPr="0073319F">
        <w:rPr>
          <w:rFonts w:asciiTheme="minorHAnsi" w:hAnsiTheme="minorHAnsi" w:cstheme="minorHAnsi"/>
          <w:noProof/>
        </w:rPr>
        <w:fldChar w:fldCharType="end"/>
      </w:r>
      <w:r w:rsidRPr="0073319F">
        <w:rPr>
          <w:rFonts w:asciiTheme="minorHAnsi" w:hAnsiTheme="minorHAnsi" w:cstheme="minorHAnsi"/>
        </w:rPr>
        <w:t>: Price, Demand and Availability</w:t>
      </w:r>
    </w:p>
    <w:tbl>
      <w:tblPr>
        <w:tblStyle w:val="AERsummarytable2"/>
        <w:tblW w:w="5043" w:type="pct"/>
        <w:tblLayout w:type="fixed"/>
        <w:tblLook w:val="04A0" w:firstRow="1" w:lastRow="0" w:firstColumn="1" w:lastColumn="0" w:noHBand="0" w:noVBand="1"/>
      </w:tblPr>
      <w:tblGrid>
        <w:gridCol w:w="992"/>
        <w:gridCol w:w="884"/>
        <w:gridCol w:w="928"/>
        <w:gridCol w:w="992"/>
        <w:gridCol w:w="992"/>
        <w:gridCol w:w="850"/>
        <w:gridCol w:w="995"/>
        <w:gridCol w:w="992"/>
        <w:gridCol w:w="852"/>
        <w:gridCol w:w="844"/>
      </w:tblGrid>
      <w:tr w:rsidR="00F060C8" w:rsidRPr="0073319F" w:rsidTr="00F3401F">
        <w:trPr>
          <w:cnfStyle w:val="100000000000" w:firstRow="1" w:lastRow="0" w:firstColumn="0" w:lastColumn="0" w:oddVBand="0" w:evenVBand="0" w:oddHBand="0" w:evenHBand="0" w:firstRowFirstColumn="0" w:firstRowLastColumn="0" w:lastRowFirstColumn="0" w:lastRowLastColumn="0"/>
          <w:tblHeader/>
        </w:trPr>
        <w:tc>
          <w:tcPr>
            <w:tcW w:w="532" w:type="pct"/>
            <w:hideMark/>
          </w:tcPr>
          <w:p w:rsidR="00F060C8" w:rsidRPr="007D74C6" w:rsidRDefault="00F060C8" w:rsidP="00EC16C5">
            <w:pPr>
              <w:pStyle w:val="TableHeading"/>
              <w:jc w:val="center"/>
              <w:rPr>
                <w:rFonts w:cs="Arial"/>
                <w:b w:val="0"/>
                <w:sz w:val="20"/>
                <w:szCs w:val="20"/>
              </w:rPr>
            </w:pPr>
            <w:r w:rsidRPr="007D74C6">
              <w:rPr>
                <w:rFonts w:cs="Arial"/>
                <w:b w:val="0"/>
                <w:sz w:val="20"/>
                <w:szCs w:val="20"/>
              </w:rPr>
              <w:t xml:space="preserve">Time </w:t>
            </w:r>
          </w:p>
        </w:tc>
        <w:tc>
          <w:tcPr>
            <w:tcW w:w="1504" w:type="pct"/>
            <w:gridSpan w:val="3"/>
            <w:hideMark/>
          </w:tcPr>
          <w:p w:rsidR="00F060C8" w:rsidRPr="007D74C6" w:rsidRDefault="00F060C8" w:rsidP="00EC16C5">
            <w:pPr>
              <w:pStyle w:val="TableHeading"/>
              <w:jc w:val="center"/>
              <w:rPr>
                <w:rFonts w:cs="Arial"/>
                <w:b w:val="0"/>
                <w:sz w:val="20"/>
                <w:szCs w:val="20"/>
              </w:rPr>
            </w:pPr>
            <w:r w:rsidRPr="007D74C6">
              <w:rPr>
                <w:rFonts w:cs="Arial"/>
                <w:b w:val="0"/>
                <w:sz w:val="20"/>
                <w:szCs w:val="20"/>
              </w:rPr>
              <w:t>Price ($/MWh)</w:t>
            </w:r>
          </w:p>
        </w:tc>
        <w:tc>
          <w:tcPr>
            <w:tcW w:w="1522" w:type="pct"/>
            <w:gridSpan w:val="3"/>
            <w:hideMark/>
          </w:tcPr>
          <w:p w:rsidR="00F060C8" w:rsidRPr="007D74C6" w:rsidRDefault="00F060C8" w:rsidP="00EC16C5">
            <w:pPr>
              <w:pStyle w:val="TableHeading"/>
              <w:jc w:val="center"/>
              <w:rPr>
                <w:rFonts w:cs="Arial"/>
                <w:b w:val="0"/>
                <w:sz w:val="20"/>
                <w:szCs w:val="20"/>
              </w:rPr>
            </w:pPr>
            <w:r w:rsidRPr="007D74C6">
              <w:rPr>
                <w:rFonts w:cs="Arial"/>
                <w:b w:val="0"/>
                <w:sz w:val="20"/>
                <w:szCs w:val="20"/>
              </w:rPr>
              <w:t>Demand (MW)</w:t>
            </w:r>
          </w:p>
        </w:tc>
        <w:tc>
          <w:tcPr>
            <w:tcW w:w="1443" w:type="pct"/>
            <w:gridSpan w:val="3"/>
            <w:hideMark/>
          </w:tcPr>
          <w:p w:rsidR="00F060C8" w:rsidRPr="007D74C6" w:rsidRDefault="00F060C8" w:rsidP="00EC16C5">
            <w:pPr>
              <w:pStyle w:val="TableHeading"/>
              <w:jc w:val="center"/>
              <w:rPr>
                <w:rFonts w:cs="Arial"/>
                <w:b w:val="0"/>
                <w:sz w:val="20"/>
                <w:szCs w:val="20"/>
              </w:rPr>
            </w:pPr>
            <w:r w:rsidRPr="007D74C6">
              <w:rPr>
                <w:rFonts w:cs="Arial"/>
                <w:b w:val="0"/>
                <w:sz w:val="20"/>
                <w:szCs w:val="20"/>
              </w:rPr>
              <w:t>Availability (MW)</w:t>
            </w:r>
          </w:p>
        </w:tc>
      </w:tr>
      <w:tr w:rsidR="00F060C8" w:rsidRPr="0073319F" w:rsidTr="00F3401F">
        <w:trPr>
          <w:cnfStyle w:val="100000000000" w:firstRow="1" w:lastRow="0" w:firstColumn="0" w:lastColumn="0" w:oddVBand="0" w:evenVBand="0" w:oddHBand="0" w:evenHBand="0" w:firstRowFirstColumn="0" w:firstRowLastColumn="0" w:lastRowFirstColumn="0" w:lastRowLastColumn="0"/>
          <w:tblHeader/>
        </w:trPr>
        <w:tc>
          <w:tcPr>
            <w:tcW w:w="532" w:type="pct"/>
            <w:tcMar>
              <w:left w:w="57" w:type="dxa"/>
              <w:right w:w="57" w:type="dxa"/>
            </w:tcMar>
            <w:hideMark/>
          </w:tcPr>
          <w:p w:rsidR="00F060C8" w:rsidRPr="007D74C6" w:rsidRDefault="00F060C8" w:rsidP="00EC16C5">
            <w:pPr>
              <w:pStyle w:val="tableheadingline2"/>
              <w:rPr>
                <w:rFonts w:cs="Arial"/>
                <w:sz w:val="20"/>
                <w:szCs w:val="20"/>
              </w:rPr>
            </w:pPr>
            <w:r w:rsidRPr="007D74C6">
              <w:rPr>
                <w:rFonts w:cs="Arial"/>
                <w:sz w:val="20"/>
                <w:szCs w:val="20"/>
              </w:rPr>
              <w:t> </w:t>
            </w:r>
          </w:p>
        </w:tc>
        <w:tc>
          <w:tcPr>
            <w:tcW w:w="474" w:type="pct"/>
            <w:tcMar>
              <w:left w:w="57" w:type="dxa"/>
              <w:right w:w="57" w:type="dxa"/>
            </w:tcMar>
            <w:hideMark/>
          </w:tcPr>
          <w:p w:rsidR="00F060C8" w:rsidRPr="007D74C6" w:rsidRDefault="00F060C8" w:rsidP="00EC16C5">
            <w:pPr>
              <w:pStyle w:val="tableheadingline2"/>
              <w:rPr>
                <w:rFonts w:cs="Arial"/>
                <w:sz w:val="20"/>
                <w:szCs w:val="20"/>
              </w:rPr>
            </w:pPr>
            <w:r w:rsidRPr="007D74C6">
              <w:rPr>
                <w:rFonts w:cs="Arial"/>
                <w:sz w:val="20"/>
                <w:szCs w:val="20"/>
              </w:rPr>
              <w:t>Actual</w:t>
            </w:r>
          </w:p>
        </w:tc>
        <w:tc>
          <w:tcPr>
            <w:tcW w:w="498" w:type="pct"/>
            <w:tcMar>
              <w:left w:w="57" w:type="dxa"/>
              <w:right w:w="57" w:type="dxa"/>
            </w:tcMar>
            <w:hideMark/>
          </w:tcPr>
          <w:p w:rsidR="00F060C8" w:rsidRPr="007D74C6" w:rsidRDefault="00F060C8" w:rsidP="00EC16C5">
            <w:pPr>
              <w:pStyle w:val="tableheadingline2"/>
              <w:rPr>
                <w:rFonts w:cs="Arial"/>
                <w:sz w:val="20"/>
                <w:szCs w:val="20"/>
              </w:rPr>
            </w:pPr>
            <w:r w:rsidRPr="007D74C6">
              <w:rPr>
                <w:rFonts w:cs="Arial"/>
                <w:sz w:val="20"/>
                <w:szCs w:val="20"/>
              </w:rPr>
              <w:t>4 hr forecast</w:t>
            </w:r>
          </w:p>
        </w:tc>
        <w:tc>
          <w:tcPr>
            <w:tcW w:w="532" w:type="pct"/>
            <w:tcMar>
              <w:left w:w="57" w:type="dxa"/>
              <w:right w:w="57" w:type="dxa"/>
            </w:tcMar>
            <w:hideMark/>
          </w:tcPr>
          <w:p w:rsidR="00F060C8" w:rsidRPr="007D74C6" w:rsidRDefault="00F060C8" w:rsidP="00EC16C5">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F060C8" w:rsidRPr="007D74C6" w:rsidRDefault="00F060C8" w:rsidP="00EC16C5">
            <w:pPr>
              <w:pStyle w:val="tableheadingline2"/>
              <w:rPr>
                <w:rFonts w:cs="Arial"/>
                <w:sz w:val="20"/>
                <w:szCs w:val="20"/>
              </w:rPr>
            </w:pPr>
            <w:r w:rsidRPr="007D74C6">
              <w:rPr>
                <w:rFonts w:cs="Arial"/>
                <w:sz w:val="20"/>
                <w:szCs w:val="20"/>
              </w:rPr>
              <w:t>Actual</w:t>
            </w:r>
          </w:p>
        </w:tc>
        <w:tc>
          <w:tcPr>
            <w:tcW w:w="456" w:type="pct"/>
            <w:tcMar>
              <w:left w:w="57" w:type="dxa"/>
              <w:right w:w="57" w:type="dxa"/>
            </w:tcMar>
            <w:hideMark/>
          </w:tcPr>
          <w:p w:rsidR="00F060C8" w:rsidRPr="007D74C6" w:rsidRDefault="00F060C8" w:rsidP="00EC16C5">
            <w:pPr>
              <w:pStyle w:val="tableheadingline2"/>
              <w:rPr>
                <w:rFonts w:cs="Arial"/>
                <w:sz w:val="20"/>
                <w:szCs w:val="20"/>
              </w:rPr>
            </w:pPr>
            <w:r w:rsidRPr="007D74C6">
              <w:rPr>
                <w:rFonts w:cs="Arial"/>
                <w:sz w:val="20"/>
                <w:szCs w:val="20"/>
              </w:rPr>
              <w:t>4 hr forecast</w:t>
            </w:r>
          </w:p>
        </w:tc>
        <w:tc>
          <w:tcPr>
            <w:tcW w:w="534" w:type="pct"/>
            <w:tcMar>
              <w:left w:w="57" w:type="dxa"/>
              <w:right w:w="57" w:type="dxa"/>
            </w:tcMar>
            <w:hideMark/>
          </w:tcPr>
          <w:p w:rsidR="00F060C8" w:rsidRPr="007D74C6" w:rsidRDefault="00F060C8" w:rsidP="00EC16C5">
            <w:pPr>
              <w:pStyle w:val="tableheadingline2"/>
              <w:rPr>
                <w:rFonts w:cs="Arial"/>
                <w:sz w:val="20"/>
                <w:szCs w:val="20"/>
              </w:rPr>
            </w:pPr>
            <w:r w:rsidRPr="007D74C6">
              <w:rPr>
                <w:rFonts w:cs="Arial"/>
                <w:sz w:val="20"/>
                <w:szCs w:val="20"/>
              </w:rPr>
              <w:t>12 hr forecast</w:t>
            </w:r>
          </w:p>
        </w:tc>
        <w:tc>
          <w:tcPr>
            <w:tcW w:w="532" w:type="pct"/>
            <w:tcMar>
              <w:left w:w="57" w:type="dxa"/>
              <w:right w:w="57" w:type="dxa"/>
            </w:tcMar>
            <w:hideMark/>
          </w:tcPr>
          <w:p w:rsidR="00F060C8" w:rsidRPr="007D74C6" w:rsidRDefault="00F060C8" w:rsidP="00EC16C5">
            <w:pPr>
              <w:pStyle w:val="tableheadingline2"/>
              <w:rPr>
                <w:rFonts w:cs="Arial"/>
                <w:sz w:val="20"/>
                <w:szCs w:val="20"/>
              </w:rPr>
            </w:pPr>
            <w:r w:rsidRPr="007D74C6">
              <w:rPr>
                <w:rFonts w:cs="Arial"/>
                <w:sz w:val="20"/>
                <w:szCs w:val="20"/>
              </w:rPr>
              <w:t>Actual</w:t>
            </w:r>
          </w:p>
        </w:tc>
        <w:tc>
          <w:tcPr>
            <w:tcW w:w="457" w:type="pct"/>
            <w:tcMar>
              <w:left w:w="57" w:type="dxa"/>
              <w:right w:w="57" w:type="dxa"/>
            </w:tcMar>
            <w:hideMark/>
          </w:tcPr>
          <w:p w:rsidR="00F060C8" w:rsidRPr="007D74C6" w:rsidRDefault="00F060C8" w:rsidP="00EC16C5">
            <w:pPr>
              <w:pStyle w:val="tableheadingline2"/>
              <w:rPr>
                <w:rFonts w:cs="Arial"/>
                <w:sz w:val="20"/>
                <w:szCs w:val="20"/>
              </w:rPr>
            </w:pPr>
            <w:r w:rsidRPr="007D74C6">
              <w:rPr>
                <w:rFonts w:cs="Arial"/>
                <w:sz w:val="20"/>
                <w:szCs w:val="20"/>
              </w:rPr>
              <w:t>4 hr forecast</w:t>
            </w:r>
          </w:p>
        </w:tc>
        <w:tc>
          <w:tcPr>
            <w:tcW w:w="454" w:type="pct"/>
            <w:tcMar>
              <w:left w:w="57" w:type="dxa"/>
              <w:right w:w="57" w:type="dxa"/>
            </w:tcMar>
            <w:hideMark/>
          </w:tcPr>
          <w:p w:rsidR="00F060C8" w:rsidRPr="007D74C6" w:rsidRDefault="00F060C8" w:rsidP="00EC16C5">
            <w:pPr>
              <w:pStyle w:val="tableheadingline2"/>
              <w:rPr>
                <w:rFonts w:cs="Arial"/>
                <w:sz w:val="20"/>
                <w:szCs w:val="20"/>
              </w:rPr>
            </w:pPr>
            <w:r w:rsidRPr="007D74C6">
              <w:rPr>
                <w:rFonts w:cs="Arial"/>
                <w:sz w:val="20"/>
                <w:szCs w:val="20"/>
              </w:rPr>
              <w:t>12 hr forecast</w:t>
            </w:r>
          </w:p>
        </w:tc>
      </w:tr>
      <w:tr w:rsidR="00806BC1" w:rsidRPr="0073319F" w:rsidTr="00F3401F">
        <w:trPr>
          <w:cnfStyle w:val="000000100000" w:firstRow="0" w:lastRow="0" w:firstColumn="0" w:lastColumn="0" w:oddVBand="0" w:evenVBand="0" w:oddHBand="1" w:evenHBand="0" w:firstRowFirstColumn="0" w:firstRowLastColumn="0" w:lastRowFirstColumn="0" w:lastRowLastColumn="0"/>
          <w:trHeight w:val="510"/>
        </w:trPr>
        <w:tc>
          <w:tcPr>
            <w:tcW w:w="532" w:type="pct"/>
            <w:vAlign w:val="center"/>
          </w:tcPr>
          <w:p w:rsidR="00806BC1" w:rsidRPr="00806BC1" w:rsidRDefault="007F45D2">
            <w:pPr>
              <w:pStyle w:val="NormalWeb"/>
              <w:jc w:val="center"/>
              <w:rPr>
                <w:rFonts w:asciiTheme="minorHAnsi" w:hAnsiTheme="minorHAnsi" w:cstheme="minorHAnsi"/>
                <w:bCs/>
                <w:sz w:val="18"/>
                <w:szCs w:val="18"/>
              </w:rPr>
            </w:pPr>
            <w:r>
              <w:rPr>
                <w:rFonts w:asciiTheme="minorHAnsi" w:hAnsiTheme="minorHAnsi" w:cstheme="minorHAnsi"/>
                <w:bCs/>
                <w:sz w:val="18"/>
                <w:szCs w:val="18"/>
              </w:rPr>
              <w:t>9.30 am</w:t>
            </w:r>
          </w:p>
        </w:tc>
        <w:tc>
          <w:tcPr>
            <w:tcW w:w="474" w:type="pct"/>
            <w:vAlign w:val="center"/>
          </w:tcPr>
          <w:p w:rsidR="00806BC1" w:rsidRPr="00806BC1" w:rsidRDefault="00806BC1">
            <w:pPr>
              <w:pStyle w:val="NormalWeb"/>
              <w:jc w:val="center"/>
              <w:rPr>
                <w:rFonts w:asciiTheme="minorHAnsi" w:hAnsiTheme="minorHAnsi" w:cstheme="minorHAnsi"/>
                <w:bCs/>
                <w:sz w:val="18"/>
                <w:szCs w:val="18"/>
              </w:rPr>
            </w:pPr>
            <w:r w:rsidRPr="00806BC1">
              <w:rPr>
                <w:rFonts w:asciiTheme="minorHAnsi" w:hAnsiTheme="minorHAnsi" w:cstheme="minorHAnsi"/>
                <w:bCs/>
                <w:sz w:val="18"/>
                <w:szCs w:val="18"/>
              </w:rPr>
              <w:t>2402.02</w:t>
            </w:r>
          </w:p>
        </w:tc>
        <w:tc>
          <w:tcPr>
            <w:tcW w:w="498" w:type="pct"/>
            <w:vAlign w:val="center"/>
          </w:tcPr>
          <w:p w:rsidR="00806BC1" w:rsidRPr="00806BC1" w:rsidRDefault="00806BC1">
            <w:pPr>
              <w:pStyle w:val="NormalWeb"/>
              <w:jc w:val="center"/>
              <w:rPr>
                <w:rFonts w:asciiTheme="minorHAnsi" w:hAnsiTheme="minorHAnsi" w:cstheme="minorHAnsi"/>
                <w:bCs/>
                <w:sz w:val="18"/>
                <w:szCs w:val="18"/>
              </w:rPr>
            </w:pPr>
            <w:r w:rsidRPr="00806BC1">
              <w:rPr>
                <w:rFonts w:asciiTheme="minorHAnsi" w:hAnsiTheme="minorHAnsi" w:cstheme="minorHAnsi"/>
                <w:bCs/>
                <w:sz w:val="18"/>
                <w:szCs w:val="18"/>
              </w:rPr>
              <w:t>328.07</w:t>
            </w:r>
          </w:p>
        </w:tc>
        <w:tc>
          <w:tcPr>
            <w:tcW w:w="532" w:type="pct"/>
            <w:vAlign w:val="center"/>
          </w:tcPr>
          <w:p w:rsidR="00806BC1" w:rsidRPr="00806BC1" w:rsidRDefault="00806BC1">
            <w:pPr>
              <w:pStyle w:val="NormalWeb"/>
              <w:jc w:val="center"/>
              <w:rPr>
                <w:rFonts w:asciiTheme="minorHAnsi" w:hAnsiTheme="minorHAnsi" w:cstheme="minorHAnsi"/>
                <w:bCs/>
                <w:sz w:val="18"/>
                <w:szCs w:val="18"/>
              </w:rPr>
            </w:pPr>
            <w:r w:rsidRPr="00806BC1">
              <w:rPr>
                <w:rFonts w:asciiTheme="minorHAnsi" w:hAnsiTheme="minorHAnsi" w:cstheme="minorHAnsi"/>
                <w:bCs/>
                <w:sz w:val="18"/>
                <w:szCs w:val="18"/>
              </w:rPr>
              <w:t>81.58</w:t>
            </w:r>
          </w:p>
        </w:tc>
        <w:tc>
          <w:tcPr>
            <w:tcW w:w="532" w:type="pct"/>
            <w:vAlign w:val="center"/>
          </w:tcPr>
          <w:p w:rsidR="00806BC1" w:rsidRPr="00806BC1" w:rsidRDefault="00806BC1">
            <w:pPr>
              <w:pStyle w:val="NormalWeb"/>
              <w:jc w:val="center"/>
              <w:rPr>
                <w:rFonts w:asciiTheme="minorHAnsi" w:hAnsiTheme="minorHAnsi" w:cstheme="minorHAnsi"/>
                <w:bCs/>
                <w:sz w:val="18"/>
                <w:szCs w:val="18"/>
              </w:rPr>
            </w:pPr>
            <w:r w:rsidRPr="00806BC1">
              <w:rPr>
                <w:rFonts w:asciiTheme="minorHAnsi" w:hAnsiTheme="minorHAnsi" w:cstheme="minorHAnsi"/>
                <w:bCs/>
                <w:sz w:val="18"/>
                <w:szCs w:val="18"/>
              </w:rPr>
              <w:t>1296</w:t>
            </w:r>
          </w:p>
        </w:tc>
        <w:tc>
          <w:tcPr>
            <w:tcW w:w="456" w:type="pct"/>
            <w:vAlign w:val="center"/>
          </w:tcPr>
          <w:p w:rsidR="00806BC1" w:rsidRPr="00806BC1" w:rsidRDefault="00806BC1">
            <w:pPr>
              <w:pStyle w:val="NormalWeb"/>
              <w:jc w:val="center"/>
              <w:rPr>
                <w:rFonts w:asciiTheme="minorHAnsi" w:hAnsiTheme="minorHAnsi" w:cstheme="minorHAnsi"/>
                <w:bCs/>
                <w:sz w:val="18"/>
                <w:szCs w:val="18"/>
              </w:rPr>
            </w:pPr>
            <w:r w:rsidRPr="00806BC1">
              <w:rPr>
                <w:rFonts w:asciiTheme="minorHAnsi" w:hAnsiTheme="minorHAnsi" w:cstheme="minorHAnsi"/>
                <w:bCs/>
                <w:sz w:val="18"/>
                <w:szCs w:val="18"/>
              </w:rPr>
              <w:t>1347</w:t>
            </w:r>
          </w:p>
        </w:tc>
        <w:tc>
          <w:tcPr>
            <w:tcW w:w="534" w:type="pct"/>
            <w:vAlign w:val="center"/>
          </w:tcPr>
          <w:p w:rsidR="00806BC1" w:rsidRPr="00806BC1" w:rsidRDefault="00806BC1">
            <w:pPr>
              <w:pStyle w:val="NormalWeb"/>
              <w:jc w:val="center"/>
              <w:rPr>
                <w:rFonts w:asciiTheme="minorHAnsi" w:hAnsiTheme="minorHAnsi" w:cstheme="minorHAnsi"/>
                <w:bCs/>
                <w:sz w:val="18"/>
                <w:szCs w:val="18"/>
              </w:rPr>
            </w:pPr>
            <w:r w:rsidRPr="00806BC1">
              <w:rPr>
                <w:rFonts w:asciiTheme="minorHAnsi" w:hAnsiTheme="minorHAnsi" w:cstheme="minorHAnsi"/>
                <w:bCs/>
                <w:sz w:val="18"/>
                <w:szCs w:val="18"/>
              </w:rPr>
              <w:t>1350</w:t>
            </w:r>
          </w:p>
        </w:tc>
        <w:tc>
          <w:tcPr>
            <w:tcW w:w="532" w:type="pct"/>
            <w:vAlign w:val="center"/>
          </w:tcPr>
          <w:p w:rsidR="00806BC1" w:rsidRPr="00806BC1" w:rsidRDefault="00806BC1">
            <w:pPr>
              <w:pStyle w:val="NormalWeb"/>
              <w:jc w:val="center"/>
              <w:rPr>
                <w:rFonts w:asciiTheme="minorHAnsi" w:hAnsiTheme="minorHAnsi" w:cstheme="minorHAnsi"/>
                <w:bCs/>
                <w:sz w:val="18"/>
                <w:szCs w:val="18"/>
              </w:rPr>
            </w:pPr>
            <w:r w:rsidRPr="00806BC1">
              <w:rPr>
                <w:rFonts w:asciiTheme="minorHAnsi" w:hAnsiTheme="minorHAnsi" w:cstheme="minorHAnsi"/>
                <w:bCs/>
                <w:sz w:val="18"/>
                <w:szCs w:val="18"/>
              </w:rPr>
              <w:t>2244</w:t>
            </w:r>
          </w:p>
        </w:tc>
        <w:tc>
          <w:tcPr>
            <w:tcW w:w="457" w:type="pct"/>
            <w:vAlign w:val="center"/>
          </w:tcPr>
          <w:p w:rsidR="00806BC1" w:rsidRPr="00806BC1" w:rsidRDefault="00806BC1">
            <w:pPr>
              <w:pStyle w:val="NormalWeb"/>
              <w:jc w:val="center"/>
              <w:rPr>
                <w:rFonts w:asciiTheme="minorHAnsi" w:hAnsiTheme="minorHAnsi" w:cstheme="minorHAnsi"/>
                <w:bCs/>
                <w:sz w:val="18"/>
                <w:szCs w:val="18"/>
              </w:rPr>
            </w:pPr>
            <w:r w:rsidRPr="00806BC1">
              <w:rPr>
                <w:rFonts w:asciiTheme="minorHAnsi" w:hAnsiTheme="minorHAnsi" w:cstheme="minorHAnsi"/>
                <w:bCs/>
                <w:sz w:val="18"/>
                <w:szCs w:val="18"/>
              </w:rPr>
              <w:t>2323</w:t>
            </w:r>
          </w:p>
        </w:tc>
        <w:tc>
          <w:tcPr>
            <w:tcW w:w="454" w:type="pct"/>
            <w:vAlign w:val="center"/>
          </w:tcPr>
          <w:p w:rsidR="00806BC1" w:rsidRPr="00806BC1" w:rsidRDefault="00806BC1">
            <w:pPr>
              <w:pStyle w:val="NormalWeb"/>
              <w:jc w:val="center"/>
              <w:rPr>
                <w:rFonts w:asciiTheme="minorHAnsi" w:hAnsiTheme="minorHAnsi" w:cstheme="minorHAnsi"/>
                <w:bCs/>
                <w:sz w:val="18"/>
                <w:szCs w:val="18"/>
              </w:rPr>
            </w:pPr>
            <w:r w:rsidRPr="00806BC1">
              <w:rPr>
                <w:rFonts w:asciiTheme="minorHAnsi" w:hAnsiTheme="minorHAnsi" w:cstheme="minorHAnsi"/>
                <w:bCs/>
                <w:sz w:val="18"/>
                <w:szCs w:val="18"/>
              </w:rPr>
              <w:t>2317</w:t>
            </w:r>
          </w:p>
        </w:tc>
      </w:tr>
    </w:tbl>
    <w:p w:rsidR="00D14518" w:rsidRDefault="00B45484" w:rsidP="00B45484">
      <w:pPr>
        <w:pStyle w:val="AERbodytext"/>
      </w:pPr>
      <w:r>
        <w:t>The spot price was higher than forecast four hours ahead.</w:t>
      </w:r>
      <w:r w:rsidR="00806BC1">
        <w:t xml:space="preserve"> Demand and availability were both lower than forecast four hours ahead.</w:t>
      </w:r>
    </w:p>
    <w:p w:rsidR="00F3401F" w:rsidRDefault="00F3401F" w:rsidP="00F3401F">
      <w:pPr>
        <w:pStyle w:val="AERbodytext"/>
      </w:pPr>
      <w:r>
        <w:t xml:space="preserve">At 9.10 am the </w:t>
      </w:r>
      <w:r w:rsidR="00522199">
        <w:t xml:space="preserve">local Tasmanian </w:t>
      </w:r>
      <w:r>
        <w:t>requirement for raise 6 and 60 second FCAS increase from 0 to 22 MW and 37 MW respectively</w:t>
      </w:r>
      <w:r w:rsidR="000B3004">
        <w:t xml:space="preserve"> as a network constraint designed to control </w:t>
      </w:r>
      <w:proofErr w:type="spellStart"/>
      <w:r w:rsidR="000B3004">
        <w:t>Basslink</w:t>
      </w:r>
      <w:proofErr w:type="spellEnd"/>
      <w:r w:rsidR="000B3004">
        <w:t xml:space="preserve">, which forms part of the </w:t>
      </w:r>
      <w:r w:rsidR="000B3004" w:rsidRPr="00522199">
        <w:t>n</w:t>
      </w:r>
      <w:r w:rsidR="000B3004">
        <w:t xml:space="preserve">etwork control </w:t>
      </w:r>
      <w:r w:rsidR="000B3004" w:rsidRPr="00522199">
        <w:t>s</w:t>
      </w:r>
      <w:r w:rsidR="000B3004">
        <w:t xml:space="preserve">pecial </w:t>
      </w:r>
      <w:r w:rsidR="000B3004" w:rsidRPr="00522199">
        <w:t>p</w:t>
      </w:r>
      <w:r w:rsidR="000B3004">
        <w:t xml:space="preserve">rotection </w:t>
      </w:r>
      <w:r w:rsidR="000B3004" w:rsidRPr="00522199">
        <w:t>s</w:t>
      </w:r>
      <w:r w:rsidR="000B3004">
        <w:t>cheme, violated</w:t>
      </w:r>
      <w:r>
        <w:t xml:space="preserve">. The co-optimisation of these services with the energy market caused the price to increase from $120/MWh at 9.05 am to $14 000/MWh at 9.10 am </w:t>
      </w:r>
    </w:p>
    <w:p w:rsidR="00F060C8" w:rsidRPr="004E0F0F" w:rsidRDefault="00C567DE" w:rsidP="003134B8">
      <w:pPr>
        <w:pStyle w:val="AERbodytext"/>
      </w:pPr>
      <w:r>
        <w:t xml:space="preserve">At 9.15 am, demand decreased by 96 MW </w:t>
      </w:r>
      <w:r w:rsidR="00E936DB">
        <w:t xml:space="preserve">and FCAS requirement fell to 0 MW, resulting in the dispatch price falling to </w:t>
      </w:r>
      <w:r w:rsidR="008A346B">
        <w:t>$77/MWh and staying low for the rest of the trading interval.</w:t>
      </w:r>
    </w:p>
    <w:bookmarkEnd w:id="0"/>
    <w:bookmarkEnd w:id="1"/>
    <w:bookmarkEnd w:id="2"/>
    <w:bookmarkEnd w:id="3"/>
    <w:bookmarkEnd w:id="4"/>
    <w:bookmarkEnd w:id="5"/>
    <w:p w:rsidR="00275002" w:rsidRPr="009064FC" w:rsidRDefault="00275002" w:rsidP="004F6D0A">
      <w:pPr>
        <w:pStyle w:val="Heading2"/>
      </w:pPr>
      <w:r w:rsidRPr="004F6D0A">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173420">
        <w:t>Figure 9</w:t>
      </w:r>
      <w:r>
        <w:fldChar w:fldCharType="end"/>
      </w:r>
      <w:r>
        <w:t xml:space="preserve"> </w:t>
      </w:r>
      <w:r w:rsidRPr="0031019A">
        <w:t xml:space="preserve">shows for all mainland regions the prices for base contracts (and total traded quantities for the week) for each quarter for the next four financial years. </w:t>
      </w:r>
      <w:r w:rsidR="000B3004">
        <w:t xml:space="preserve"> Only 4 trades were recorded for South Australia during the week and these were for Q4 2016 contracts.</w:t>
      </w:r>
    </w:p>
    <w:p w:rsidR="00D73D17" w:rsidRDefault="00275002" w:rsidP="00783D4E">
      <w:pPr>
        <w:pStyle w:val="Caption"/>
        <w:spacing w:before="0" w:line="240" w:lineRule="auto"/>
      </w:pPr>
      <w:bookmarkStart w:id="21" w:name="_Ref410386540"/>
      <w:r>
        <w:lastRenderedPageBreak/>
        <w:t xml:space="preserve">Figure </w:t>
      </w:r>
      <w:r w:rsidR="00173420">
        <w:fldChar w:fldCharType="begin"/>
      </w:r>
      <w:r w:rsidR="00173420">
        <w:instrText xml:space="preserve"> SEQ Figure \* ARABIC </w:instrText>
      </w:r>
      <w:r w:rsidR="00173420">
        <w:fldChar w:fldCharType="separate"/>
      </w:r>
      <w:r w:rsidR="00173420">
        <w:rPr>
          <w:noProof/>
        </w:rPr>
        <w:t>9</w:t>
      </w:r>
      <w:r w:rsidR="00173420">
        <w:rPr>
          <w:noProof/>
        </w:rPr>
        <w:fldChar w:fldCharType="end"/>
      </w:r>
      <w:bookmarkEnd w:id="21"/>
      <w:r w:rsidR="002515C3">
        <w:t>:</w:t>
      </w:r>
      <w:r>
        <w:t xml:space="preserve"> </w:t>
      </w:r>
      <w:r w:rsidRPr="007A6ACB">
        <w:t>Quarterly base future prices Q</w:t>
      </w:r>
      <w:r w:rsidR="00491631">
        <w:t>3</w:t>
      </w:r>
      <w:r w:rsidR="00C4712A">
        <w:t xml:space="preserve"> 2016</w:t>
      </w:r>
      <w:r w:rsidRPr="007A6ACB">
        <w:t xml:space="preserve"> – Q</w:t>
      </w:r>
      <w:r w:rsidR="00D97DE8">
        <w:t>2</w:t>
      </w:r>
      <w:r w:rsidR="0069547C">
        <w:t xml:space="preserve"> 2020</w:t>
      </w:r>
    </w:p>
    <w:p w:rsidR="00CA0ECB" w:rsidRPr="00037EB9" w:rsidRDefault="000B3004" w:rsidP="00783D4E">
      <w:pPr>
        <w:spacing w:before="0" w:after="120" w:line="240" w:lineRule="auto"/>
        <w:rPr>
          <w:sz w:val="16"/>
          <w:szCs w:val="16"/>
        </w:rPr>
      </w:pPr>
      <w:r w:rsidRPr="000B3004">
        <w:rPr>
          <w:noProof/>
          <w:lang w:eastAsia="en-AU"/>
        </w:rPr>
        <w:drawing>
          <wp:inline distT="0" distB="0" distL="0" distR="0">
            <wp:extent cx="5731200" cy="2887200"/>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200" cy="2887200"/>
                    </a:xfrm>
                    <a:prstGeom prst="rect">
                      <a:avLst/>
                    </a:prstGeom>
                    <a:noFill/>
                    <a:ln>
                      <a:noFill/>
                    </a:ln>
                  </pic:spPr>
                </pic:pic>
              </a:graphicData>
            </a:graphic>
          </wp:inline>
        </w:drawing>
      </w:r>
      <w:r w:rsidRPr="000B3004">
        <w:t xml:space="preserve"> </w:t>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0" w:history="1">
        <w:r w:rsidR="00275002" w:rsidRPr="00A64EBB">
          <w:rPr>
            <w:sz w:val="16"/>
            <w:szCs w:val="16"/>
          </w:rPr>
          <w:t>ASXEnergy.com.au</w:t>
        </w:r>
      </w:hyperlink>
    </w:p>
    <w:p w:rsidR="000D4350" w:rsidRPr="00491631"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173420" w:rsidRPr="00491631">
        <w:t xml:space="preserve">Figure </w:t>
      </w:r>
      <w:r w:rsidR="00173420">
        <w:rPr>
          <w:noProof/>
        </w:rPr>
        <w:t>10</w:t>
      </w:r>
      <w:r>
        <w:fldChar w:fldCharType="end"/>
      </w:r>
      <w:r>
        <w:t xml:space="preserve"> </w:t>
      </w:r>
      <w:r w:rsidRPr="0031019A">
        <w:t>shows h</w:t>
      </w:r>
      <w:r w:rsidR="004E567F">
        <w:t>ow the price for each regional q</w:t>
      </w:r>
      <w:r w:rsidRPr="0031019A">
        <w:t>uarter 1 201</w:t>
      </w:r>
      <w:r w:rsidR="00414EA6">
        <w:t>7</w:t>
      </w:r>
      <w:r w:rsidRPr="0031019A">
        <w:t xml:space="preserve"> base contract has changed over the last 10 weeks (as well as the total number of trades each week). The closing quarter 1 201</w:t>
      </w:r>
      <w:r w:rsidR="00414EA6">
        <w:t>5</w:t>
      </w:r>
      <w:r w:rsidRPr="0031019A">
        <w:t xml:space="preserve"> and quarter 1 201</w:t>
      </w:r>
      <w:r w:rsidR="00414EA6">
        <w:t>6</w:t>
      </w:r>
      <w:r w:rsidRPr="0031019A">
        <w:t xml:space="preserve"> prices are also shown. The AER notes that data for </w:t>
      </w:r>
      <w:r w:rsidR="005A5657" w:rsidRPr="00491631">
        <w:t>South </w:t>
      </w:r>
      <w:r w:rsidRPr="00491631">
        <w:t>Australia is less reliable due to very low numbers of trades</w:t>
      </w:r>
      <w:r w:rsidR="000B3004">
        <w:t xml:space="preserve"> – no trades were recorded </w:t>
      </w:r>
      <w:r w:rsidR="007E647C">
        <w:t xml:space="preserve">in South Australia </w:t>
      </w:r>
      <w:r w:rsidR="000B3004">
        <w:t>for</w:t>
      </w:r>
      <w:r w:rsidR="007E647C">
        <w:t xml:space="preserve"> Q1 2017 base or cap contracts </w:t>
      </w:r>
      <w:r w:rsidR="000B3004">
        <w:t>this week</w:t>
      </w:r>
      <w:r w:rsidRPr="00491631">
        <w:t>.</w:t>
      </w:r>
    </w:p>
    <w:p w:rsidR="00275002" w:rsidRDefault="00275002" w:rsidP="00783D4E">
      <w:pPr>
        <w:pStyle w:val="Caption"/>
        <w:spacing w:before="0" w:line="240" w:lineRule="auto"/>
      </w:pPr>
      <w:bookmarkStart w:id="22" w:name="_Ref410380382"/>
      <w:r w:rsidRPr="00491631">
        <w:t xml:space="preserve">Figure </w:t>
      </w:r>
      <w:r w:rsidR="00173420">
        <w:fldChar w:fldCharType="begin"/>
      </w:r>
      <w:r w:rsidR="00173420">
        <w:instrText xml:space="preserve"> SE</w:instrText>
      </w:r>
      <w:r w:rsidR="00173420">
        <w:instrText xml:space="preserve">Q Figure \* ARABIC </w:instrText>
      </w:r>
      <w:r w:rsidR="00173420">
        <w:fldChar w:fldCharType="separate"/>
      </w:r>
      <w:r w:rsidR="00173420">
        <w:rPr>
          <w:noProof/>
        </w:rPr>
        <w:t>10</w:t>
      </w:r>
      <w:r w:rsidR="00173420">
        <w:rPr>
          <w:noProof/>
        </w:rPr>
        <w:fldChar w:fldCharType="end"/>
      </w:r>
      <w:bookmarkEnd w:id="22"/>
      <w:r w:rsidR="002515C3" w:rsidRPr="00491631">
        <w:t>:</w:t>
      </w:r>
      <w:r w:rsidRPr="00491631">
        <w:t xml:space="preserve"> Price of Q1 201</w:t>
      </w:r>
      <w:r w:rsidR="00414EA6" w:rsidRPr="00491631">
        <w:t>7</w:t>
      </w:r>
      <w:r w:rsidRPr="00491631">
        <w:t xml:space="preserve"> base contracts over the past 10 weeks (and the past 2 years)</w:t>
      </w:r>
    </w:p>
    <w:p w:rsidR="00275002" w:rsidRPr="0031019A" w:rsidRDefault="00367142" w:rsidP="00C466B4">
      <w:pPr>
        <w:pStyle w:val="Source"/>
        <w:spacing w:before="0" w:after="120" w:line="240" w:lineRule="auto"/>
        <w:jc w:val="both"/>
      </w:pPr>
      <w:r w:rsidRPr="00367142">
        <w:rPr>
          <w:noProof/>
          <w:lang w:eastAsia="en-AU"/>
        </w:rPr>
        <w:drawing>
          <wp:inline distT="0" distB="0" distL="0" distR="0" wp14:anchorId="29C7D873" wp14:editId="72C78E5D">
            <wp:extent cx="5731510" cy="2901820"/>
            <wp:effectExtent l="0" t="0" r="2540" b="0"/>
            <wp:docPr id="23" name="Picture 23"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901820"/>
                    </a:xfrm>
                    <a:prstGeom prst="rect">
                      <a:avLst/>
                    </a:prstGeom>
                    <a:noFill/>
                    <a:ln>
                      <a:noFill/>
                    </a:ln>
                  </pic:spPr>
                </pic:pic>
              </a:graphicData>
            </a:graphic>
          </wp:inline>
        </w:drawing>
      </w:r>
      <w:r w:rsidR="00275002" w:rsidRPr="0031019A">
        <w:t>Note</w:t>
      </w:r>
      <w:r w:rsidR="00F72F41">
        <w:t>.</w:t>
      </w:r>
      <w:r w:rsidR="00275002"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2"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3"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fldChar w:fldCharType="begin"/>
      </w:r>
      <w:r>
        <w:instrText xml:space="preserve"> REF _Ref428276233 \h </w:instrText>
      </w:r>
      <w:r w:rsidR="00AF7C0E">
        <w:instrText xml:space="preserve"> \* MERGEFORMAT </w:instrText>
      </w:r>
      <w:r>
        <w:fldChar w:fldCharType="separate"/>
      </w:r>
      <w:r w:rsidR="00173420">
        <w:t xml:space="preserve">Figure </w:t>
      </w:r>
      <w:r w:rsidR="00173420">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quarter 1 201</w:t>
      </w:r>
      <w:r w:rsidR="007C6FE2">
        <w:t>6</w:t>
      </w:r>
      <w:r w:rsidR="00275002" w:rsidRPr="0031019A">
        <w:t xml:space="preserve"> prices are also shown. </w:t>
      </w:r>
    </w:p>
    <w:p w:rsidR="00275002" w:rsidRDefault="00275002" w:rsidP="002B720D">
      <w:pPr>
        <w:pStyle w:val="Caption"/>
      </w:pPr>
      <w:bookmarkStart w:id="23" w:name="_Ref428276233"/>
      <w:bookmarkStart w:id="24" w:name="_Ref410744936"/>
      <w:r>
        <w:lastRenderedPageBreak/>
        <w:t xml:space="preserve">Figure </w:t>
      </w:r>
      <w:r w:rsidR="00173420">
        <w:fldChar w:fldCharType="begin"/>
      </w:r>
      <w:r w:rsidR="00173420">
        <w:instrText xml:space="preserve"> SEQ Figure \* ARABIC </w:instrText>
      </w:r>
      <w:r w:rsidR="00173420">
        <w:fldChar w:fldCharType="separate"/>
      </w:r>
      <w:r w:rsidR="00173420">
        <w:rPr>
          <w:noProof/>
        </w:rPr>
        <w:t>11</w:t>
      </w:r>
      <w:r w:rsidR="00173420">
        <w:rPr>
          <w:noProof/>
        </w:rPr>
        <w:fldChar w:fldCharType="end"/>
      </w:r>
      <w:bookmarkEnd w:id="23"/>
      <w:r w:rsidR="002515C3">
        <w:t>:</w:t>
      </w:r>
      <w:r w:rsidRPr="0074419D">
        <w:t xml:space="preserve"> Price of Q1 201</w:t>
      </w:r>
      <w:r w:rsidR="007C6FE2">
        <w:t>7</w:t>
      </w:r>
      <w:r w:rsidRPr="0074419D">
        <w:t xml:space="preserve"> cap contracts over the past 10 weeks (and the past 2 years)</w:t>
      </w:r>
      <w:bookmarkEnd w:id="24"/>
    </w:p>
    <w:p w:rsidR="000D4350" w:rsidRDefault="00EB3444" w:rsidP="00037EB9">
      <w:pPr>
        <w:pStyle w:val="Source"/>
        <w:spacing w:before="0" w:after="0" w:line="240" w:lineRule="auto"/>
      </w:pPr>
      <w:r w:rsidRPr="00EB3444">
        <w:rPr>
          <w:noProof/>
          <w:lang w:eastAsia="en-AU"/>
        </w:rPr>
        <w:drawing>
          <wp:inline distT="0" distB="0" distL="0" distR="0" wp14:anchorId="562DEF10" wp14:editId="3B392D2D">
            <wp:extent cx="5731510" cy="2873998"/>
            <wp:effectExtent l="0" t="0" r="2540" b="3175"/>
            <wp:docPr id="24" name="Picture 24" descr="Figure 11 shows how the price for each regional Quarter 1 2017 cap contract has changed over the last 10 weeks (as well as the total number of trades each week). The closing quarter 1 2015 and quarter 1 2016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73998"/>
                    </a:xfrm>
                    <a:prstGeom prst="rect">
                      <a:avLst/>
                    </a:prstGeom>
                    <a:noFill/>
                    <a:ln>
                      <a:noFill/>
                    </a:ln>
                  </pic:spPr>
                </pic:pic>
              </a:graphicData>
            </a:graphic>
          </wp:inline>
        </w:drawing>
      </w:r>
      <w:proofErr w:type="gramStart"/>
      <w:r w:rsidR="00275002" w:rsidRPr="002A7439">
        <w:t>Source</w:t>
      </w:r>
      <w:r w:rsidR="00F72F41">
        <w:t>.</w:t>
      </w:r>
      <w:proofErr w:type="gramEnd"/>
      <w:r w:rsidR="00275002" w:rsidRPr="002A7439">
        <w:t xml:space="preserve"> </w:t>
      </w:r>
      <w:hyperlink r:id="rId25" w:history="1">
        <w:r w:rsidR="00275002"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556553">
        <w:t>August</w:t>
      </w:r>
      <w:r w:rsidR="004D5447" w:rsidRPr="00D92E07">
        <w:t xml:space="preserve"> </w:t>
      </w:r>
      <w:r w:rsidR="00C4712A" w:rsidRPr="00D92E07">
        <w:t>2016</w:t>
      </w:r>
    </w:p>
    <w:sectPr w:rsidR="00275002" w:rsidRPr="009F2CAC" w:rsidSect="00562EF1">
      <w:footerReference w:type="even" r:id="rId26"/>
      <w:footerReference w:type="default" r:id="rId27"/>
      <w:footerReference w:type="first" r:id="rId28"/>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CDC" w:rsidRDefault="00C24CDC" w:rsidP="004B4412">
      <w:pPr>
        <w:spacing w:before="0"/>
      </w:pPr>
      <w:r>
        <w:separator/>
      </w:r>
    </w:p>
  </w:endnote>
  <w:endnote w:type="continuationSeparator" w:id="0">
    <w:p w:rsidR="00C24CDC" w:rsidRDefault="00C24CDC"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DC" w:rsidRPr="00A91A9E" w:rsidRDefault="00C24CDC"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C24CDC" w:rsidRDefault="00C24CDC"/>
  <w:p w:rsidR="00C24CDC" w:rsidRDefault="00C24C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DC" w:rsidRPr="00A94D89" w:rsidRDefault="00C24CDC"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173420">
      <w:rPr>
        <w:rFonts w:cs="Arial"/>
        <w:i/>
        <w:noProof/>
      </w:rPr>
      <w:t>10</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DC" w:rsidRPr="00A94D89" w:rsidRDefault="00C24CDC"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173420">
      <w:rPr>
        <w:rFonts w:cs="Arial"/>
        <w:i/>
        <w:noProof/>
      </w:rPr>
      <w:t>1</w:t>
    </w:r>
    <w:r w:rsidRPr="001F1B78">
      <w:rPr>
        <w:rFonts w:cs="Arial"/>
        <w:i/>
        <w:noProof/>
      </w:rPr>
      <w:fldChar w:fldCharType="end"/>
    </w:r>
    <w:r w:rsidRPr="00F52F00">
      <w:rPr>
        <w:rFonts w:cs="Arial"/>
        <w:i/>
      </w:rPr>
      <w:tab/>
      <w:t xml:space="preserve">AER reference: 39220 – </w:t>
    </w:r>
    <w:r w:rsidR="007F45D2">
      <w:rPr>
        <w:rFonts w:cs="Arial"/>
        <w:i/>
      </w:rPr>
      <w:t>D16/109458</w:t>
    </w:r>
  </w:p>
  <w:p w:rsidR="00C24CDC" w:rsidRDefault="00C24C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CDC" w:rsidRDefault="00C24CDC" w:rsidP="004B4412">
      <w:pPr>
        <w:spacing w:before="0"/>
      </w:pPr>
      <w:r>
        <w:separator/>
      </w:r>
    </w:p>
  </w:footnote>
  <w:footnote w:type="continuationSeparator" w:id="0">
    <w:p w:rsidR="00C24CDC" w:rsidRDefault="00C24CDC"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john\Electricity Report 24 - 30 July 2016.DOCX"/>
  </w:docVars>
  <w:rsids>
    <w:rsidRoot w:val="00275002"/>
    <w:rsid w:val="00000817"/>
    <w:rsid w:val="00000BFE"/>
    <w:rsid w:val="00000CC3"/>
    <w:rsid w:val="00001D6D"/>
    <w:rsid w:val="00003169"/>
    <w:rsid w:val="00005D12"/>
    <w:rsid w:val="0000728F"/>
    <w:rsid w:val="00007624"/>
    <w:rsid w:val="000128E1"/>
    <w:rsid w:val="0001415C"/>
    <w:rsid w:val="000147C1"/>
    <w:rsid w:val="00014D5F"/>
    <w:rsid w:val="00017DD0"/>
    <w:rsid w:val="00021202"/>
    <w:rsid w:val="0002123D"/>
    <w:rsid w:val="00022746"/>
    <w:rsid w:val="00022B91"/>
    <w:rsid w:val="00022F09"/>
    <w:rsid w:val="00024215"/>
    <w:rsid w:val="000242E7"/>
    <w:rsid w:val="00024369"/>
    <w:rsid w:val="00024C84"/>
    <w:rsid w:val="00026CDF"/>
    <w:rsid w:val="00030794"/>
    <w:rsid w:val="000308B1"/>
    <w:rsid w:val="000312E6"/>
    <w:rsid w:val="000316E7"/>
    <w:rsid w:val="00031F4C"/>
    <w:rsid w:val="00032CF4"/>
    <w:rsid w:val="00033902"/>
    <w:rsid w:val="00033BE8"/>
    <w:rsid w:val="0003564D"/>
    <w:rsid w:val="0003578C"/>
    <w:rsid w:val="00035A9A"/>
    <w:rsid w:val="00037A6F"/>
    <w:rsid w:val="00037EB9"/>
    <w:rsid w:val="00040E4C"/>
    <w:rsid w:val="00041A89"/>
    <w:rsid w:val="000422AB"/>
    <w:rsid w:val="00043FA7"/>
    <w:rsid w:val="000442BA"/>
    <w:rsid w:val="00044D80"/>
    <w:rsid w:val="000452BA"/>
    <w:rsid w:val="00045F0A"/>
    <w:rsid w:val="000461E2"/>
    <w:rsid w:val="0005123C"/>
    <w:rsid w:val="00051880"/>
    <w:rsid w:val="000528FD"/>
    <w:rsid w:val="00056949"/>
    <w:rsid w:val="000576CD"/>
    <w:rsid w:val="00057973"/>
    <w:rsid w:val="00057EFD"/>
    <w:rsid w:val="00061ABD"/>
    <w:rsid w:val="00061CE2"/>
    <w:rsid w:val="00061E3B"/>
    <w:rsid w:val="00063247"/>
    <w:rsid w:val="00063473"/>
    <w:rsid w:val="00066157"/>
    <w:rsid w:val="000661AF"/>
    <w:rsid w:val="00070F9F"/>
    <w:rsid w:val="0007137B"/>
    <w:rsid w:val="000738F4"/>
    <w:rsid w:val="00074A4E"/>
    <w:rsid w:val="000758D3"/>
    <w:rsid w:val="00075D7D"/>
    <w:rsid w:val="000766E2"/>
    <w:rsid w:val="00077616"/>
    <w:rsid w:val="00077819"/>
    <w:rsid w:val="00085663"/>
    <w:rsid w:val="00085EBF"/>
    <w:rsid w:val="00086B36"/>
    <w:rsid w:val="00086CF3"/>
    <w:rsid w:val="00087C4A"/>
    <w:rsid w:val="00087CDC"/>
    <w:rsid w:val="00091FB4"/>
    <w:rsid w:val="0009511C"/>
    <w:rsid w:val="0009584C"/>
    <w:rsid w:val="000961FA"/>
    <w:rsid w:val="00096387"/>
    <w:rsid w:val="0009653D"/>
    <w:rsid w:val="00097A25"/>
    <w:rsid w:val="000A241B"/>
    <w:rsid w:val="000A29ED"/>
    <w:rsid w:val="000A4529"/>
    <w:rsid w:val="000A62D6"/>
    <w:rsid w:val="000A6F14"/>
    <w:rsid w:val="000B0311"/>
    <w:rsid w:val="000B3004"/>
    <w:rsid w:val="000B34F5"/>
    <w:rsid w:val="000B364C"/>
    <w:rsid w:val="000B3C8A"/>
    <w:rsid w:val="000B7257"/>
    <w:rsid w:val="000C0472"/>
    <w:rsid w:val="000C1B93"/>
    <w:rsid w:val="000C1FA4"/>
    <w:rsid w:val="000D0A74"/>
    <w:rsid w:val="000D122C"/>
    <w:rsid w:val="000D19B5"/>
    <w:rsid w:val="000D1F96"/>
    <w:rsid w:val="000D355E"/>
    <w:rsid w:val="000D3C77"/>
    <w:rsid w:val="000D4350"/>
    <w:rsid w:val="000D5ADE"/>
    <w:rsid w:val="000D68C5"/>
    <w:rsid w:val="000E00DE"/>
    <w:rsid w:val="000E1819"/>
    <w:rsid w:val="000E1A1B"/>
    <w:rsid w:val="000E2330"/>
    <w:rsid w:val="000E26B0"/>
    <w:rsid w:val="000E2946"/>
    <w:rsid w:val="000E4F81"/>
    <w:rsid w:val="000E54D6"/>
    <w:rsid w:val="000E55C7"/>
    <w:rsid w:val="000E5B55"/>
    <w:rsid w:val="000E6C72"/>
    <w:rsid w:val="000E7180"/>
    <w:rsid w:val="000E77BB"/>
    <w:rsid w:val="000E7E24"/>
    <w:rsid w:val="000F189E"/>
    <w:rsid w:val="000F1956"/>
    <w:rsid w:val="000F1D61"/>
    <w:rsid w:val="000F56F6"/>
    <w:rsid w:val="000F5855"/>
    <w:rsid w:val="000F6FA7"/>
    <w:rsid w:val="000F77D6"/>
    <w:rsid w:val="000F7EE1"/>
    <w:rsid w:val="00100142"/>
    <w:rsid w:val="00102B64"/>
    <w:rsid w:val="00105281"/>
    <w:rsid w:val="00105AF3"/>
    <w:rsid w:val="0010740E"/>
    <w:rsid w:val="0011019A"/>
    <w:rsid w:val="001107FF"/>
    <w:rsid w:val="001121C2"/>
    <w:rsid w:val="00113430"/>
    <w:rsid w:val="00113AE0"/>
    <w:rsid w:val="001140FE"/>
    <w:rsid w:val="00114352"/>
    <w:rsid w:val="001158FE"/>
    <w:rsid w:val="00115CCB"/>
    <w:rsid w:val="00116EB2"/>
    <w:rsid w:val="00117195"/>
    <w:rsid w:val="00120287"/>
    <w:rsid w:val="0012092C"/>
    <w:rsid w:val="00122831"/>
    <w:rsid w:val="00122E6B"/>
    <w:rsid w:val="001235DD"/>
    <w:rsid w:val="00124609"/>
    <w:rsid w:val="00125F4F"/>
    <w:rsid w:val="00126022"/>
    <w:rsid w:val="001270EB"/>
    <w:rsid w:val="0012758A"/>
    <w:rsid w:val="00127CAB"/>
    <w:rsid w:val="00130196"/>
    <w:rsid w:val="0013057E"/>
    <w:rsid w:val="0013257C"/>
    <w:rsid w:val="001337EF"/>
    <w:rsid w:val="00133FC8"/>
    <w:rsid w:val="00134BD7"/>
    <w:rsid w:val="00136716"/>
    <w:rsid w:val="00136A08"/>
    <w:rsid w:val="001373F1"/>
    <w:rsid w:val="00140DE4"/>
    <w:rsid w:val="001435CC"/>
    <w:rsid w:val="001436FC"/>
    <w:rsid w:val="001450FB"/>
    <w:rsid w:val="0014511E"/>
    <w:rsid w:val="00145982"/>
    <w:rsid w:val="00145ACE"/>
    <w:rsid w:val="00146F42"/>
    <w:rsid w:val="00151F61"/>
    <w:rsid w:val="001539E0"/>
    <w:rsid w:val="0015451B"/>
    <w:rsid w:val="0015496E"/>
    <w:rsid w:val="00155113"/>
    <w:rsid w:val="0015602B"/>
    <w:rsid w:val="001566F6"/>
    <w:rsid w:val="001573E4"/>
    <w:rsid w:val="00160756"/>
    <w:rsid w:val="00162584"/>
    <w:rsid w:val="001629C6"/>
    <w:rsid w:val="00162C9F"/>
    <w:rsid w:val="00164658"/>
    <w:rsid w:val="00164FB1"/>
    <w:rsid w:val="00165247"/>
    <w:rsid w:val="001653F3"/>
    <w:rsid w:val="00165C87"/>
    <w:rsid w:val="001666AA"/>
    <w:rsid w:val="00166BD2"/>
    <w:rsid w:val="0017054C"/>
    <w:rsid w:val="001711CC"/>
    <w:rsid w:val="0017232E"/>
    <w:rsid w:val="00173420"/>
    <w:rsid w:val="00173AE6"/>
    <w:rsid w:val="00173DC1"/>
    <w:rsid w:val="00174102"/>
    <w:rsid w:val="001756AF"/>
    <w:rsid w:val="001778E3"/>
    <w:rsid w:val="00180157"/>
    <w:rsid w:val="00181C46"/>
    <w:rsid w:val="001832C7"/>
    <w:rsid w:val="00185510"/>
    <w:rsid w:val="00186831"/>
    <w:rsid w:val="00186F77"/>
    <w:rsid w:val="001901A4"/>
    <w:rsid w:val="00190F24"/>
    <w:rsid w:val="0019177E"/>
    <w:rsid w:val="00191C6F"/>
    <w:rsid w:val="00191DA4"/>
    <w:rsid w:val="00192441"/>
    <w:rsid w:val="001926A4"/>
    <w:rsid w:val="00193ED7"/>
    <w:rsid w:val="001977CC"/>
    <w:rsid w:val="00197DD5"/>
    <w:rsid w:val="001A2BC2"/>
    <w:rsid w:val="001A2C0A"/>
    <w:rsid w:val="001A3AEC"/>
    <w:rsid w:val="001A3CDA"/>
    <w:rsid w:val="001A4FE0"/>
    <w:rsid w:val="001A5B9F"/>
    <w:rsid w:val="001A6790"/>
    <w:rsid w:val="001B0C3B"/>
    <w:rsid w:val="001B2363"/>
    <w:rsid w:val="001B3811"/>
    <w:rsid w:val="001B3ABC"/>
    <w:rsid w:val="001B45A0"/>
    <w:rsid w:val="001B4A7D"/>
    <w:rsid w:val="001B684F"/>
    <w:rsid w:val="001B6C15"/>
    <w:rsid w:val="001B6FCB"/>
    <w:rsid w:val="001C027D"/>
    <w:rsid w:val="001C13CD"/>
    <w:rsid w:val="001C17B3"/>
    <w:rsid w:val="001C1BC0"/>
    <w:rsid w:val="001C2EE8"/>
    <w:rsid w:val="001C5079"/>
    <w:rsid w:val="001C5A97"/>
    <w:rsid w:val="001C5EF2"/>
    <w:rsid w:val="001C5F6B"/>
    <w:rsid w:val="001C666A"/>
    <w:rsid w:val="001C6748"/>
    <w:rsid w:val="001D055E"/>
    <w:rsid w:val="001D0C65"/>
    <w:rsid w:val="001D0CE3"/>
    <w:rsid w:val="001D3A5B"/>
    <w:rsid w:val="001D5BEB"/>
    <w:rsid w:val="001D5EE6"/>
    <w:rsid w:val="001D60FF"/>
    <w:rsid w:val="001D7698"/>
    <w:rsid w:val="001D7FB7"/>
    <w:rsid w:val="001E01B4"/>
    <w:rsid w:val="001E14C2"/>
    <w:rsid w:val="001E2F01"/>
    <w:rsid w:val="001E4665"/>
    <w:rsid w:val="001E48B3"/>
    <w:rsid w:val="001E5AEE"/>
    <w:rsid w:val="001E5D20"/>
    <w:rsid w:val="001E6485"/>
    <w:rsid w:val="001E6A7E"/>
    <w:rsid w:val="001E6FDD"/>
    <w:rsid w:val="001F03EF"/>
    <w:rsid w:val="001F0EC9"/>
    <w:rsid w:val="001F1548"/>
    <w:rsid w:val="001F1B78"/>
    <w:rsid w:val="001F22EE"/>
    <w:rsid w:val="001F2577"/>
    <w:rsid w:val="001F3530"/>
    <w:rsid w:val="001F4726"/>
    <w:rsid w:val="001F492E"/>
    <w:rsid w:val="001F6DA3"/>
    <w:rsid w:val="001F7575"/>
    <w:rsid w:val="00201136"/>
    <w:rsid w:val="0020132A"/>
    <w:rsid w:val="00201A4B"/>
    <w:rsid w:val="00201C06"/>
    <w:rsid w:val="00203300"/>
    <w:rsid w:val="0020376D"/>
    <w:rsid w:val="00204302"/>
    <w:rsid w:val="0020489F"/>
    <w:rsid w:val="002050F5"/>
    <w:rsid w:val="002062A9"/>
    <w:rsid w:val="002065C6"/>
    <w:rsid w:val="002072A2"/>
    <w:rsid w:val="00207D5B"/>
    <w:rsid w:val="0021027A"/>
    <w:rsid w:val="0021147E"/>
    <w:rsid w:val="00212D2F"/>
    <w:rsid w:val="00213CF6"/>
    <w:rsid w:val="00214FBA"/>
    <w:rsid w:val="00215E19"/>
    <w:rsid w:val="002164FB"/>
    <w:rsid w:val="00216865"/>
    <w:rsid w:val="00217221"/>
    <w:rsid w:val="00217C29"/>
    <w:rsid w:val="002214D9"/>
    <w:rsid w:val="002216F5"/>
    <w:rsid w:val="00222F04"/>
    <w:rsid w:val="002242B5"/>
    <w:rsid w:val="00224DB9"/>
    <w:rsid w:val="00224EE7"/>
    <w:rsid w:val="00227098"/>
    <w:rsid w:val="002276F0"/>
    <w:rsid w:val="00227C97"/>
    <w:rsid w:val="00230D26"/>
    <w:rsid w:val="00231C73"/>
    <w:rsid w:val="00232A71"/>
    <w:rsid w:val="00232FBD"/>
    <w:rsid w:val="002338A0"/>
    <w:rsid w:val="002339B5"/>
    <w:rsid w:val="00234A3C"/>
    <w:rsid w:val="00237048"/>
    <w:rsid w:val="00240AA4"/>
    <w:rsid w:val="002427B3"/>
    <w:rsid w:val="00242C25"/>
    <w:rsid w:val="00243222"/>
    <w:rsid w:val="00243347"/>
    <w:rsid w:val="002438D9"/>
    <w:rsid w:val="00245913"/>
    <w:rsid w:val="00247473"/>
    <w:rsid w:val="00247E84"/>
    <w:rsid w:val="00250859"/>
    <w:rsid w:val="002515C3"/>
    <w:rsid w:val="002516A1"/>
    <w:rsid w:val="00251745"/>
    <w:rsid w:val="00251C37"/>
    <w:rsid w:val="00251D74"/>
    <w:rsid w:val="00253160"/>
    <w:rsid w:val="00262F65"/>
    <w:rsid w:val="00263AC0"/>
    <w:rsid w:val="002649D2"/>
    <w:rsid w:val="002649D8"/>
    <w:rsid w:val="00265486"/>
    <w:rsid w:val="0026772D"/>
    <w:rsid w:val="00270A51"/>
    <w:rsid w:val="00270AF4"/>
    <w:rsid w:val="002714A4"/>
    <w:rsid w:val="00272178"/>
    <w:rsid w:val="0027318A"/>
    <w:rsid w:val="00275002"/>
    <w:rsid w:val="00275927"/>
    <w:rsid w:val="002762EA"/>
    <w:rsid w:val="00276A9F"/>
    <w:rsid w:val="002817AB"/>
    <w:rsid w:val="002828A0"/>
    <w:rsid w:val="00283BF8"/>
    <w:rsid w:val="0028440E"/>
    <w:rsid w:val="0028521F"/>
    <w:rsid w:val="00285B8A"/>
    <w:rsid w:val="00286874"/>
    <w:rsid w:val="00286D68"/>
    <w:rsid w:val="00291658"/>
    <w:rsid w:val="0029246F"/>
    <w:rsid w:val="00294653"/>
    <w:rsid w:val="00294D01"/>
    <w:rsid w:val="00296B65"/>
    <w:rsid w:val="00296D07"/>
    <w:rsid w:val="002A0450"/>
    <w:rsid w:val="002A0AF0"/>
    <w:rsid w:val="002A1B5C"/>
    <w:rsid w:val="002A2900"/>
    <w:rsid w:val="002A3CF2"/>
    <w:rsid w:val="002A4EF8"/>
    <w:rsid w:val="002A7439"/>
    <w:rsid w:val="002A7729"/>
    <w:rsid w:val="002A7C78"/>
    <w:rsid w:val="002A7DEF"/>
    <w:rsid w:val="002B0749"/>
    <w:rsid w:val="002B0DAE"/>
    <w:rsid w:val="002B1949"/>
    <w:rsid w:val="002B1B50"/>
    <w:rsid w:val="002B3B2D"/>
    <w:rsid w:val="002B6FD1"/>
    <w:rsid w:val="002B720D"/>
    <w:rsid w:val="002C2278"/>
    <w:rsid w:val="002C2428"/>
    <w:rsid w:val="002C248E"/>
    <w:rsid w:val="002C2A63"/>
    <w:rsid w:val="002C341F"/>
    <w:rsid w:val="002C3E5B"/>
    <w:rsid w:val="002C42B0"/>
    <w:rsid w:val="002C4965"/>
    <w:rsid w:val="002C581B"/>
    <w:rsid w:val="002C621D"/>
    <w:rsid w:val="002C6399"/>
    <w:rsid w:val="002C6B96"/>
    <w:rsid w:val="002C6DD3"/>
    <w:rsid w:val="002D1734"/>
    <w:rsid w:val="002D37FB"/>
    <w:rsid w:val="002D484E"/>
    <w:rsid w:val="002D4A1F"/>
    <w:rsid w:val="002D4C26"/>
    <w:rsid w:val="002D5A5A"/>
    <w:rsid w:val="002D6AB4"/>
    <w:rsid w:val="002E29A0"/>
    <w:rsid w:val="002E5E33"/>
    <w:rsid w:val="002E6254"/>
    <w:rsid w:val="002E64AB"/>
    <w:rsid w:val="002E6E99"/>
    <w:rsid w:val="002E7557"/>
    <w:rsid w:val="002E7DC5"/>
    <w:rsid w:val="002F02A4"/>
    <w:rsid w:val="002F16EE"/>
    <w:rsid w:val="002F20C2"/>
    <w:rsid w:val="002F22FD"/>
    <w:rsid w:val="002F2481"/>
    <w:rsid w:val="002F3D02"/>
    <w:rsid w:val="002F4F34"/>
    <w:rsid w:val="002F7986"/>
    <w:rsid w:val="00300C0B"/>
    <w:rsid w:val="00302D83"/>
    <w:rsid w:val="00303F1A"/>
    <w:rsid w:val="0030495F"/>
    <w:rsid w:val="003061FA"/>
    <w:rsid w:val="003062C2"/>
    <w:rsid w:val="00306DD8"/>
    <w:rsid w:val="003072FB"/>
    <w:rsid w:val="00307F6D"/>
    <w:rsid w:val="003105F5"/>
    <w:rsid w:val="00312B84"/>
    <w:rsid w:val="0031318F"/>
    <w:rsid w:val="003134B8"/>
    <w:rsid w:val="003152BD"/>
    <w:rsid w:val="003153EB"/>
    <w:rsid w:val="00315FE3"/>
    <w:rsid w:val="003177A2"/>
    <w:rsid w:val="00317A81"/>
    <w:rsid w:val="003208C0"/>
    <w:rsid w:val="00321853"/>
    <w:rsid w:val="00322300"/>
    <w:rsid w:val="00323CE7"/>
    <w:rsid w:val="003243B4"/>
    <w:rsid w:val="003271B5"/>
    <w:rsid w:val="003274A9"/>
    <w:rsid w:val="0032770E"/>
    <w:rsid w:val="00331264"/>
    <w:rsid w:val="00331DDB"/>
    <w:rsid w:val="00332F5D"/>
    <w:rsid w:val="00334C8D"/>
    <w:rsid w:val="00336D50"/>
    <w:rsid w:val="003375A4"/>
    <w:rsid w:val="003401B9"/>
    <w:rsid w:val="00340B23"/>
    <w:rsid w:val="00341169"/>
    <w:rsid w:val="00342870"/>
    <w:rsid w:val="00343BF7"/>
    <w:rsid w:val="003450FE"/>
    <w:rsid w:val="00346F05"/>
    <w:rsid w:val="0035089F"/>
    <w:rsid w:val="003518B3"/>
    <w:rsid w:val="00351FDC"/>
    <w:rsid w:val="00352DA8"/>
    <w:rsid w:val="003535FF"/>
    <w:rsid w:val="00354887"/>
    <w:rsid w:val="00354A9E"/>
    <w:rsid w:val="00354B6E"/>
    <w:rsid w:val="0035522A"/>
    <w:rsid w:val="00355CDD"/>
    <w:rsid w:val="00355D1A"/>
    <w:rsid w:val="00355D2F"/>
    <w:rsid w:val="00356706"/>
    <w:rsid w:val="00356E72"/>
    <w:rsid w:val="00361D84"/>
    <w:rsid w:val="003624C2"/>
    <w:rsid w:val="00362ABA"/>
    <w:rsid w:val="003642AD"/>
    <w:rsid w:val="00364EF1"/>
    <w:rsid w:val="00366515"/>
    <w:rsid w:val="00367142"/>
    <w:rsid w:val="003715C8"/>
    <w:rsid w:val="00371F3A"/>
    <w:rsid w:val="003749F7"/>
    <w:rsid w:val="00375E24"/>
    <w:rsid w:val="00376373"/>
    <w:rsid w:val="00377133"/>
    <w:rsid w:val="00380696"/>
    <w:rsid w:val="003816D4"/>
    <w:rsid w:val="00383C6B"/>
    <w:rsid w:val="003846F1"/>
    <w:rsid w:val="00384A55"/>
    <w:rsid w:val="00384B54"/>
    <w:rsid w:val="00386C86"/>
    <w:rsid w:val="003874F8"/>
    <w:rsid w:val="003904D2"/>
    <w:rsid w:val="00395B4C"/>
    <w:rsid w:val="00397EB2"/>
    <w:rsid w:val="00397FF5"/>
    <w:rsid w:val="003A0810"/>
    <w:rsid w:val="003A0CB8"/>
    <w:rsid w:val="003A1F17"/>
    <w:rsid w:val="003A3E2D"/>
    <w:rsid w:val="003A41E0"/>
    <w:rsid w:val="003A431D"/>
    <w:rsid w:val="003A4B6B"/>
    <w:rsid w:val="003A4D05"/>
    <w:rsid w:val="003A53D5"/>
    <w:rsid w:val="003A7DC0"/>
    <w:rsid w:val="003B0D56"/>
    <w:rsid w:val="003B282E"/>
    <w:rsid w:val="003B40ED"/>
    <w:rsid w:val="003B4804"/>
    <w:rsid w:val="003B4D9B"/>
    <w:rsid w:val="003B5D14"/>
    <w:rsid w:val="003B6F90"/>
    <w:rsid w:val="003B71D4"/>
    <w:rsid w:val="003B7D71"/>
    <w:rsid w:val="003C0710"/>
    <w:rsid w:val="003C16AA"/>
    <w:rsid w:val="003C24A9"/>
    <w:rsid w:val="003C2A86"/>
    <w:rsid w:val="003C2B22"/>
    <w:rsid w:val="003C2BC1"/>
    <w:rsid w:val="003C30E5"/>
    <w:rsid w:val="003C3C98"/>
    <w:rsid w:val="003C3D77"/>
    <w:rsid w:val="003C62E9"/>
    <w:rsid w:val="003C6315"/>
    <w:rsid w:val="003C7164"/>
    <w:rsid w:val="003C7EFA"/>
    <w:rsid w:val="003D4F14"/>
    <w:rsid w:val="003D5258"/>
    <w:rsid w:val="003D62D9"/>
    <w:rsid w:val="003E1341"/>
    <w:rsid w:val="003E19A2"/>
    <w:rsid w:val="003E309F"/>
    <w:rsid w:val="003E3C33"/>
    <w:rsid w:val="003E47DC"/>
    <w:rsid w:val="003E521D"/>
    <w:rsid w:val="003E74FF"/>
    <w:rsid w:val="003E78A9"/>
    <w:rsid w:val="003F004E"/>
    <w:rsid w:val="003F0289"/>
    <w:rsid w:val="003F3672"/>
    <w:rsid w:val="003F3CA9"/>
    <w:rsid w:val="003F4AF9"/>
    <w:rsid w:val="003F54CB"/>
    <w:rsid w:val="003F57F1"/>
    <w:rsid w:val="003F5F74"/>
    <w:rsid w:val="003F66C5"/>
    <w:rsid w:val="003F75C8"/>
    <w:rsid w:val="00401B53"/>
    <w:rsid w:val="00402142"/>
    <w:rsid w:val="00403473"/>
    <w:rsid w:val="004034C5"/>
    <w:rsid w:val="00404492"/>
    <w:rsid w:val="00404504"/>
    <w:rsid w:val="00405B42"/>
    <w:rsid w:val="00407337"/>
    <w:rsid w:val="00410937"/>
    <w:rsid w:val="00411897"/>
    <w:rsid w:val="00412176"/>
    <w:rsid w:val="00412DB2"/>
    <w:rsid w:val="00414488"/>
    <w:rsid w:val="00414EA6"/>
    <w:rsid w:val="00414F6E"/>
    <w:rsid w:val="00415788"/>
    <w:rsid w:val="004157C0"/>
    <w:rsid w:val="00416641"/>
    <w:rsid w:val="004176E8"/>
    <w:rsid w:val="00421154"/>
    <w:rsid w:val="0042429B"/>
    <w:rsid w:val="00424809"/>
    <w:rsid w:val="004253D6"/>
    <w:rsid w:val="00425E38"/>
    <w:rsid w:val="004303EE"/>
    <w:rsid w:val="00432B5B"/>
    <w:rsid w:val="00433242"/>
    <w:rsid w:val="00436F76"/>
    <w:rsid w:val="00440D85"/>
    <w:rsid w:val="00441A99"/>
    <w:rsid w:val="00442767"/>
    <w:rsid w:val="00444A48"/>
    <w:rsid w:val="0044748A"/>
    <w:rsid w:val="00450611"/>
    <w:rsid w:val="004507A1"/>
    <w:rsid w:val="0045129B"/>
    <w:rsid w:val="004518EA"/>
    <w:rsid w:val="00451DFF"/>
    <w:rsid w:val="00453327"/>
    <w:rsid w:val="00453A41"/>
    <w:rsid w:val="00456C20"/>
    <w:rsid w:val="00462CFF"/>
    <w:rsid w:val="00465210"/>
    <w:rsid w:val="0046790A"/>
    <w:rsid w:val="00470AF4"/>
    <w:rsid w:val="00470EE9"/>
    <w:rsid w:val="0047130B"/>
    <w:rsid w:val="00471992"/>
    <w:rsid w:val="00471E68"/>
    <w:rsid w:val="0047237E"/>
    <w:rsid w:val="0047251B"/>
    <w:rsid w:val="0047346C"/>
    <w:rsid w:val="00477821"/>
    <w:rsid w:val="0048018F"/>
    <w:rsid w:val="00480B4B"/>
    <w:rsid w:val="00480DA9"/>
    <w:rsid w:val="004831F8"/>
    <w:rsid w:val="004835FB"/>
    <w:rsid w:val="00484D9C"/>
    <w:rsid w:val="00485752"/>
    <w:rsid w:val="00485DC4"/>
    <w:rsid w:val="00487C10"/>
    <w:rsid w:val="00491631"/>
    <w:rsid w:val="004923CD"/>
    <w:rsid w:val="00492A06"/>
    <w:rsid w:val="0049337E"/>
    <w:rsid w:val="00493B02"/>
    <w:rsid w:val="00494036"/>
    <w:rsid w:val="00495574"/>
    <w:rsid w:val="00496C02"/>
    <w:rsid w:val="0049751C"/>
    <w:rsid w:val="004A0AB5"/>
    <w:rsid w:val="004A1061"/>
    <w:rsid w:val="004A1184"/>
    <w:rsid w:val="004A13A6"/>
    <w:rsid w:val="004A2770"/>
    <w:rsid w:val="004A364A"/>
    <w:rsid w:val="004A4CEF"/>
    <w:rsid w:val="004B104F"/>
    <w:rsid w:val="004B1708"/>
    <w:rsid w:val="004B231C"/>
    <w:rsid w:val="004B42A7"/>
    <w:rsid w:val="004B4412"/>
    <w:rsid w:val="004B5B3F"/>
    <w:rsid w:val="004C28B2"/>
    <w:rsid w:val="004C348C"/>
    <w:rsid w:val="004C4E90"/>
    <w:rsid w:val="004C63B9"/>
    <w:rsid w:val="004C6486"/>
    <w:rsid w:val="004C6C5B"/>
    <w:rsid w:val="004C7D3A"/>
    <w:rsid w:val="004D1774"/>
    <w:rsid w:val="004D1D1A"/>
    <w:rsid w:val="004D4A76"/>
    <w:rsid w:val="004D5447"/>
    <w:rsid w:val="004D55BA"/>
    <w:rsid w:val="004E0F0F"/>
    <w:rsid w:val="004E1B1C"/>
    <w:rsid w:val="004E1E95"/>
    <w:rsid w:val="004E34E7"/>
    <w:rsid w:val="004E38D9"/>
    <w:rsid w:val="004E4142"/>
    <w:rsid w:val="004E567F"/>
    <w:rsid w:val="004E6AFC"/>
    <w:rsid w:val="004E70CA"/>
    <w:rsid w:val="004E755C"/>
    <w:rsid w:val="004E7D10"/>
    <w:rsid w:val="004F171D"/>
    <w:rsid w:val="004F18F3"/>
    <w:rsid w:val="004F6D0A"/>
    <w:rsid w:val="004F6ED0"/>
    <w:rsid w:val="00501B85"/>
    <w:rsid w:val="0050244E"/>
    <w:rsid w:val="00502843"/>
    <w:rsid w:val="00502D42"/>
    <w:rsid w:val="00502F3B"/>
    <w:rsid w:val="005033F6"/>
    <w:rsid w:val="005047F1"/>
    <w:rsid w:val="00505B5E"/>
    <w:rsid w:val="00510A43"/>
    <w:rsid w:val="005177C0"/>
    <w:rsid w:val="00522199"/>
    <w:rsid w:val="00522360"/>
    <w:rsid w:val="00522486"/>
    <w:rsid w:val="00522668"/>
    <w:rsid w:val="00522F1C"/>
    <w:rsid w:val="00523AD2"/>
    <w:rsid w:val="00524513"/>
    <w:rsid w:val="00525B46"/>
    <w:rsid w:val="00527551"/>
    <w:rsid w:val="005279B6"/>
    <w:rsid w:val="00530128"/>
    <w:rsid w:val="00530657"/>
    <w:rsid w:val="005323B2"/>
    <w:rsid w:val="00532467"/>
    <w:rsid w:val="00533C15"/>
    <w:rsid w:val="0053491C"/>
    <w:rsid w:val="0053611E"/>
    <w:rsid w:val="0054102B"/>
    <w:rsid w:val="0054173F"/>
    <w:rsid w:val="00541B82"/>
    <w:rsid w:val="0054254C"/>
    <w:rsid w:val="0054313C"/>
    <w:rsid w:val="00543945"/>
    <w:rsid w:val="00543BEC"/>
    <w:rsid w:val="00544C6F"/>
    <w:rsid w:val="00547DC4"/>
    <w:rsid w:val="005502E7"/>
    <w:rsid w:val="00551739"/>
    <w:rsid w:val="00552108"/>
    <w:rsid w:val="0055298D"/>
    <w:rsid w:val="00552DA2"/>
    <w:rsid w:val="00554D95"/>
    <w:rsid w:val="00555667"/>
    <w:rsid w:val="005556B9"/>
    <w:rsid w:val="00556553"/>
    <w:rsid w:val="00556B64"/>
    <w:rsid w:val="005575B9"/>
    <w:rsid w:val="00560CE5"/>
    <w:rsid w:val="00562103"/>
    <w:rsid w:val="0056218D"/>
    <w:rsid w:val="00562CEE"/>
    <w:rsid w:val="00562EF1"/>
    <w:rsid w:val="00563B96"/>
    <w:rsid w:val="00564A3E"/>
    <w:rsid w:val="00564A4D"/>
    <w:rsid w:val="00565239"/>
    <w:rsid w:val="005656E2"/>
    <w:rsid w:val="00565F50"/>
    <w:rsid w:val="0056783F"/>
    <w:rsid w:val="005703C9"/>
    <w:rsid w:val="005707D4"/>
    <w:rsid w:val="00571680"/>
    <w:rsid w:val="00571B35"/>
    <w:rsid w:val="005722FF"/>
    <w:rsid w:val="00572D20"/>
    <w:rsid w:val="00573042"/>
    <w:rsid w:val="00574241"/>
    <w:rsid w:val="00575C43"/>
    <w:rsid w:val="00577A09"/>
    <w:rsid w:val="00577F68"/>
    <w:rsid w:val="005810AE"/>
    <w:rsid w:val="005819F3"/>
    <w:rsid w:val="00582183"/>
    <w:rsid w:val="00582446"/>
    <w:rsid w:val="005839B3"/>
    <w:rsid w:val="00584D8F"/>
    <w:rsid w:val="00585D42"/>
    <w:rsid w:val="0058645E"/>
    <w:rsid w:val="005943E8"/>
    <w:rsid w:val="005950AB"/>
    <w:rsid w:val="0059539A"/>
    <w:rsid w:val="00595613"/>
    <w:rsid w:val="00595ED0"/>
    <w:rsid w:val="00596275"/>
    <w:rsid w:val="005A1287"/>
    <w:rsid w:val="005A1339"/>
    <w:rsid w:val="005A3B2C"/>
    <w:rsid w:val="005A3F7E"/>
    <w:rsid w:val="005A404D"/>
    <w:rsid w:val="005A42D5"/>
    <w:rsid w:val="005A5657"/>
    <w:rsid w:val="005A6CB0"/>
    <w:rsid w:val="005A6F22"/>
    <w:rsid w:val="005A731B"/>
    <w:rsid w:val="005B0461"/>
    <w:rsid w:val="005B0838"/>
    <w:rsid w:val="005B0EF5"/>
    <w:rsid w:val="005B1402"/>
    <w:rsid w:val="005B1E3C"/>
    <w:rsid w:val="005B62AF"/>
    <w:rsid w:val="005B6FC9"/>
    <w:rsid w:val="005B7F8F"/>
    <w:rsid w:val="005C26CC"/>
    <w:rsid w:val="005C3411"/>
    <w:rsid w:val="005C3D54"/>
    <w:rsid w:val="005C3DEC"/>
    <w:rsid w:val="005C4E3D"/>
    <w:rsid w:val="005C4F80"/>
    <w:rsid w:val="005C53C0"/>
    <w:rsid w:val="005C546A"/>
    <w:rsid w:val="005C553B"/>
    <w:rsid w:val="005C592F"/>
    <w:rsid w:val="005C5D2E"/>
    <w:rsid w:val="005C5E72"/>
    <w:rsid w:val="005D0F07"/>
    <w:rsid w:val="005D24A9"/>
    <w:rsid w:val="005D2FBD"/>
    <w:rsid w:val="005D5ECD"/>
    <w:rsid w:val="005D69AF"/>
    <w:rsid w:val="005E0B7E"/>
    <w:rsid w:val="005E2086"/>
    <w:rsid w:val="005E343A"/>
    <w:rsid w:val="005E6DAF"/>
    <w:rsid w:val="005E6FFA"/>
    <w:rsid w:val="005E7718"/>
    <w:rsid w:val="005F0661"/>
    <w:rsid w:val="005F0CD5"/>
    <w:rsid w:val="005F37A9"/>
    <w:rsid w:val="005F69C4"/>
    <w:rsid w:val="005F6ADE"/>
    <w:rsid w:val="005F702C"/>
    <w:rsid w:val="005F7247"/>
    <w:rsid w:val="00600B2D"/>
    <w:rsid w:val="00601705"/>
    <w:rsid w:val="00602A58"/>
    <w:rsid w:val="00602BFF"/>
    <w:rsid w:val="00603914"/>
    <w:rsid w:val="00604DB6"/>
    <w:rsid w:val="006057DD"/>
    <w:rsid w:val="006074A3"/>
    <w:rsid w:val="00607BA0"/>
    <w:rsid w:val="00610304"/>
    <w:rsid w:val="00612006"/>
    <w:rsid w:val="00612702"/>
    <w:rsid w:val="00612FE8"/>
    <w:rsid w:val="00613324"/>
    <w:rsid w:val="00613DEC"/>
    <w:rsid w:val="00615619"/>
    <w:rsid w:val="00615C6B"/>
    <w:rsid w:val="00616CEC"/>
    <w:rsid w:val="00620B1B"/>
    <w:rsid w:val="00621545"/>
    <w:rsid w:val="0062525D"/>
    <w:rsid w:val="00626A3A"/>
    <w:rsid w:val="00626E1A"/>
    <w:rsid w:val="00627B2D"/>
    <w:rsid w:val="0063066D"/>
    <w:rsid w:val="006309A2"/>
    <w:rsid w:val="00630A15"/>
    <w:rsid w:val="00631560"/>
    <w:rsid w:val="006319C1"/>
    <w:rsid w:val="00631E89"/>
    <w:rsid w:val="00632D6D"/>
    <w:rsid w:val="00634D01"/>
    <w:rsid w:val="0063567F"/>
    <w:rsid w:val="00636936"/>
    <w:rsid w:val="00641006"/>
    <w:rsid w:val="006411E6"/>
    <w:rsid w:val="00642C3E"/>
    <w:rsid w:val="00643B2F"/>
    <w:rsid w:val="00644F6E"/>
    <w:rsid w:val="006471D4"/>
    <w:rsid w:val="00647804"/>
    <w:rsid w:val="0065049E"/>
    <w:rsid w:val="00651005"/>
    <w:rsid w:val="0065226B"/>
    <w:rsid w:val="00654DBE"/>
    <w:rsid w:val="0065567D"/>
    <w:rsid w:val="006556AA"/>
    <w:rsid w:val="00655837"/>
    <w:rsid w:val="00656588"/>
    <w:rsid w:val="0065661E"/>
    <w:rsid w:val="006566B8"/>
    <w:rsid w:val="006569A5"/>
    <w:rsid w:val="006573B5"/>
    <w:rsid w:val="00660F82"/>
    <w:rsid w:val="00661F88"/>
    <w:rsid w:val="00663DAD"/>
    <w:rsid w:val="00665ACC"/>
    <w:rsid w:val="00666226"/>
    <w:rsid w:val="0067092D"/>
    <w:rsid w:val="0067180B"/>
    <w:rsid w:val="00673D15"/>
    <w:rsid w:val="006741D4"/>
    <w:rsid w:val="00675C7F"/>
    <w:rsid w:val="00675E21"/>
    <w:rsid w:val="00676392"/>
    <w:rsid w:val="00676679"/>
    <w:rsid w:val="00677233"/>
    <w:rsid w:val="006777D7"/>
    <w:rsid w:val="00681479"/>
    <w:rsid w:val="006836D7"/>
    <w:rsid w:val="00684647"/>
    <w:rsid w:val="00686411"/>
    <w:rsid w:val="00687AA8"/>
    <w:rsid w:val="00694FD6"/>
    <w:rsid w:val="0069547C"/>
    <w:rsid w:val="006956EC"/>
    <w:rsid w:val="00696FCB"/>
    <w:rsid w:val="006A0411"/>
    <w:rsid w:val="006A20CE"/>
    <w:rsid w:val="006A21CD"/>
    <w:rsid w:val="006A35B0"/>
    <w:rsid w:val="006A6EDD"/>
    <w:rsid w:val="006A7C64"/>
    <w:rsid w:val="006B0C7B"/>
    <w:rsid w:val="006B3202"/>
    <w:rsid w:val="006B32F3"/>
    <w:rsid w:val="006B4CF9"/>
    <w:rsid w:val="006B6CC3"/>
    <w:rsid w:val="006B77F5"/>
    <w:rsid w:val="006B7AC8"/>
    <w:rsid w:val="006C1813"/>
    <w:rsid w:val="006C196C"/>
    <w:rsid w:val="006C1E8B"/>
    <w:rsid w:val="006C2373"/>
    <w:rsid w:val="006C318F"/>
    <w:rsid w:val="006C3620"/>
    <w:rsid w:val="006C41C4"/>
    <w:rsid w:val="006C447D"/>
    <w:rsid w:val="006C4534"/>
    <w:rsid w:val="006C5B09"/>
    <w:rsid w:val="006C62B7"/>
    <w:rsid w:val="006D0C1E"/>
    <w:rsid w:val="006D1D94"/>
    <w:rsid w:val="006D3561"/>
    <w:rsid w:val="006D38CE"/>
    <w:rsid w:val="006D550F"/>
    <w:rsid w:val="006D5B9F"/>
    <w:rsid w:val="006D6001"/>
    <w:rsid w:val="006D6AE2"/>
    <w:rsid w:val="006D7923"/>
    <w:rsid w:val="006E1E7D"/>
    <w:rsid w:val="006E218F"/>
    <w:rsid w:val="006E244A"/>
    <w:rsid w:val="006E5F3E"/>
    <w:rsid w:val="006E78CF"/>
    <w:rsid w:val="006F0601"/>
    <w:rsid w:val="006F0B74"/>
    <w:rsid w:val="006F0D76"/>
    <w:rsid w:val="006F1044"/>
    <w:rsid w:val="006F3750"/>
    <w:rsid w:val="006F393C"/>
    <w:rsid w:val="006F3FCB"/>
    <w:rsid w:val="006F48AA"/>
    <w:rsid w:val="006F4C38"/>
    <w:rsid w:val="006F4D5B"/>
    <w:rsid w:val="006F6C2D"/>
    <w:rsid w:val="00700DAB"/>
    <w:rsid w:val="00701CAB"/>
    <w:rsid w:val="007037F6"/>
    <w:rsid w:val="00704518"/>
    <w:rsid w:val="00704CA4"/>
    <w:rsid w:val="00707011"/>
    <w:rsid w:val="00707242"/>
    <w:rsid w:val="00707563"/>
    <w:rsid w:val="0071151C"/>
    <w:rsid w:val="00711BF6"/>
    <w:rsid w:val="00712D03"/>
    <w:rsid w:val="00716355"/>
    <w:rsid w:val="0071735A"/>
    <w:rsid w:val="007200F4"/>
    <w:rsid w:val="0072073C"/>
    <w:rsid w:val="00720AB2"/>
    <w:rsid w:val="00720EF8"/>
    <w:rsid w:val="0072348C"/>
    <w:rsid w:val="007241D7"/>
    <w:rsid w:val="007247EC"/>
    <w:rsid w:val="00724827"/>
    <w:rsid w:val="00724A37"/>
    <w:rsid w:val="00724BF3"/>
    <w:rsid w:val="00727B92"/>
    <w:rsid w:val="00727D4D"/>
    <w:rsid w:val="007303C3"/>
    <w:rsid w:val="00730446"/>
    <w:rsid w:val="007317CE"/>
    <w:rsid w:val="00731F13"/>
    <w:rsid w:val="0073214E"/>
    <w:rsid w:val="00732CE1"/>
    <w:rsid w:val="00732D22"/>
    <w:rsid w:val="0073319F"/>
    <w:rsid w:val="0073449E"/>
    <w:rsid w:val="0073561F"/>
    <w:rsid w:val="007356A7"/>
    <w:rsid w:val="00741247"/>
    <w:rsid w:val="00741D03"/>
    <w:rsid w:val="007426D5"/>
    <w:rsid w:val="00743223"/>
    <w:rsid w:val="00746063"/>
    <w:rsid w:val="00746E01"/>
    <w:rsid w:val="00747D2F"/>
    <w:rsid w:val="0075017A"/>
    <w:rsid w:val="00751821"/>
    <w:rsid w:val="007532DD"/>
    <w:rsid w:val="00753ADA"/>
    <w:rsid w:val="007600A5"/>
    <w:rsid w:val="00760FD8"/>
    <w:rsid w:val="007618A3"/>
    <w:rsid w:val="00762D41"/>
    <w:rsid w:val="00763E5D"/>
    <w:rsid w:val="00764468"/>
    <w:rsid w:val="00764C7F"/>
    <w:rsid w:val="00767740"/>
    <w:rsid w:val="00771822"/>
    <w:rsid w:val="00772A95"/>
    <w:rsid w:val="00773841"/>
    <w:rsid w:val="007751A3"/>
    <w:rsid w:val="00777EE6"/>
    <w:rsid w:val="00780452"/>
    <w:rsid w:val="00781A01"/>
    <w:rsid w:val="00782EEA"/>
    <w:rsid w:val="0078319A"/>
    <w:rsid w:val="00783D4E"/>
    <w:rsid w:val="00784059"/>
    <w:rsid w:val="0078423F"/>
    <w:rsid w:val="00784A7E"/>
    <w:rsid w:val="007861E0"/>
    <w:rsid w:val="0079277A"/>
    <w:rsid w:val="0079310A"/>
    <w:rsid w:val="007959E7"/>
    <w:rsid w:val="0079631B"/>
    <w:rsid w:val="00796C78"/>
    <w:rsid w:val="00796D6A"/>
    <w:rsid w:val="007A0FFE"/>
    <w:rsid w:val="007A1135"/>
    <w:rsid w:val="007A1428"/>
    <w:rsid w:val="007A1AB0"/>
    <w:rsid w:val="007A33E8"/>
    <w:rsid w:val="007A3A5D"/>
    <w:rsid w:val="007A6572"/>
    <w:rsid w:val="007A6656"/>
    <w:rsid w:val="007A7264"/>
    <w:rsid w:val="007B1732"/>
    <w:rsid w:val="007B2C72"/>
    <w:rsid w:val="007B3F68"/>
    <w:rsid w:val="007B497F"/>
    <w:rsid w:val="007B57F8"/>
    <w:rsid w:val="007B742A"/>
    <w:rsid w:val="007B78AB"/>
    <w:rsid w:val="007C1C53"/>
    <w:rsid w:val="007C2EE8"/>
    <w:rsid w:val="007C62FE"/>
    <w:rsid w:val="007C6FE2"/>
    <w:rsid w:val="007C7930"/>
    <w:rsid w:val="007D00F6"/>
    <w:rsid w:val="007D1133"/>
    <w:rsid w:val="007D2028"/>
    <w:rsid w:val="007D47B2"/>
    <w:rsid w:val="007D53A8"/>
    <w:rsid w:val="007D6FC9"/>
    <w:rsid w:val="007D74C6"/>
    <w:rsid w:val="007D7AEB"/>
    <w:rsid w:val="007E1516"/>
    <w:rsid w:val="007E4904"/>
    <w:rsid w:val="007E4CB5"/>
    <w:rsid w:val="007E5597"/>
    <w:rsid w:val="007E647C"/>
    <w:rsid w:val="007E74E0"/>
    <w:rsid w:val="007E7D47"/>
    <w:rsid w:val="007F066B"/>
    <w:rsid w:val="007F0F77"/>
    <w:rsid w:val="007F2BBD"/>
    <w:rsid w:val="007F2D03"/>
    <w:rsid w:val="007F3B2C"/>
    <w:rsid w:val="007F3D64"/>
    <w:rsid w:val="007F45D2"/>
    <w:rsid w:val="007F475F"/>
    <w:rsid w:val="007F4AB4"/>
    <w:rsid w:val="007F5457"/>
    <w:rsid w:val="007F54B4"/>
    <w:rsid w:val="008004A2"/>
    <w:rsid w:val="008011F4"/>
    <w:rsid w:val="008033C4"/>
    <w:rsid w:val="00806288"/>
    <w:rsid w:val="00806BC1"/>
    <w:rsid w:val="00806C88"/>
    <w:rsid w:val="00807112"/>
    <w:rsid w:val="00807A5C"/>
    <w:rsid w:val="0081034E"/>
    <w:rsid w:val="0081253D"/>
    <w:rsid w:val="00812E7B"/>
    <w:rsid w:val="0081351D"/>
    <w:rsid w:val="00813CE4"/>
    <w:rsid w:val="0081592A"/>
    <w:rsid w:val="008238B2"/>
    <w:rsid w:val="008245E2"/>
    <w:rsid w:val="008257CA"/>
    <w:rsid w:val="00827EC2"/>
    <w:rsid w:val="008301E7"/>
    <w:rsid w:val="00831483"/>
    <w:rsid w:val="008344B4"/>
    <w:rsid w:val="008344F6"/>
    <w:rsid w:val="0083510F"/>
    <w:rsid w:val="008366CD"/>
    <w:rsid w:val="00836890"/>
    <w:rsid w:val="00837C0C"/>
    <w:rsid w:val="00840C6C"/>
    <w:rsid w:val="00840FCC"/>
    <w:rsid w:val="00843C59"/>
    <w:rsid w:val="008445D3"/>
    <w:rsid w:val="00845396"/>
    <w:rsid w:val="00847ED9"/>
    <w:rsid w:val="00851209"/>
    <w:rsid w:val="0085188E"/>
    <w:rsid w:val="00851B46"/>
    <w:rsid w:val="00852B3D"/>
    <w:rsid w:val="008556A5"/>
    <w:rsid w:val="00855D1C"/>
    <w:rsid w:val="00856965"/>
    <w:rsid w:val="00857917"/>
    <w:rsid w:val="0086123D"/>
    <w:rsid w:val="00861AED"/>
    <w:rsid w:val="00862467"/>
    <w:rsid w:val="00864A9F"/>
    <w:rsid w:val="00867506"/>
    <w:rsid w:val="008707C1"/>
    <w:rsid w:val="00870903"/>
    <w:rsid w:val="0087280A"/>
    <w:rsid w:val="0087308C"/>
    <w:rsid w:val="00873B1F"/>
    <w:rsid w:val="0087479D"/>
    <w:rsid w:val="00882E1D"/>
    <w:rsid w:val="008837AC"/>
    <w:rsid w:val="00884D30"/>
    <w:rsid w:val="0088604D"/>
    <w:rsid w:val="00886662"/>
    <w:rsid w:val="00886BAB"/>
    <w:rsid w:val="00886CEC"/>
    <w:rsid w:val="00886FA8"/>
    <w:rsid w:val="00887EBF"/>
    <w:rsid w:val="008909FD"/>
    <w:rsid w:val="00890E9F"/>
    <w:rsid w:val="008934F4"/>
    <w:rsid w:val="00895878"/>
    <w:rsid w:val="00896C79"/>
    <w:rsid w:val="008A0E23"/>
    <w:rsid w:val="008A147B"/>
    <w:rsid w:val="008A346B"/>
    <w:rsid w:val="008A44B5"/>
    <w:rsid w:val="008A4DB6"/>
    <w:rsid w:val="008A5224"/>
    <w:rsid w:val="008A587D"/>
    <w:rsid w:val="008A59AB"/>
    <w:rsid w:val="008A6198"/>
    <w:rsid w:val="008A7580"/>
    <w:rsid w:val="008A7E37"/>
    <w:rsid w:val="008B0D4C"/>
    <w:rsid w:val="008B0F35"/>
    <w:rsid w:val="008B18AC"/>
    <w:rsid w:val="008B22BE"/>
    <w:rsid w:val="008B3025"/>
    <w:rsid w:val="008B3F36"/>
    <w:rsid w:val="008B416B"/>
    <w:rsid w:val="008B6DA5"/>
    <w:rsid w:val="008B7F4B"/>
    <w:rsid w:val="008C094A"/>
    <w:rsid w:val="008C1D7C"/>
    <w:rsid w:val="008C1FE0"/>
    <w:rsid w:val="008C4E0D"/>
    <w:rsid w:val="008C50F7"/>
    <w:rsid w:val="008C50FB"/>
    <w:rsid w:val="008C5486"/>
    <w:rsid w:val="008C6384"/>
    <w:rsid w:val="008C6B16"/>
    <w:rsid w:val="008D21CB"/>
    <w:rsid w:val="008D2CEE"/>
    <w:rsid w:val="008D3129"/>
    <w:rsid w:val="008D44EC"/>
    <w:rsid w:val="008D4820"/>
    <w:rsid w:val="008D4C7D"/>
    <w:rsid w:val="008D4E23"/>
    <w:rsid w:val="008D668B"/>
    <w:rsid w:val="008D6AC3"/>
    <w:rsid w:val="008E1B1B"/>
    <w:rsid w:val="008E1E8E"/>
    <w:rsid w:val="008E2316"/>
    <w:rsid w:val="008E2C54"/>
    <w:rsid w:val="008E3AAC"/>
    <w:rsid w:val="008E535A"/>
    <w:rsid w:val="008E6CAE"/>
    <w:rsid w:val="008E7031"/>
    <w:rsid w:val="008F05DF"/>
    <w:rsid w:val="008F14C9"/>
    <w:rsid w:val="008F2DE1"/>
    <w:rsid w:val="008F2F48"/>
    <w:rsid w:val="008F4AD5"/>
    <w:rsid w:val="008F4C72"/>
    <w:rsid w:val="008F4DFD"/>
    <w:rsid w:val="008F68BD"/>
    <w:rsid w:val="008F6E27"/>
    <w:rsid w:val="008F6FC7"/>
    <w:rsid w:val="008F71C7"/>
    <w:rsid w:val="008F7622"/>
    <w:rsid w:val="008F7954"/>
    <w:rsid w:val="009004F5"/>
    <w:rsid w:val="00900941"/>
    <w:rsid w:val="0090239D"/>
    <w:rsid w:val="00902445"/>
    <w:rsid w:val="009026B4"/>
    <w:rsid w:val="00903A78"/>
    <w:rsid w:val="00903CF6"/>
    <w:rsid w:val="009057E0"/>
    <w:rsid w:val="009064FC"/>
    <w:rsid w:val="0091130F"/>
    <w:rsid w:val="00913C7D"/>
    <w:rsid w:val="00914975"/>
    <w:rsid w:val="00914A87"/>
    <w:rsid w:val="00915BFF"/>
    <w:rsid w:val="0091710E"/>
    <w:rsid w:val="00921066"/>
    <w:rsid w:val="00921957"/>
    <w:rsid w:val="00922ACF"/>
    <w:rsid w:val="009233EE"/>
    <w:rsid w:val="00924207"/>
    <w:rsid w:val="0092422F"/>
    <w:rsid w:val="00927426"/>
    <w:rsid w:val="0092748A"/>
    <w:rsid w:val="00927738"/>
    <w:rsid w:val="0093233D"/>
    <w:rsid w:val="00932606"/>
    <w:rsid w:val="009335AE"/>
    <w:rsid w:val="00933B55"/>
    <w:rsid w:val="00935408"/>
    <w:rsid w:val="00936740"/>
    <w:rsid w:val="009377D8"/>
    <w:rsid w:val="00940393"/>
    <w:rsid w:val="0094150C"/>
    <w:rsid w:val="00941C1B"/>
    <w:rsid w:val="00942863"/>
    <w:rsid w:val="00944863"/>
    <w:rsid w:val="009456DC"/>
    <w:rsid w:val="0094643C"/>
    <w:rsid w:val="00947919"/>
    <w:rsid w:val="00950B15"/>
    <w:rsid w:val="0095158D"/>
    <w:rsid w:val="00952CF7"/>
    <w:rsid w:val="00953534"/>
    <w:rsid w:val="00953576"/>
    <w:rsid w:val="009540FA"/>
    <w:rsid w:val="00956C19"/>
    <w:rsid w:val="00957591"/>
    <w:rsid w:val="0095772E"/>
    <w:rsid w:val="0096061C"/>
    <w:rsid w:val="00960AC5"/>
    <w:rsid w:val="00960C83"/>
    <w:rsid w:val="00963053"/>
    <w:rsid w:val="00963B7A"/>
    <w:rsid w:val="00963EC7"/>
    <w:rsid w:val="009661DE"/>
    <w:rsid w:val="009721AF"/>
    <w:rsid w:val="00972A40"/>
    <w:rsid w:val="00974CDB"/>
    <w:rsid w:val="009754A8"/>
    <w:rsid w:val="009777E3"/>
    <w:rsid w:val="00981578"/>
    <w:rsid w:val="00981E7F"/>
    <w:rsid w:val="00982FEB"/>
    <w:rsid w:val="009837D1"/>
    <w:rsid w:val="00983EEC"/>
    <w:rsid w:val="00984BDD"/>
    <w:rsid w:val="009856B7"/>
    <w:rsid w:val="00985A66"/>
    <w:rsid w:val="0098646A"/>
    <w:rsid w:val="00986EE3"/>
    <w:rsid w:val="0098773D"/>
    <w:rsid w:val="009907BC"/>
    <w:rsid w:val="00991732"/>
    <w:rsid w:val="009920D2"/>
    <w:rsid w:val="009928BC"/>
    <w:rsid w:val="009937B4"/>
    <w:rsid w:val="0099572C"/>
    <w:rsid w:val="00996498"/>
    <w:rsid w:val="009A090B"/>
    <w:rsid w:val="009A0A73"/>
    <w:rsid w:val="009A0EDF"/>
    <w:rsid w:val="009A14D0"/>
    <w:rsid w:val="009A3D22"/>
    <w:rsid w:val="009A4B08"/>
    <w:rsid w:val="009A574C"/>
    <w:rsid w:val="009A6D69"/>
    <w:rsid w:val="009A7F75"/>
    <w:rsid w:val="009B0884"/>
    <w:rsid w:val="009B1174"/>
    <w:rsid w:val="009B21F2"/>
    <w:rsid w:val="009B4E65"/>
    <w:rsid w:val="009B533B"/>
    <w:rsid w:val="009B5478"/>
    <w:rsid w:val="009B5D28"/>
    <w:rsid w:val="009B615C"/>
    <w:rsid w:val="009B69AA"/>
    <w:rsid w:val="009B74B0"/>
    <w:rsid w:val="009C01D7"/>
    <w:rsid w:val="009C05B5"/>
    <w:rsid w:val="009C1BE3"/>
    <w:rsid w:val="009C381D"/>
    <w:rsid w:val="009C4FB9"/>
    <w:rsid w:val="009C6A83"/>
    <w:rsid w:val="009C77CC"/>
    <w:rsid w:val="009C7E88"/>
    <w:rsid w:val="009C7FDF"/>
    <w:rsid w:val="009D0B16"/>
    <w:rsid w:val="009D1895"/>
    <w:rsid w:val="009D3016"/>
    <w:rsid w:val="009D30B3"/>
    <w:rsid w:val="009D3902"/>
    <w:rsid w:val="009D47E3"/>
    <w:rsid w:val="009D5AB7"/>
    <w:rsid w:val="009D633E"/>
    <w:rsid w:val="009D6B46"/>
    <w:rsid w:val="009E1209"/>
    <w:rsid w:val="009E1242"/>
    <w:rsid w:val="009E1C38"/>
    <w:rsid w:val="009E2520"/>
    <w:rsid w:val="009E2B88"/>
    <w:rsid w:val="009E384E"/>
    <w:rsid w:val="009E464D"/>
    <w:rsid w:val="009E6668"/>
    <w:rsid w:val="009E7749"/>
    <w:rsid w:val="009E7AC6"/>
    <w:rsid w:val="009E7D2D"/>
    <w:rsid w:val="009F0A79"/>
    <w:rsid w:val="009F0AD3"/>
    <w:rsid w:val="009F1D03"/>
    <w:rsid w:val="009F1E42"/>
    <w:rsid w:val="009F2CAC"/>
    <w:rsid w:val="009F4806"/>
    <w:rsid w:val="009F4940"/>
    <w:rsid w:val="009F5217"/>
    <w:rsid w:val="00A041F4"/>
    <w:rsid w:val="00A04451"/>
    <w:rsid w:val="00A04F9F"/>
    <w:rsid w:val="00A057D1"/>
    <w:rsid w:val="00A05BED"/>
    <w:rsid w:val="00A06AD1"/>
    <w:rsid w:val="00A11053"/>
    <w:rsid w:val="00A1210E"/>
    <w:rsid w:val="00A159BF"/>
    <w:rsid w:val="00A15E40"/>
    <w:rsid w:val="00A16DAF"/>
    <w:rsid w:val="00A16F26"/>
    <w:rsid w:val="00A20EEB"/>
    <w:rsid w:val="00A21F54"/>
    <w:rsid w:val="00A2302C"/>
    <w:rsid w:val="00A25353"/>
    <w:rsid w:val="00A2563F"/>
    <w:rsid w:val="00A26739"/>
    <w:rsid w:val="00A26C2F"/>
    <w:rsid w:val="00A30B76"/>
    <w:rsid w:val="00A31252"/>
    <w:rsid w:val="00A35169"/>
    <w:rsid w:val="00A3632A"/>
    <w:rsid w:val="00A37951"/>
    <w:rsid w:val="00A42006"/>
    <w:rsid w:val="00A432BC"/>
    <w:rsid w:val="00A433FB"/>
    <w:rsid w:val="00A441EA"/>
    <w:rsid w:val="00A4478A"/>
    <w:rsid w:val="00A44852"/>
    <w:rsid w:val="00A45EAC"/>
    <w:rsid w:val="00A47A03"/>
    <w:rsid w:val="00A505D4"/>
    <w:rsid w:val="00A52A18"/>
    <w:rsid w:val="00A5631E"/>
    <w:rsid w:val="00A575E8"/>
    <w:rsid w:val="00A57D04"/>
    <w:rsid w:val="00A57D69"/>
    <w:rsid w:val="00A6084B"/>
    <w:rsid w:val="00A60A26"/>
    <w:rsid w:val="00A61598"/>
    <w:rsid w:val="00A61DCF"/>
    <w:rsid w:val="00A645F9"/>
    <w:rsid w:val="00A64EBB"/>
    <w:rsid w:val="00A65BDC"/>
    <w:rsid w:val="00A672B8"/>
    <w:rsid w:val="00A6730F"/>
    <w:rsid w:val="00A679F2"/>
    <w:rsid w:val="00A71AA6"/>
    <w:rsid w:val="00A7334D"/>
    <w:rsid w:val="00A75AAA"/>
    <w:rsid w:val="00A81710"/>
    <w:rsid w:val="00A81EF8"/>
    <w:rsid w:val="00A8219E"/>
    <w:rsid w:val="00A84E2D"/>
    <w:rsid w:val="00A84F46"/>
    <w:rsid w:val="00A871F4"/>
    <w:rsid w:val="00A87F90"/>
    <w:rsid w:val="00A912B1"/>
    <w:rsid w:val="00A91A4B"/>
    <w:rsid w:val="00A923DD"/>
    <w:rsid w:val="00A93139"/>
    <w:rsid w:val="00A9455D"/>
    <w:rsid w:val="00A94D89"/>
    <w:rsid w:val="00A956AD"/>
    <w:rsid w:val="00A96CE0"/>
    <w:rsid w:val="00A971A0"/>
    <w:rsid w:val="00AA0C1B"/>
    <w:rsid w:val="00AA0CEB"/>
    <w:rsid w:val="00AA12D3"/>
    <w:rsid w:val="00AA39C0"/>
    <w:rsid w:val="00AA3A2C"/>
    <w:rsid w:val="00AA476F"/>
    <w:rsid w:val="00AA649A"/>
    <w:rsid w:val="00AA73F0"/>
    <w:rsid w:val="00AB1500"/>
    <w:rsid w:val="00AB6478"/>
    <w:rsid w:val="00AB6927"/>
    <w:rsid w:val="00AB6AF1"/>
    <w:rsid w:val="00AC0FE9"/>
    <w:rsid w:val="00AC1B2C"/>
    <w:rsid w:val="00AC1CF3"/>
    <w:rsid w:val="00AC242C"/>
    <w:rsid w:val="00AC3264"/>
    <w:rsid w:val="00AC48DA"/>
    <w:rsid w:val="00AC5B96"/>
    <w:rsid w:val="00AD0424"/>
    <w:rsid w:val="00AD0BDE"/>
    <w:rsid w:val="00AD20F6"/>
    <w:rsid w:val="00AD36D0"/>
    <w:rsid w:val="00AD3987"/>
    <w:rsid w:val="00AD3D69"/>
    <w:rsid w:val="00AD3EC2"/>
    <w:rsid w:val="00AD592F"/>
    <w:rsid w:val="00AD6D98"/>
    <w:rsid w:val="00AD76AE"/>
    <w:rsid w:val="00AD76FB"/>
    <w:rsid w:val="00AE0399"/>
    <w:rsid w:val="00AE18EA"/>
    <w:rsid w:val="00AE1BF1"/>
    <w:rsid w:val="00AE20B1"/>
    <w:rsid w:val="00AE2792"/>
    <w:rsid w:val="00AE3179"/>
    <w:rsid w:val="00AE317D"/>
    <w:rsid w:val="00AE33E0"/>
    <w:rsid w:val="00AF0DD2"/>
    <w:rsid w:val="00AF0ED5"/>
    <w:rsid w:val="00AF200D"/>
    <w:rsid w:val="00AF2B8E"/>
    <w:rsid w:val="00AF2BB3"/>
    <w:rsid w:val="00AF3A41"/>
    <w:rsid w:val="00AF3A83"/>
    <w:rsid w:val="00AF46F3"/>
    <w:rsid w:val="00AF66A7"/>
    <w:rsid w:val="00AF7058"/>
    <w:rsid w:val="00AF78EC"/>
    <w:rsid w:val="00AF7C0E"/>
    <w:rsid w:val="00B01BD3"/>
    <w:rsid w:val="00B02ED5"/>
    <w:rsid w:val="00B03817"/>
    <w:rsid w:val="00B057C8"/>
    <w:rsid w:val="00B06353"/>
    <w:rsid w:val="00B065C9"/>
    <w:rsid w:val="00B07545"/>
    <w:rsid w:val="00B0779B"/>
    <w:rsid w:val="00B109DD"/>
    <w:rsid w:val="00B11C09"/>
    <w:rsid w:val="00B1285B"/>
    <w:rsid w:val="00B13048"/>
    <w:rsid w:val="00B135AC"/>
    <w:rsid w:val="00B14716"/>
    <w:rsid w:val="00B14AE3"/>
    <w:rsid w:val="00B14CE4"/>
    <w:rsid w:val="00B162BD"/>
    <w:rsid w:val="00B16A28"/>
    <w:rsid w:val="00B1716D"/>
    <w:rsid w:val="00B17A1D"/>
    <w:rsid w:val="00B207A0"/>
    <w:rsid w:val="00B20F61"/>
    <w:rsid w:val="00B211EE"/>
    <w:rsid w:val="00B23484"/>
    <w:rsid w:val="00B251A4"/>
    <w:rsid w:val="00B25887"/>
    <w:rsid w:val="00B26AAA"/>
    <w:rsid w:val="00B276D9"/>
    <w:rsid w:val="00B2775B"/>
    <w:rsid w:val="00B27945"/>
    <w:rsid w:val="00B30D82"/>
    <w:rsid w:val="00B31071"/>
    <w:rsid w:val="00B31345"/>
    <w:rsid w:val="00B33C7F"/>
    <w:rsid w:val="00B35810"/>
    <w:rsid w:val="00B35937"/>
    <w:rsid w:val="00B3773B"/>
    <w:rsid w:val="00B4128D"/>
    <w:rsid w:val="00B41686"/>
    <w:rsid w:val="00B44E99"/>
    <w:rsid w:val="00B45262"/>
    <w:rsid w:val="00B453AB"/>
    <w:rsid w:val="00B45484"/>
    <w:rsid w:val="00B474EE"/>
    <w:rsid w:val="00B52EC8"/>
    <w:rsid w:val="00B55C24"/>
    <w:rsid w:val="00B56CF6"/>
    <w:rsid w:val="00B56E03"/>
    <w:rsid w:val="00B6278D"/>
    <w:rsid w:val="00B62BB5"/>
    <w:rsid w:val="00B63E2C"/>
    <w:rsid w:val="00B64DF7"/>
    <w:rsid w:val="00B652AF"/>
    <w:rsid w:val="00B65CAC"/>
    <w:rsid w:val="00B66E74"/>
    <w:rsid w:val="00B673A4"/>
    <w:rsid w:val="00B70A7F"/>
    <w:rsid w:val="00B70CA5"/>
    <w:rsid w:val="00B7397E"/>
    <w:rsid w:val="00B73C3A"/>
    <w:rsid w:val="00B752C5"/>
    <w:rsid w:val="00B8080B"/>
    <w:rsid w:val="00B82845"/>
    <w:rsid w:val="00B85D8A"/>
    <w:rsid w:val="00B87C39"/>
    <w:rsid w:val="00B87DD6"/>
    <w:rsid w:val="00B904FF"/>
    <w:rsid w:val="00B91BE8"/>
    <w:rsid w:val="00B92CD5"/>
    <w:rsid w:val="00B94260"/>
    <w:rsid w:val="00B956D7"/>
    <w:rsid w:val="00BA1F27"/>
    <w:rsid w:val="00BA2E61"/>
    <w:rsid w:val="00BA390A"/>
    <w:rsid w:val="00BA3992"/>
    <w:rsid w:val="00BA4665"/>
    <w:rsid w:val="00BA50DC"/>
    <w:rsid w:val="00BA5D97"/>
    <w:rsid w:val="00BA621C"/>
    <w:rsid w:val="00BB20BA"/>
    <w:rsid w:val="00BB2FB2"/>
    <w:rsid w:val="00BB3304"/>
    <w:rsid w:val="00BB4732"/>
    <w:rsid w:val="00BB51C2"/>
    <w:rsid w:val="00BB6815"/>
    <w:rsid w:val="00BB7780"/>
    <w:rsid w:val="00BC03BC"/>
    <w:rsid w:val="00BC1B6B"/>
    <w:rsid w:val="00BC4B2E"/>
    <w:rsid w:val="00BC4CD2"/>
    <w:rsid w:val="00BC5D4F"/>
    <w:rsid w:val="00BC5E1C"/>
    <w:rsid w:val="00BC614B"/>
    <w:rsid w:val="00BC6398"/>
    <w:rsid w:val="00BC675F"/>
    <w:rsid w:val="00BC6DF0"/>
    <w:rsid w:val="00BD0BD0"/>
    <w:rsid w:val="00BD10B4"/>
    <w:rsid w:val="00BD10D7"/>
    <w:rsid w:val="00BD1AD7"/>
    <w:rsid w:val="00BD1BCA"/>
    <w:rsid w:val="00BD26AE"/>
    <w:rsid w:val="00BD26EE"/>
    <w:rsid w:val="00BD3446"/>
    <w:rsid w:val="00BD412C"/>
    <w:rsid w:val="00BD41BB"/>
    <w:rsid w:val="00BD4E33"/>
    <w:rsid w:val="00BD501B"/>
    <w:rsid w:val="00BD5467"/>
    <w:rsid w:val="00BD6CD4"/>
    <w:rsid w:val="00BD7176"/>
    <w:rsid w:val="00BD71BD"/>
    <w:rsid w:val="00BE1725"/>
    <w:rsid w:val="00BE1F1B"/>
    <w:rsid w:val="00BE2075"/>
    <w:rsid w:val="00BE2F8A"/>
    <w:rsid w:val="00BE377D"/>
    <w:rsid w:val="00BE3F55"/>
    <w:rsid w:val="00BE47B5"/>
    <w:rsid w:val="00BE5AC5"/>
    <w:rsid w:val="00BE6087"/>
    <w:rsid w:val="00BE7DBC"/>
    <w:rsid w:val="00BE7DFF"/>
    <w:rsid w:val="00BE7F9E"/>
    <w:rsid w:val="00BF19CB"/>
    <w:rsid w:val="00BF1BF5"/>
    <w:rsid w:val="00BF1E45"/>
    <w:rsid w:val="00BF2274"/>
    <w:rsid w:val="00BF295F"/>
    <w:rsid w:val="00BF4639"/>
    <w:rsid w:val="00BF6004"/>
    <w:rsid w:val="00BF65C1"/>
    <w:rsid w:val="00BF771C"/>
    <w:rsid w:val="00C008E0"/>
    <w:rsid w:val="00C008FE"/>
    <w:rsid w:val="00C01734"/>
    <w:rsid w:val="00C024A5"/>
    <w:rsid w:val="00C030BB"/>
    <w:rsid w:val="00C03C71"/>
    <w:rsid w:val="00C04914"/>
    <w:rsid w:val="00C05C48"/>
    <w:rsid w:val="00C064A7"/>
    <w:rsid w:val="00C075A3"/>
    <w:rsid w:val="00C07A89"/>
    <w:rsid w:val="00C101F2"/>
    <w:rsid w:val="00C11AE0"/>
    <w:rsid w:val="00C11EEC"/>
    <w:rsid w:val="00C11F62"/>
    <w:rsid w:val="00C12A83"/>
    <w:rsid w:val="00C13962"/>
    <w:rsid w:val="00C14E32"/>
    <w:rsid w:val="00C154C0"/>
    <w:rsid w:val="00C155B0"/>
    <w:rsid w:val="00C15712"/>
    <w:rsid w:val="00C15CB2"/>
    <w:rsid w:val="00C15DA4"/>
    <w:rsid w:val="00C16B2C"/>
    <w:rsid w:val="00C1786D"/>
    <w:rsid w:val="00C17CB8"/>
    <w:rsid w:val="00C17F0D"/>
    <w:rsid w:val="00C17FC7"/>
    <w:rsid w:val="00C21CBD"/>
    <w:rsid w:val="00C238EB"/>
    <w:rsid w:val="00C24398"/>
    <w:rsid w:val="00C248B1"/>
    <w:rsid w:val="00C24CDC"/>
    <w:rsid w:val="00C25A9A"/>
    <w:rsid w:val="00C273A6"/>
    <w:rsid w:val="00C30BBE"/>
    <w:rsid w:val="00C3355D"/>
    <w:rsid w:val="00C34065"/>
    <w:rsid w:val="00C35876"/>
    <w:rsid w:val="00C361EB"/>
    <w:rsid w:val="00C41237"/>
    <w:rsid w:val="00C420D7"/>
    <w:rsid w:val="00C420EB"/>
    <w:rsid w:val="00C43065"/>
    <w:rsid w:val="00C43C4F"/>
    <w:rsid w:val="00C452B9"/>
    <w:rsid w:val="00C466B4"/>
    <w:rsid w:val="00C46AB5"/>
    <w:rsid w:val="00C4709E"/>
    <w:rsid w:val="00C4712A"/>
    <w:rsid w:val="00C47DEE"/>
    <w:rsid w:val="00C50EC2"/>
    <w:rsid w:val="00C51484"/>
    <w:rsid w:val="00C51BE7"/>
    <w:rsid w:val="00C532EF"/>
    <w:rsid w:val="00C538A9"/>
    <w:rsid w:val="00C53B5A"/>
    <w:rsid w:val="00C54CF3"/>
    <w:rsid w:val="00C54F5A"/>
    <w:rsid w:val="00C55452"/>
    <w:rsid w:val="00C5585E"/>
    <w:rsid w:val="00C56506"/>
    <w:rsid w:val="00C565C5"/>
    <w:rsid w:val="00C567DE"/>
    <w:rsid w:val="00C601EF"/>
    <w:rsid w:val="00C60452"/>
    <w:rsid w:val="00C6191E"/>
    <w:rsid w:val="00C62797"/>
    <w:rsid w:val="00C6290C"/>
    <w:rsid w:val="00C644CD"/>
    <w:rsid w:val="00C672E0"/>
    <w:rsid w:val="00C70205"/>
    <w:rsid w:val="00C7295C"/>
    <w:rsid w:val="00C729B4"/>
    <w:rsid w:val="00C73A47"/>
    <w:rsid w:val="00C73C83"/>
    <w:rsid w:val="00C7472B"/>
    <w:rsid w:val="00C74A11"/>
    <w:rsid w:val="00C80612"/>
    <w:rsid w:val="00C81324"/>
    <w:rsid w:val="00C81890"/>
    <w:rsid w:val="00C81A67"/>
    <w:rsid w:val="00C81FC6"/>
    <w:rsid w:val="00C8473D"/>
    <w:rsid w:val="00C85FF1"/>
    <w:rsid w:val="00C86679"/>
    <w:rsid w:val="00C86919"/>
    <w:rsid w:val="00C872DB"/>
    <w:rsid w:val="00C87867"/>
    <w:rsid w:val="00C91830"/>
    <w:rsid w:val="00C9478B"/>
    <w:rsid w:val="00C94A8E"/>
    <w:rsid w:val="00C950AF"/>
    <w:rsid w:val="00C9660A"/>
    <w:rsid w:val="00C96A92"/>
    <w:rsid w:val="00CA04F2"/>
    <w:rsid w:val="00CA0ECB"/>
    <w:rsid w:val="00CA4EE0"/>
    <w:rsid w:val="00CA51FE"/>
    <w:rsid w:val="00CA771A"/>
    <w:rsid w:val="00CA7D3F"/>
    <w:rsid w:val="00CB0FA5"/>
    <w:rsid w:val="00CB45EC"/>
    <w:rsid w:val="00CB666B"/>
    <w:rsid w:val="00CB695E"/>
    <w:rsid w:val="00CC1AC0"/>
    <w:rsid w:val="00CC1D64"/>
    <w:rsid w:val="00CC2C03"/>
    <w:rsid w:val="00CC2CA1"/>
    <w:rsid w:val="00CC3B19"/>
    <w:rsid w:val="00CC4F2E"/>
    <w:rsid w:val="00CC6516"/>
    <w:rsid w:val="00CC656F"/>
    <w:rsid w:val="00CC6738"/>
    <w:rsid w:val="00CD2754"/>
    <w:rsid w:val="00CD40AD"/>
    <w:rsid w:val="00CD4E7F"/>
    <w:rsid w:val="00CD5338"/>
    <w:rsid w:val="00CE0074"/>
    <w:rsid w:val="00CE0A5F"/>
    <w:rsid w:val="00CE15A5"/>
    <w:rsid w:val="00CE1831"/>
    <w:rsid w:val="00CE1B68"/>
    <w:rsid w:val="00CE2DD3"/>
    <w:rsid w:val="00CE4B01"/>
    <w:rsid w:val="00CE6345"/>
    <w:rsid w:val="00CE661E"/>
    <w:rsid w:val="00CE6F6D"/>
    <w:rsid w:val="00CF0744"/>
    <w:rsid w:val="00CF0B65"/>
    <w:rsid w:val="00CF0E01"/>
    <w:rsid w:val="00CF0E07"/>
    <w:rsid w:val="00CF36F5"/>
    <w:rsid w:val="00CF455C"/>
    <w:rsid w:val="00CF4D2E"/>
    <w:rsid w:val="00CF5382"/>
    <w:rsid w:val="00CF62CA"/>
    <w:rsid w:val="00CF6F3C"/>
    <w:rsid w:val="00CF7D47"/>
    <w:rsid w:val="00D01CF0"/>
    <w:rsid w:val="00D0442A"/>
    <w:rsid w:val="00D05840"/>
    <w:rsid w:val="00D07128"/>
    <w:rsid w:val="00D10120"/>
    <w:rsid w:val="00D10E76"/>
    <w:rsid w:val="00D11721"/>
    <w:rsid w:val="00D11BA4"/>
    <w:rsid w:val="00D11CB3"/>
    <w:rsid w:val="00D14518"/>
    <w:rsid w:val="00D1516F"/>
    <w:rsid w:val="00D1614C"/>
    <w:rsid w:val="00D16710"/>
    <w:rsid w:val="00D1773B"/>
    <w:rsid w:val="00D22BD4"/>
    <w:rsid w:val="00D22E23"/>
    <w:rsid w:val="00D2306D"/>
    <w:rsid w:val="00D250AC"/>
    <w:rsid w:val="00D270E1"/>
    <w:rsid w:val="00D323D0"/>
    <w:rsid w:val="00D32767"/>
    <w:rsid w:val="00D33489"/>
    <w:rsid w:val="00D372FA"/>
    <w:rsid w:val="00D40B44"/>
    <w:rsid w:val="00D41EB0"/>
    <w:rsid w:val="00D42ECE"/>
    <w:rsid w:val="00D43232"/>
    <w:rsid w:val="00D43663"/>
    <w:rsid w:val="00D44037"/>
    <w:rsid w:val="00D4594F"/>
    <w:rsid w:val="00D4681D"/>
    <w:rsid w:val="00D510A2"/>
    <w:rsid w:val="00D5111E"/>
    <w:rsid w:val="00D5124C"/>
    <w:rsid w:val="00D53F55"/>
    <w:rsid w:val="00D60387"/>
    <w:rsid w:val="00D61388"/>
    <w:rsid w:val="00D613F3"/>
    <w:rsid w:val="00D615F9"/>
    <w:rsid w:val="00D61A54"/>
    <w:rsid w:val="00D61C75"/>
    <w:rsid w:val="00D62BAD"/>
    <w:rsid w:val="00D64DEA"/>
    <w:rsid w:val="00D65E49"/>
    <w:rsid w:val="00D67D07"/>
    <w:rsid w:val="00D70F71"/>
    <w:rsid w:val="00D71771"/>
    <w:rsid w:val="00D725C2"/>
    <w:rsid w:val="00D73D17"/>
    <w:rsid w:val="00D74261"/>
    <w:rsid w:val="00D74971"/>
    <w:rsid w:val="00D77C40"/>
    <w:rsid w:val="00D80893"/>
    <w:rsid w:val="00D81B2D"/>
    <w:rsid w:val="00D839A7"/>
    <w:rsid w:val="00D83BFF"/>
    <w:rsid w:val="00D83DD9"/>
    <w:rsid w:val="00D84797"/>
    <w:rsid w:val="00D86899"/>
    <w:rsid w:val="00D87097"/>
    <w:rsid w:val="00D87C8A"/>
    <w:rsid w:val="00D92A31"/>
    <w:rsid w:val="00D92CF1"/>
    <w:rsid w:val="00D92D38"/>
    <w:rsid w:val="00D92E07"/>
    <w:rsid w:val="00D936B6"/>
    <w:rsid w:val="00D950F5"/>
    <w:rsid w:val="00D95177"/>
    <w:rsid w:val="00D96914"/>
    <w:rsid w:val="00D96A64"/>
    <w:rsid w:val="00D97DE8"/>
    <w:rsid w:val="00DA0C4C"/>
    <w:rsid w:val="00DA1CA3"/>
    <w:rsid w:val="00DA289D"/>
    <w:rsid w:val="00DA331C"/>
    <w:rsid w:val="00DA4BC4"/>
    <w:rsid w:val="00DA4E07"/>
    <w:rsid w:val="00DA5BC2"/>
    <w:rsid w:val="00DA6816"/>
    <w:rsid w:val="00DB0F93"/>
    <w:rsid w:val="00DB134D"/>
    <w:rsid w:val="00DB16A7"/>
    <w:rsid w:val="00DB196A"/>
    <w:rsid w:val="00DB20BF"/>
    <w:rsid w:val="00DB2353"/>
    <w:rsid w:val="00DB402D"/>
    <w:rsid w:val="00DB4CC4"/>
    <w:rsid w:val="00DB6861"/>
    <w:rsid w:val="00DB6BE8"/>
    <w:rsid w:val="00DB7098"/>
    <w:rsid w:val="00DB7193"/>
    <w:rsid w:val="00DB7AB9"/>
    <w:rsid w:val="00DB7B59"/>
    <w:rsid w:val="00DB7FD1"/>
    <w:rsid w:val="00DC153A"/>
    <w:rsid w:val="00DC22E3"/>
    <w:rsid w:val="00DC24BF"/>
    <w:rsid w:val="00DC2907"/>
    <w:rsid w:val="00DC2F0D"/>
    <w:rsid w:val="00DC395C"/>
    <w:rsid w:val="00DC5E54"/>
    <w:rsid w:val="00DC693A"/>
    <w:rsid w:val="00DC7981"/>
    <w:rsid w:val="00DC7B5A"/>
    <w:rsid w:val="00DD0903"/>
    <w:rsid w:val="00DD1073"/>
    <w:rsid w:val="00DD15C2"/>
    <w:rsid w:val="00DD27EA"/>
    <w:rsid w:val="00DD33DE"/>
    <w:rsid w:val="00DD502F"/>
    <w:rsid w:val="00DD79F4"/>
    <w:rsid w:val="00DE27A1"/>
    <w:rsid w:val="00DE45B5"/>
    <w:rsid w:val="00DE4CDA"/>
    <w:rsid w:val="00DE4EFA"/>
    <w:rsid w:val="00DE5104"/>
    <w:rsid w:val="00DE5520"/>
    <w:rsid w:val="00DE5AB1"/>
    <w:rsid w:val="00DE6006"/>
    <w:rsid w:val="00DE6AA6"/>
    <w:rsid w:val="00DE7345"/>
    <w:rsid w:val="00DE771A"/>
    <w:rsid w:val="00DF02A4"/>
    <w:rsid w:val="00DF0714"/>
    <w:rsid w:val="00DF1C55"/>
    <w:rsid w:val="00DF2298"/>
    <w:rsid w:val="00DF2934"/>
    <w:rsid w:val="00DF2D42"/>
    <w:rsid w:val="00DF3C7E"/>
    <w:rsid w:val="00DF6E09"/>
    <w:rsid w:val="00DF7793"/>
    <w:rsid w:val="00E00EC9"/>
    <w:rsid w:val="00E014D8"/>
    <w:rsid w:val="00E023D3"/>
    <w:rsid w:val="00E03069"/>
    <w:rsid w:val="00E034A6"/>
    <w:rsid w:val="00E03725"/>
    <w:rsid w:val="00E04818"/>
    <w:rsid w:val="00E06442"/>
    <w:rsid w:val="00E1139A"/>
    <w:rsid w:val="00E113E2"/>
    <w:rsid w:val="00E115DE"/>
    <w:rsid w:val="00E13056"/>
    <w:rsid w:val="00E13280"/>
    <w:rsid w:val="00E135DB"/>
    <w:rsid w:val="00E13C85"/>
    <w:rsid w:val="00E15B15"/>
    <w:rsid w:val="00E214E9"/>
    <w:rsid w:val="00E227A4"/>
    <w:rsid w:val="00E2374E"/>
    <w:rsid w:val="00E23993"/>
    <w:rsid w:val="00E247D2"/>
    <w:rsid w:val="00E24D12"/>
    <w:rsid w:val="00E2504E"/>
    <w:rsid w:val="00E25B8C"/>
    <w:rsid w:val="00E25F40"/>
    <w:rsid w:val="00E275E5"/>
    <w:rsid w:val="00E31DF2"/>
    <w:rsid w:val="00E32774"/>
    <w:rsid w:val="00E3279F"/>
    <w:rsid w:val="00E32A8C"/>
    <w:rsid w:val="00E32FBA"/>
    <w:rsid w:val="00E331E1"/>
    <w:rsid w:val="00E333EF"/>
    <w:rsid w:val="00E334A4"/>
    <w:rsid w:val="00E357B5"/>
    <w:rsid w:val="00E35AE8"/>
    <w:rsid w:val="00E3678B"/>
    <w:rsid w:val="00E3724C"/>
    <w:rsid w:val="00E37F0B"/>
    <w:rsid w:val="00E40426"/>
    <w:rsid w:val="00E40B9C"/>
    <w:rsid w:val="00E42342"/>
    <w:rsid w:val="00E42976"/>
    <w:rsid w:val="00E42DF3"/>
    <w:rsid w:val="00E43848"/>
    <w:rsid w:val="00E438D4"/>
    <w:rsid w:val="00E43BBA"/>
    <w:rsid w:val="00E4482C"/>
    <w:rsid w:val="00E4680F"/>
    <w:rsid w:val="00E46D48"/>
    <w:rsid w:val="00E47EAD"/>
    <w:rsid w:val="00E5181B"/>
    <w:rsid w:val="00E52107"/>
    <w:rsid w:val="00E523FC"/>
    <w:rsid w:val="00E52A27"/>
    <w:rsid w:val="00E54461"/>
    <w:rsid w:val="00E55C3C"/>
    <w:rsid w:val="00E56018"/>
    <w:rsid w:val="00E6018A"/>
    <w:rsid w:val="00E605DA"/>
    <w:rsid w:val="00E6148A"/>
    <w:rsid w:val="00E65839"/>
    <w:rsid w:val="00E65C85"/>
    <w:rsid w:val="00E65CF4"/>
    <w:rsid w:val="00E66199"/>
    <w:rsid w:val="00E675DF"/>
    <w:rsid w:val="00E70F06"/>
    <w:rsid w:val="00E715D5"/>
    <w:rsid w:val="00E737E3"/>
    <w:rsid w:val="00E74532"/>
    <w:rsid w:val="00E7472E"/>
    <w:rsid w:val="00E755EC"/>
    <w:rsid w:val="00E75826"/>
    <w:rsid w:val="00E761D6"/>
    <w:rsid w:val="00E7624D"/>
    <w:rsid w:val="00E805CC"/>
    <w:rsid w:val="00E809F7"/>
    <w:rsid w:val="00E8137D"/>
    <w:rsid w:val="00E823D9"/>
    <w:rsid w:val="00E8569F"/>
    <w:rsid w:val="00E86851"/>
    <w:rsid w:val="00E91678"/>
    <w:rsid w:val="00E91BED"/>
    <w:rsid w:val="00E926FC"/>
    <w:rsid w:val="00E936DB"/>
    <w:rsid w:val="00E95CA7"/>
    <w:rsid w:val="00E96EFF"/>
    <w:rsid w:val="00E973CA"/>
    <w:rsid w:val="00EA1DEE"/>
    <w:rsid w:val="00EA3D42"/>
    <w:rsid w:val="00EA4DD9"/>
    <w:rsid w:val="00EA6B1B"/>
    <w:rsid w:val="00EB049F"/>
    <w:rsid w:val="00EB100D"/>
    <w:rsid w:val="00EB3444"/>
    <w:rsid w:val="00EB456D"/>
    <w:rsid w:val="00EB540F"/>
    <w:rsid w:val="00EB7D7F"/>
    <w:rsid w:val="00EC05BF"/>
    <w:rsid w:val="00EC0D58"/>
    <w:rsid w:val="00EC10A1"/>
    <w:rsid w:val="00EC24B0"/>
    <w:rsid w:val="00EC2617"/>
    <w:rsid w:val="00EC317E"/>
    <w:rsid w:val="00EC67D4"/>
    <w:rsid w:val="00EC7EB1"/>
    <w:rsid w:val="00ED399F"/>
    <w:rsid w:val="00ED3C5B"/>
    <w:rsid w:val="00ED4A25"/>
    <w:rsid w:val="00ED5137"/>
    <w:rsid w:val="00ED5530"/>
    <w:rsid w:val="00ED61CA"/>
    <w:rsid w:val="00ED6E24"/>
    <w:rsid w:val="00EE164B"/>
    <w:rsid w:val="00EE28F3"/>
    <w:rsid w:val="00EE347F"/>
    <w:rsid w:val="00EE42C2"/>
    <w:rsid w:val="00EE46CE"/>
    <w:rsid w:val="00EE575A"/>
    <w:rsid w:val="00EE6B29"/>
    <w:rsid w:val="00EF013A"/>
    <w:rsid w:val="00EF0E42"/>
    <w:rsid w:val="00EF0FE6"/>
    <w:rsid w:val="00EF1961"/>
    <w:rsid w:val="00EF3FB8"/>
    <w:rsid w:val="00EF5110"/>
    <w:rsid w:val="00EF62CA"/>
    <w:rsid w:val="00EF69CB"/>
    <w:rsid w:val="00F00587"/>
    <w:rsid w:val="00F019C5"/>
    <w:rsid w:val="00F02D9B"/>
    <w:rsid w:val="00F031FE"/>
    <w:rsid w:val="00F048BB"/>
    <w:rsid w:val="00F055AC"/>
    <w:rsid w:val="00F05EAD"/>
    <w:rsid w:val="00F060C8"/>
    <w:rsid w:val="00F06B5B"/>
    <w:rsid w:val="00F072C7"/>
    <w:rsid w:val="00F10CDA"/>
    <w:rsid w:val="00F113FD"/>
    <w:rsid w:val="00F13B99"/>
    <w:rsid w:val="00F13EAA"/>
    <w:rsid w:val="00F1535C"/>
    <w:rsid w:val="00F15882"/>
    <w:rsid w:val="00F15AB9"/>
    <w:rsid w:val="00F167CF"/>
    <w:rsid w:val="00F16858"/>
    <w:rsid w:val="00F1785E"/>
    <w:rsid w:val="00F20BD3"/>
    <w:rsid w:val="00F219B8"/>
    <w:rsid w:val="00F22856"/>
    <w:rsid w:val="00F247E7"/>
    <w:rsid w:val="00F248D0"/>
    <w:rsid w:val="00F27967"/>
    <w:rsid w:val="00F27EF9"/>
    <w:rsid w:val="00F3008B"/>
    <w:rsid w:val="00F32D35"/>
    <w:rsid w:val="00F336DF"/>
    <w:rsid w:val="00F3401F"/>
    <w:rsid w:val="00F35787"/>
    <w:rsid w:val="00F3590E"/>
    <w:rsid w:val="00F35CAA"/>
    <w:rsid w:val="00F36430"/>
    <w:rsid w:val="00F373A5"/>
    <w:rsid w:val="00F376D3"/>
    <w:rsid w:val="00F42DB4"/>
    <w:rsid w:val="00F45B2F"/>
    <w:rsid w:val="00F47559"/>
    <w:rsid w:val="00F50531"/>
    <w:rsid w:val="00F5112C"/>
    <w:rsid w:val="00F541D9"/>
    <w:rsid w:val="00F5475E"/>
    <w:rsid w:val="00F55548"/>
    <w:rsid w:val="00F55859"/>
    <w:rsid w:val="00F55C77"/>
    <w:rsid w:val="00F6043C"/>
    <w:rsid w:val="00F60561"/>
    <w:rsid w:val="00F60B34"/>
    <w:rsid w:val="00F61055"/>
    <w:rsid w:val="00F61AA8"/>
    <w:rsid w:val="00F61EEA"/>
    <w:rsid w:val="00F63B85"/>
    <w:rsid w:val="00F64A21"/>
    <w:rsid w:val="00F64A7A"/>
    <w:rsid w:val="00F64C7B"/>
    <w:rsid w:val="00F64F82"/>
    <w:rsid w:val="00F662F1"/>
    <w:rsid w:val="00F66967"/>
    <w:rsid w:val="00F676DD"/>
    <w:rsid w:val="00F70811"/>
    <w:rsid w:val="00F70D8D"/>
    <w:rsid w:val="00F71486"/>
    <w:rsid w:val="00F72F41"/>
    <w:rsid w:val="00F731DB"/>
    <w:rsid w:val="00F74CBC"/>
    <w:rsid w:val="00F75A26"/>
    <w:rsid w:val="00F766B3"/>
    <w:rsid w:val="00F77D49"/>
    <w:rsid w:val="00F8021A"/>
    <w:rsid w:val="00F805F3"/>
    <w:rsid w:val="00F83FAD"/>
    <w:rsid w:val="00F87EBA"/>
    <w:rsid w:val="00F90705"/>
    <w:rsid w:val="00F908CD"/>
    <w:rsid w:val="00F90A80"/>
    <w:rsid w:val="00F93027"/>
    <w:rsid w:val="00F946BA"/>
    <w:rsid w:val="00F94788"/>
    <w:rsid w:val="00F952A0"/>
    <w:rsid w:val="00F965FC"/>
    <w:rsid w:val="00F9786B"/>
    <w:rsid w:val="00FA25D4"/>
    <w:rsid w:val="00FA279B"/>
    <w:rsid w:val="00FA3830"/>
    <w:rsid w:val="00FA3C7F"/>
    <w:rsid w:val="00FA7736"/>
    <w:rsid w:val="00FA7920"/>
    <w:rsid w:val="00FB153F"/>
    <w:rsid w:val="00FB21EF"/>
    <w:rsid w:val="00FB265D"/>
    <w:rsid w:val="00FB2C76"/>
    <w:rsid w:val="00FB4068"/>
    <w:rsid w:val="00FB411D"/>
    <w:rsid w:val="00FB41E6"/>
    <w:rsid w:val="00FB45CF"/>
    <w:rsid w:val="00FB6B24"/>
    <w:rsid w:val="00FB6C59"/>
    <w:rsid w:val="00FB74E2"/>
    <w:rsid w:val="00FC0060"/>
    <w:rsid w:val="00FC04BE"/>
    <w:rsid w:val="00FC08DA"/>
    <w:rsid w:val="00FC447B"/>
    <w:rsid w:val="00FC4CF7"/>
    <w:rsid w:val="00FC52AC"/>
    <w:rsid w:val="00FC54E6"/>
    <w:rsid w:val="00FC5EB3"/>
    <w:rsid w:val="00FC5FE0"/>
    <w:rsid w:val="00FC626F"/>
    <w:rsid w:val="00FC656F"/>
    <w:rsid w:val="00FC6C78"/>
    <w:rsid w:val="00FC7B0B"/>
    <w:rsid w:val="00FD0763"/>
    <w:rsid w:val="00FD166D"/>
    <w:rsid w:val="00FD22A2"/>
    <w:rsid w:val="00FD29EE"/>
    <w:rsid w:val="00FD2F97"/>
    <w:rsid w:val="00FD3CA8"/>
    <w:rsid w:val="00FD5316"/>
    <w:rsid w:val="00FD5614"/>
    <w:rsid w:val="00FD72DC"/>
    <w:rsid w:val="00FE07CB"/>
    <w:rsid w:val="00FE0BE1"/>
    <w:rsid w:val="00FE1DE9"/>
    <w:rsid w:val="00FE292D"/>
    <w:rsid w:val="00FE39C2"/>
    <w:rsid w:val="00FE3E67"/>
    <w:rsid w:val="00FE4B6D"/>
    <w:rsid w:val="00FE602C"/>
    <w:rsid w:val="00FE64AE"/>
    <w:rsid w:val="00FE6FD3"/>
    <w:rsid w:val="00FE7E62"/>
    <w:rsid w:val="00FF2C56"/>
    <w:rsid w:val="00FF3373"/>
    <w:rsid w:val="00FF3980"/>
    <w:rsid w:val="00FF657C"/>
    <w:rsid w:val="00FF6EE1"/>
    <w:rsid w:val="00FF70CB"/>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601705"/>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 w:type="paragraph" w:customStyle="1" w:styleId="tablebody2">
    <w:name w:val="table body2"/>
    <w:basedOn w:val="Normal"/>
    <w:link w:val="tablebody2Char"/>
    <w:qFormat/>
    <w:rsid w:val="00D1773B"/>
    <w:pPr>
      <w:spacing w:before="0"/>
      <w:textAlignment w:val="center"/>
    </w:pPr>
    <w:rPr>
      <w:rFonts w:cs="Arial"/>
      <w:color w:val="000000"/>
      <w:sz w:val="18"/>
      <w:szCs w:val="18"/>
    </w:rPr>
  </w:style>
  <w:style w:type="character" w:customStyle="1" w:styleId="tablebody2Char">
    <w:name w:val="table body2 Char"/>
    <w:basedOn w:val="DefaultParagraphFont"/>
    <w:link w:val="tablebody2"/>
    <w:rsid w:val="00D1773B"/>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030">
      <w:bodyDiv w:val="1"/>
      <w:marLeft w:val="0"/>
      <w:marRight w:val="0"/>
      <w:marTop w:val="0"/>
      <w:marBottom w:val="0"/>
      <w:divBdr>
        <w:top w:val="none" w:sz="0" w:space="0" w:color="auto"/>
        <w:left w:val="none" w:sz="0" w:space="0" w:color="auto"/>
        <w:bottom w:val="none" w:sz="0" w:space="0" w:color="auto"/>
        <w:right w:val="none" w:sz="0" w:space="0" w:color="auto"/>
      </w:divBdr>
    </w:div>
    <w:div w:id="66154995">
      <w:bodyDiv w:val="1"/>
      <w:marLeft w:val="0"/>
      <w:marRight w:val="0"/>
      <w:marTop w:val="0"/>
      <w:marBottom w:val="0"/>
      <w:divBdr>
        <w:top w:val="none" w:sz="0" w:space="0" w:color="auto"/>
        <w:left w:val="none" w:sz="0" w:space="0" w:color="auto"/>
        <w:bottom w:val="none" w:sz="0" w:space="0" w:color="auto"/>
        <w:right w:val="none" w:sz="0" w:space="0" w:color="auto"/>
      </w:divBdr>
    </w:div>
    <w:div w:id="169294680">
      <w:bodyDiv w:val="1"/>
      <w:marLeft w:val="0"/>
      <w:marRight w:val="0"/>
      <w:marTop w:val="0"/>
      <w:marBottom w:val="0"/>
      <w:divBdr>
        <w:top w:val="none" w:sz="0" w:space="0" w:color="auto"/>
        <w:left w:val="none" w:sz="0" w:space="0" w:color="auto"/>
        <w:bottom w:val="none" w:sz="0" w:space="0" w:color="auto"/>
        <w:right w:val="none" w:sz="0" w:space="0" w:color="auto"/>
      </w:divBdr>
    </w:div>
    <w:div w:id="214851152">
      <w:bodyDiv w:val="1"/>
      <w:marLeft w:val="0"/>
      <w:marRight w:val="0"/>
      <w:marTop w:val="0"/>
      <w:marBottom w:val="0"/>
      <w:divBdr>
        <w:top w:val="none" w:sz="0" w:space="0" w:color="auto"/>
        <w:left w:val="none" w:sz="0" w:space="0" w:color="auto"/>
        <w:bottom w:val="none" w:sz="0" w:space="0" w:color="auto"/>
        <w:right w:val="none" w:sz="0" w:space="0" w:color="auto"/>
      </w:divBdr>
    </w:div>
    <w:div w:id="224145638">
      <w:bodyDiv w:val="1"/>
      <w:marLeft w:val="0"/>
      <w:marRight w:val="0"/>
      <w:marTop w:val="0"/>
      <w:marBottom w:val="0"/>
      <w:divBdr>
        <w:top w:val="none" w:sz="0" w:space="0" w:color="auto"/>
        <w:left w:val="none" w:sz="0" w:space="0" w:color="auto"/>
        <w:bottom w:val="none" w:sz="0" w:space="0" w:color="auto"/>
        <w:right w:val="none" w:sz="0" w:space="0" w:color="auto"/>
      </w:divBdr>
    </w:div>
    <w:div w:id="226453331">
      <w:bodyDiv w:val="1"/>
      <w:marLeft w:val="0"/>
      <w:marRight w:val="0"/>
      <w:marTop w:val="0"/>
      <w:marBottom w:val="0"/>
      <w:divBdr>
        <w:top w:val="none" w:sz="0" w:space="0" w:color="auto"/>
        <w:left w:val="none" w:sz="0" w:space="0" w:color="auto"/>
        <w:bottom w:val="none" w:sz="0" w:space="0" w:color="auto"/>
        <w:right w:val="none" w:sz="0" w:space="0" w:color="auto"/>
      </w:divBdr>
    </w:div>
    <w:div w:id="300615641">
      <w:bodyDiv w:val="1"/>
      <w:marLeft w:val="0"/>
      <w:marRight w:val="0"/>
      <w:marTop w:val="0"/>
      <w:marBottom w:val="0"/>
      <w:divBdr>
        <w:top w:val="none" w:sz="0" w:space="0" w:color="auto"/>
        <w:left w:val="none" w:sz="0" w:space="0" w:color="auto"/>
        <w:bottom w:val="none" w:sz="0" w:space="0" w:color="auto"/>
        <w:right w:val="none" w:sz="0" w:space="0" w:color="auto"/>
      </w:divBdr>
    </w:div>
    <w:div w:id="313995628">
      <w:bodyDiv w:val="1"/>
      <w:marLeft w:val="0"/>
      <w:marRight w:val="0"/>
      <w:marTop w:val="0"/>
      <w:marBottom w:val="0"/>
      <w:divBdr>
        <w:top w:val="none" w:sz="0" w:space="0" w:color="auto"/>
        <w:left w:val="none" w:sz="0" w:space="0" w:color="auto"/>
        <w:bottom w:val="none" w:sz="0" w:space="0" w:color="auto"/>
        <w:right w:val="none" w:sz="0" w:space="0" w:color="auto"/>
      </w:divBdr>
    </w:div>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1899807">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513306829">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81245">
      <w:bodyDiv w:val="1"/>
      <w:marLeft w:val="0"/>
      <w:marRight w:val="0"/>
      <w:marTop w:val="0"/>
      <w:marBottom w:val="0"/>
      <w:divBdr>
        <w:top w:val="none" w:sz="0" w:space="0" w:color="auto"/>
        <w:left w:val="none" w:sz="0" w:space="0" w:color="auto"/>
        <w:bottom w:val="none" w:sz="0" w:space="0" w:color="auto"/>
        <w:right w:val="none" w:sz="0" w:space="0" w:color="auto"/>
      </w:divBdr>
    </w:div>
    <w:div w:id="680089711">
      <w:bodyDiv w:val="1"/>
      <w:marLeft w:val="0"/>
      <w:marRight w:val="0"/>
      <w:marTop w:val="0"/>
      <w:marBottom w:val="0"/>
      <w:divBdr>
        <w:top w:val="none" w:sz="0" w:space="0" w:color="auto"/>
        <w:left w:val="none" w:sz="0" w:space="0" w:color="auto"/>
        <w:bottom w:val="none" w:sz="0" w:space="0" w:color="auto"/>
        <w:right w:val="none" w:sz="0" w:space="0" w:color="auto"/>
      </w:divBdr>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757336130">
      <w:bodyDiv w:val="1"/>
      <w:marLeft w:val="0"/>
      <w:marRight w:val="0"/>
      <w:marTop w:val="0"/>
      <w:marBottom w:val="0"/>
      <w:divBdr>
        <w:top w:val="none" w:sz="0" w:space="0" w:color="auto"/>
        <w:left w:val="none" w:sz="0" w:space="0" w:color="auto"/>
        <w:bottom w:val="none" w:sz="0" w:space="0" w:color="auto"/>
        <w:right w:val="none" w:sz="0" w:space="0" w:color="auto"/>
      </w:divBdr>
    </w:div>
    <w:div w:id="774251071">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912131462">
      <w:bodyDiv w:val="1"/>
      <w:marLeft w:val="0"/>
      <w:marRight w:val="0"/>
      <w:marTop w:val="0"/>
      <w:marBottom w:val="0"/>
      <w:divBdr>
        <w:top w:val="none" w:sz="0" w:space="0" w:color="auto"/>
        <w:left w:val="none" w:sz="0" w:space="0" w:color="auto"/>
        <w:bottom w:val="none" w:sz="0" w:space="0" w:color="auto"/>
        <w:right w:val="none" w:sz="0" w:space="0" w:color="auto"/>
      </w:divBdr>
    </w:div>
    <w:div w:id="1014723457">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185552972">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48170628">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78055331">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587379562">
      <w:bodyDiv w:val="1"/>
      <w:marLeft w:val="0"/>
      <w:marRight w:val="0"/>
      <w:marTop w:val="0"/>
      <w:marBottom w:val="0"/>
      <w:divBdr>
        <w:top w:val="none" w:sz="0" w:space="0" w:color="auto"/>
        <w:left w:val="none" w:sz="0" w:space="0" w:color="auto"/>
        <w:bottom w:val="none" w:sz="0" w:space="0" w:color="auto"/>
        <w:right w:val="none" w:sz="0" w:space="0" w:color="auto"/>
      </w:divBdr>
    </w:div>
    <w:div w:id="1632244986">
      <w:bodyDiv w:val="1"/>
      <w:marLeft w:val="0"/>
      <w:marRight w:val="0"/>
      <w:marTop w:val="0"/>
      <w:marBottom w:val="0"/>
      <w:divBdr>
        <w:top w:val="none" w:sz="0" w:space="0" w:color="auto"/>
        <w:left w:val="none" w:sz="0" w:space="0" w:color="auto"/>
        <w:bottom w:val="none" w:sz="0" w:space="0" w:color="auto"/>
        <w:right w:val="none" w:sz="0" w:space="0" w:color="auto"/>
      </w:divBdr>
    </w:div>
    <w:div w:id="1714573184">
      <w:bodyDiv w:val="1"/>
      <w:marLeft w:val="0"/>
      <w:marRight w:val="0"/>
      <w:marTop w:val="0"/>
      <w:marBottom w:val="0"/>
      <w:divBdr>
        <w:top w:val="none" w:sz="0" w:space="0" w:color="auto"/>
        <w:left w:val="none" w:sz="0" w:space="0" w:color="auto"/>
        <w:bottom w:val="none" w:sz="0" w:space="0" w:color="auto"/>
        <w:right w:val="none" w:sz="0" w:space="0" w:color="auto"/>
      </w:divBdr>
    </w:div>
    <w:div w:id="1727100536">
      <w:bodyDiv w:val="1"/>
      <w:marLeft w:val="0"/>
      <w:marRight w:val="0"/>
      <w:marTop w:val="0"/>
      <w:marBottom w:val="0"/>
      <w:divBdr>
        <w:top w:val="none" w:sz="0" w:space="0" w:color="auto"/>
        <w:left w:val="none" w:sz="0" w:space="0" w:color="auto"/>
        <w:bottom w:val="none" w:sz="0" w:space="0" w:color="auto"/>
        <w:right w:val="none" w:sz="0" w:space="0" w:color="auto"/>
      </w:divBdr>
    </w:div>
    <w:div w:id="1788306372">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1945379869">
      <w:bodyDiv w:val="1"/>
      <w:marLeft w:val="0"/>
      <w:marRight w:val="0"/>
      <w:marTop w:val="0"/>
      <w:marBottom w:val="0"/>
      <w:divBdr>
        <w:top w:val="none" w:sz="0" w:space="0" w:color="auto"/>
        <w:left w:val="none" w:sz="0" w:space="0" w:color="auto"/>
        <w:bottom w:val="none" w:sz="0" w:space="0" w:color="auto"/>
        <w:right w:val="none" w:sz="0" w:space="0" w:color="auto"/>
      </w:divBdr>
    </w:div>
    <w:div w:id="1952198166">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 w:id="2116511574">
      <w:bodyDiv w:val="1"/>
      <w:marLeft w:val="0"/>
      <w:marRight w:val="0"/>
      <w:marTop w:val="0"/>
      <w:marBottom w:val="0"/>
      <w:divBdr>
        <w:top w:val="none" w:sz="0" w:space="0" w:color="auto"/>
        <w:left w:val="none" w:sz="0" w:space="0" w:color="auto"/>
        <w:bottom w:val="none" w:sz="0" w:space="0" w:color="auto"/>
        <w:right w:val="none" w:sz="0" w:space="0" w:color="auto"/>
      </w:divBdr>
      <w:divsChild>
        <w:div w:id="41172161">
          <w:marLeft w:val="0"/>
          <w:marRight w:val="0"/>
          <w:marTop w:val="0"/>
          <w:marBottom w:val="0"/>
          <w:divBdr>
            <w:top w:val="none" w:sz="0" w:space="0" w:color="auto"/>
            <w:left w:val="none" w:sz="0" w:space="0" w:color="auto"/>
            <w:bottom w:val="none" w:sz="0" w:space="0" w:color="auto"/>
            <w:right w:val="none" w:sz="0" w:space="0" w:color="auto"/>
          </w:divBdr>
          <w:divsChild>
            <w:div w:id="898325867">
              <w:marLeft w:val="0"/>
              <w:marRight w:val="0"/>
              <w:marTop w:val="0"/>
              <w:marBottom w:val="0"/>
              <w:divBdr>
                <w:top w:val="none" w:sz="0" w:space="0" w:color="auto"/>
                <w:left w:val="none" w:sz="0" w:space="0" w:color="auto"/>
                <w:bottom w:val="none" w:sz="0" w:space="0" w:color="auto"/>
                <w:right w:val="none" w:sz="0" w:space="0" w:color="auto"/>
              </w:divBdr>
            </w:div>
            <w:div w:id="2037462382">
              <w:marLeft w:val="0"/>
              <w:marRight w:val="0"/>
              <w:marTop w:val="0"/>
              <w:marBottom w:val="0"/>
              <w:divBdr>
                <w:top w:val="none" w:sz="0" w:space="0" w:color="auto"/>
                <w:left w:val="none" w:sz="0" w:space="0" w:color="auto"/>
                <w:bottom w:val="none" w:sz="0" w:space="0" w:color="auto"/>
                <w:right w:val="none" w:sz="0" w:space="0" w:color="auto"/>
              </w:divBdr>
            </w:div>
            <w:div w:id="1704093197">
              <w:marLeft w:val="0"/>
              <w:marRight w:val="0"/>
              <w:marTop w:val="0"/>
              <w:marBottom w:val="0"/>
              <w:divBdr>
                <w:top w:val="none" w:sz="0" w:space="0" w:color="auto"/>
                <w:left w:val="none" w:sz="0" w:space="0" w:color="auto"/>
                <w:bottom w:val="none" w:sz="0" w:space="0" w:color="auto"/>
                <w:right w:val="none" w:sz="0" w:space="0" w:color="auto"/>
              </w:divBdr>
            </w:div>
            <w:div w:id="382561846">
              <w:marLeft w:val="0"/>
              <w:marRight w:val="0"/>
              <w:marTop w:val="0"/>
              <w:marBottom w:val="0"/>
              <w:divBdr>
                <w:top w:val="none" w:sz="0" w:space="0" w:color="auto"/>
                <w:left w:val="none" w:sz="0" w:space="0" w:color="auto"/>
                <w:bottom w:val="none" w:sz="0" w:space="0" w:color="auto"/>
                <w:right w:val="none" w:sz="0" w:space="0" w:color="auto"/>
              </w:divBdr>
            </w:div>
            <w:div w:id="6914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industry-information/industry-statistics"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industry-information/industry-statistics"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8172B652</Template>
  <TotalTime>0</TotalTime>
  <Pages>10</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2016-08-15T04:36:00Z</dcterms:created>
  <dcterms:modified xsi:type="dcterms:W3CDTF">2016-08-15T04:39:00Z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\\cdchnas-evs02\home$\sjohn\Electricity Report 24 - 30 July 2016.DOCX</vt:lpwstr>
  </property>
  <property fmtid="{D5CDD505-2E9C-101B-9397-08002B2CF9AE}" pid="3" name="URI">
    <vt:lpwstr>8748548</vt:lpwstr>
  </property>
</Properties>
</file>