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8C369D2" wp14:editId="2BBF8105">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5F37A9" w:rsidP="002A4EF8">
      <w:pPr>
        <w:rPr>
          <w:b/>
          <w:sz w:val="36"/>
          <w:szCs w:val="36"/>
        </w:rPr>
      </w:pPr>
      <w:r>
        <w:rPr>
          <w:b/>
          <w:sz w:val="36"/>
          <w:szCs w:val="36"/>
        </w:rPr>
        <w:t>17</w:t>
      </w:r>
      <w:r w:rsidR="00451DFF">
        <w:rPr>
          <w:b/>
          <w:sz w:val="36"/>
          <w:szCs w:val="36"/>
        </w:rPr>
        <w:t xml:space="preserve"> </w:t>
      </w:r>
      <w:r w:rsidR="00F90A80">
        <w:rPr>
          <w:b/>
          <w:sz w:val="36"/>
          <w:szCs w:val="36"/>
        </w:rPr>
        <w:t xml:space="preserve">– </w:t>
      </w:r>
      <w:r>
        <w:rPr>
          <w:b/>
          <w:sz w:val="36"/>
          <w:szCs w:val="36"/>
        </w:rPr>
        <w:t>23</w:t>
      </w:r>
      <w:r w:rsidR="00BE3F55">
        <w:rPr>
          <w:b/>
          <w:sz w:val="36"/>
          <w:szCs w:val="36"/>
        </w:rPr>
        <w:t xml:space="preserve"> </w:t>
      </w:r>
      <w:r w:rsidR="00451DFF">
        <w:rPr>
          <w:b/>
          <w:sz w:val="36"/>
          <w:szCs w:val="36"/>
        </w:rPr>
        <w:t>July</w:t>
      </w:r>
      <w:r w:rsidR="0011019A">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807CA9" w:rsidRPr="00BE2075">
        <w:t xml:space="preserve">Figure </w:t>
      </w:r>
      <w:r w:rsidR="00807CA9">
        <w:t>1</w:t>
      </w:r>
      <w:r w:rsidRPr="00C4712A">
        <w:fldChar w:fldCharType="end"/>
      </w:r>
      <w:r w:rsidRPr="00C4712A">
        <w:t xml:space="preserve"> </w:t>
      </w:r>
      <w:r w:rsidR="00AF7058" w:rsidRPr="00C4712A">
        <w:t xml:space="preserve">shows the spot prices that occurred in each region during the week </w:t>
      </w:r>
      <w:r w:rsidR="00F055AC">
        <w:t>1</w:t>
      </w:r>
      <w:r w:rsidR="009615AC">
        <w:t>7</w:t>
      </w:r>
      <w:r w:rsidR="005B0838">
        <w:t xml:space="preserve"> </w:t>
      </w:r>
      <w:r w:rsidR="00061E3B">
        <w:t xml:space="preserve">to </w:t>
      </w:r>
      <w:r w:rsidR="009615AC">
        <w:t>23</w:t>
      </w:r>
      <w:r w:rsidR="00BE3F55">
        <w:t> </w:t>
      </w:r>
      <w:r w:rsidR="00451DFF">
        <w:t xml:space="preserve">July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807CA9">
        <w:fldChar w:fldCharType="begin"/>
      </w:r>
      <w:r w:rsidR="00807CA9">
        <w:instrText xml:space="preserve"> SEQ Figure \* ARABIC </w:instrText>
      </w:r>
      <w:r w:rsidR="00807CA9">
        <w:fldChar w:fldCharType="separate"/>
      </w:r>
      <w:r w:rsidR="00807CA9">
        <w:rPr>
          <w:noProof/>
        </w:rPr>
        <w:t>1</w:t>
      </w:r>
      <w:r w:rsidR="00807CA9">
        <w:rPr>
          <w:noProof/>
        </w:rPr>
        <w:fldChar w:fldCharType="end"/>
      </w:r>
      <w:bookmarkEnd w:id="7"/>
      <w:r w:rsidRPr="00BE2075">
        <w:t>: Spot price by region ($/MWh)</w:t>
      </w:r>
    </w:p>
    <w:p w:rsidR="00EC05BF" w:rsidRDefault="001121C2" w:rsidP="00C4712A">
      <w:pPr>
        <w:pStyle w:val="Caption"/>
        <w:rPr>
          <w:bCs w:val="0"/>
          <w:lang w:eastAsia="en-AU"/>
        </w:rPr>
      </w:pPr>
      <w:r w:rsidRPr="001121C2">
        <w:rPr>
          <w:noProof/>
          <w:lang w:eastAsia="en-AU"/>
        </w:rPr>
        <w:drawing>
          <wp:inline distT="0" distB="0" distL="0" distR="0" wp14:anchorId="6CC5790D" wp14:editId="6EC1D890">
            <wp:extent cx="5731510" cy="3874280"/>
            <wp:effectExtent l="0" t="0" r="2540" b="0"/>
            <wp:docPr id="2" name="Picture 2"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74280"/>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807CA9" w:rsidRPr="00C4712A">
        <w:t xml:space="preserve">Figure </w:t>
      </w:r>
      <w:r w:rsidR="00807CA9">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807CA9" w:rsidRPr="009A7F75">
        <w:t xml:space="preserve">Table </w:t>
      </w:r>
      <w:r w:rsidR="00807CA9">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807CA9">
        <w:fldChar w:fldCharType="begin"/>
      </w:r>
      <w:r w:rsidR="00807CA9">
        <w:instrText xml:space="preserve"> SEQ Figure \* ARABIC </w:instrText>
      </w:r>
      <w:r w:rsidR="00807CA9">
        <w:fldChar w:fldCharType="separate"/>
      </w:r>
      <w:r w:rsidR="00807CA9">
        <w:rPr>
          <w:noProof/>
        </w:rPr>
        <w:t>2</w:t>
      </w:r>
      <w:r w:rsidR="00807CA9">
        <w:rPr>
          <w:noProof/>
        </w:rPr>
        <w:fldChar w:fldCharType="end"/>
      </w:r>
      <w:bookmarkEnd w:id="10"/>
      <w:r w:rsidRPr="00C4712A">
        <w:t>: Volume weighted average spot price by region ($/MWh)</w:t>
      </w:r>
    </w:p>
    <w:p w:rsidR="001F22EE" w:rsidRDefault="001121C2" w:rsidP="00F167CF">
      <w:pPr>
        <w:spacing w:before="0" w:after="120" w:line="240" w:lineRule="auto"/>
      </w:pPr>
      <w:r w:rsidRPr="001121C2">
        <w:rPr>
          <w:noProof/>
          <w:lang w:eastAsia="en-AU"/>
        </w:rPr>
        <w:drawing>
          <wp:inline distT="0" distB="0" distL="0" distR="0" wp14:anchorId="1D9DFB49" wp14:editId="50BDD372">
            <wp:extent cx="5731510" cy="2860244"/>
            <wp:effectExtent l="0" t="0" r="2540" b="0"/>
            <wp:docPr id="3" name="Picture 3"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9A7F75">
        <w:t xml:space="preserve">Table </w:t>
      </w:r>
      <w:r w:rsidR="00807CA9">
        <w:fldChar w:fldCharType="begin"/>
      </w:r>
      <w:r w:rsidR="00807CA9">
        <w:instrText xml:space="preserve"> SEQ Table \* ARABIC </w:instrText>
      </w:r>
      <w:r w:rsidR="00807CA9">
        <w:fldChar w:fldCharType="separate"/>
      </w:r>
      <w:r w:rsidR="00807CA9">
        <w:rPr>
          <w:noProof/>
        </w:rPr>
        <w:t>1</w:t>
      </w:r>
      <w:r w:rsidR="00807CA9">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1121C2" w:rsidRPr="00C4712A" w:rsidTr="00E334A4">
        <w:trPr>
          <w:trHeight w:hRule="exact" w:val="340"/>
        </w:trPr>
        <w:tc>
          <w:tcPr>
            <w:tcW w:w="1357" w:type="pct"/>
            <w:noWrap/>
            <w:vAlign w:val="center"/>
            <w:hideMark/>
          </w:tcPr>
          <w:p w:rsidR="001121C2" w:rsidRPr="00C4712A" w:rsidRDefault="001121C2"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1121C2" w:rsidRDefault="001121C2" w:rsidP="001121C2">
            <w:pPr>
              <w:spacing w:before="0" w:after="0" w:line="240" w:lineRule="auto"/>
              <w:jc w:val="center"/>
              <w:rPr>
                <w:rFonts w:cs="Arial"/>
                <w:sz w:val="20"/>
                <w:szCs w:val="20"/>
              </w:rPr>
            </w:pPr>
            <w:r>
              <w:rPr>
                <w:rFonts w:cs="Arial"/>
                <w:sz w:val="20"/>
                <w:szCs w:val="20"/>
              </w:rPr>
              <w:t xml:space="preserve">43 </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 xml:space="preserve">44 </w:t>
            </w:r>
          </w:p>
        </w:tc>
        <w:tc>
          <w:tcPr>
            <w:tcW w:w="728" w:type="pct"/>
            <w:noWrap/>
            <w:vAlign w:val="center"/>
          </w:tcPr>
          <w:p w:rsidR="001121C2" w:rsidRDefault="001121C2" w:rsidP="001121C2">
            <w:pPr>
              <w:spacing w:before="0" w:after="0" w:line="240" w:lineRule="auto"/>
              <w:jc w:val="center"/>
              <w:rPr>
                <w:rFonts w:cs="Arial"/>
                <w:sz w:val="20"/>
                <w:szCs w:val="20"/>
              </w:rPr>
            </w:pPr>
            <w:r>
              <w:rPr>
                <w:rFonts w:cs="Arial"/>
                <w:sz w:val="20"/>
                <w:szCs w:val="20"/>
              </w:rPr>
              <w:t>46</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148</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50</w:t>
            </w:r>
          </w:p>
        </w:tc>
      </w:tr>
      <w:tr w:rsidR="001121C2"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121C2" w:rsidRPr="00C4712A" w:rsidRDefault="001121C2"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1121C2" w:rsidRDefault="001121C2" w:rsidP="001121C2">
            <w:pPr>
              <w:spacing w:before="0" w:after="0" w:line="240" w:lineRule="auto"/>
              <w:jc w:val="center"/>
              <w:rPr>
                <w:rFonts w:cs="Arial"/>
                <w:szCs w:val="20"/>
              </w:rPr>
            </w:pPr>
            <w:r>
              <w:rPr>
                <w:rFonts w:cs="Arial"/>
                <w:szCs w:val="20"/>
              </w:rPr>
              <w:t>51</w:t>
            </w:r>
          </w:p>
        </w:tc>
        <w:tc>
          <w:tcPr>
            <w:tcW w:w="729" w:type="pct"/>
            <w:noWrap/>
            <w:vAlign w:val="center"/>
          </w:tcPr>
          <w:p w:rsidR="001121C2" w:rsidRDefault="001121C2" w:rsidP="001121C2">
            <w:pPr>
              <w:spacing w:before="0" w:after="0" w:line="240" w:lineRule="auto"/>
              <w:jc w:val="center"/>
              <w:rPr>
                <w:rFonts w:cs="Arial"/>
                <w:szCs w:val="20"/>
              </w:rPr>
            </w:pPr>
            <w:r>
              <w:rPr>
                <w:rFonts w:cs="Arial"/>
                <w:szCs w:val="20"/>
              </w:rPr>
              <w:t>42</w:t>
            </w:r>
          </w:p>
        </w:tc>
        <w:tc>
          <w:tcPr>
            <w:tcW w:w="728" w:type="pct"/>
            <w:noWrap/>
            <w:vAlign w:val="center"/>
          </w:tcPr>
          <w:p w:rsidR="001121C2" w:rsidRDefault="001121C2" w:rsidP="001121C2">
            <w:pPr>
              <w:spacing w:before="0" w:after="0" w:line="240" w:lineRule="auto"/>
              <w:jc w:val="center"/>
              <w:rPr>
                <w:rFonts w:cs="Arial"/>
                <w:szCs w:val="20"/>
              </w:rPr>
            </w:pPr>
            <w:r>
              <w:rPr>
                <w:rFonts w:cs="Arial"/>
                <w:szCs w:val="20"/>
              </w:rPr>
              <w:t>38</w:t>
            </w:r>
          </w:p>
        </w:tc>
        <w:tc>
          <w:tcPr>
            <w:tcW w:w="729" w:type="pct"/>
            <w:noWrap/>
            <w:vAlign w:val="center"/>
          </w:tcPr>
          <w:p w:rsidR="001121C2" w:rsidRDefault="001121C2" w:rsidP="001121C2">
            <w:pPr>
              <w:spacing w:before="0" w:after="0" w:line="240" w:lineRule="auto"/>
              <w:jc w:val="center"/>
              <w:rPr>
                <w:rFonts w:cs="Arial"/>
                <w:szCs w:val="20"/>
              </w:rPr>
            </w:pPr>
            <w:r>
              <w:rPr>
                <w:rFonts w:cs="Arial"/>
                <w:szCs w:val="20"/>
              </w:rPr>
              <w:t>76</w:t>
            </w:r>
          </w:p>
        </w:tc>
        <w:tc>
          <w:tcPr>
            <w:tcW w:w="729" w:type="pct"/>
            <w:noWrap/>
            <w:vAlign w:val="center"/>
          </w:tcPr>
          <w:p w:rsidR="001121C2" w:rsidRDefault="001121C2" w:rsidP="001121C2">
            <w:pPr>
              <w:spacing w:before="0" w:after="0" w:line="240" w:lineRule="auto"/>
              <w:jc w:val="center"/>
              <w:rPr>
                <w:rFonts w:cs="Arial"/>
                <w:szCs w:val="20"/>
              </w:rPr>
            </w:pPr>
            <w:r>
              <w:rPr>
                <w:rFonts w:cs="Arial"/>
                <w:szCs w:val="20"/>
              </w:rPr>
              <w:t>38</w:t>
            </w:r>
          </w:p>
        </w:tc>
      </w:tr>
      <w:tr w:rsidR="001121C2" w:rsidRPr="00C4712A" w:rsidTr="00E334A4">
        <w:trPr>
          <w:trHeight w:hRule="exact" w:val="340"/>
        </w:trPr>
        <w:tc>
          <w:tcPr>
            <w:tcW w:w="1357" w:type="pct"/>
            <w:noWrap/>
            <w:vAlign w:val="center"/>
            <w:hideMark/>
          </w:tcPr>
          <w:p w:rsidR="001121C2" w:rsidRPr="00C4712A" w:rsidRDefault="001121C2"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1121C2" w:rsidRDefault="001121C2" w:rsidP="001121C2">
            <w:pPr>
              <w:spacing w:before="0" w:after="0" w:line="240" w:lineRule="auto"/>
              <w:jc w:val="center"/>
              <w:rPr>
                <w:rFonts w:cs="Arial"/>
                <w:sz w:val="20"/>
                <w:szCs w:val="20"/>
              </w:rPr>
            </w:pPr>
            <w:r>
              <w:rPr>
                <w:rFonts w:cs="Arial"/>
                <w:sz w:val="20"/>
                <w:szCs w:val="20"/>
              </w:rPr>
              <w:t>72</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81</w:t>
            </w:r>
          </w:p>
        </w:tc>
        <w:tc>
          <w:tcPr>
            <w:tcW w:w="728" w:type="pct"/>
            <w:noWrap/>
            <w:vAlign w:val="center"/>
          </w:tcPr>
          <w:p w:rsidR="001121C2" w:rsidRDefault="001121C2" w:rsidP="001121C2">
            <w:pPr>
              <w:spacing w:before="0" w:after="0" w:line="240" w:lineRule="auto"/>
              <w:jc w:val="center"/>
              <w:rPr>
                <w:rFonts w:cs="Arial"/>
                <w:sz w:val="20"/>
                <w:szCs w:val="20"/>
              </w:rPr>
            </w:pPr>
            <w:r>
              <w:rPr>
                <w:rFonts w:cs="Arial"/>
                <w:sz w:val="20"/>
                <w:szCs w:val="20"/>
              </w:rPr>
              <w:t>79</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320</w:t>
            </w:r>
          </w:p>
        </w:tc>
        <w:tc>
          <w:tcPr>
            <w:tcW w:w="729" w:type="pct"/>
            <w:noWrap/>
            <w:vAlign w:val="center"/>
          </w:tcPr>
          <w:p w:rsidR="001121C2" w:rsidRDefault="001121C2" w:rsidP="001121C2">
            <w:pPr>
              <w:spacing w:before="0" w:after="0" w:line="240" w:lineRule="auto"/>
              <w:jc w:val="center"/>
              <w:rPr>
                <w:rFonts w:cs="Arial"/>
                <w:sz w:val="20"/>
                <w:szCs w:val="20"/>
              </w:rPr>
            </w:pPr>
            <w:r>
              <w:rPr>
                <w:rFonts w:cs="Arial"/>
                <w:sz w:val="20"/>
                <w:szCs w:val="20"/>
              </w:rPr>
              <w:t>79</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1121C2">
        <w:t>312</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807CA9" w:rsidRPr="00C4712A">
        <w:t xml:space="preserve">Table </w:t>
      </w:r>
      <w:r w:rsidR="00807CA9">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807CA9">
        <w:fldChar w:fldCharType="begin"/>
      </w:r>
      <w:r w:rsidR="00807CA9">
        <w:instrText xml:space="preserve"> SEQ Table \* ARABIC </w:instrText>
      </w:r>
      <w:r w:rsidR="00807CA9">
        <w:fldChar w:fldCharType="separate"/>
      </w:r>
      <w:r w:rsidR="00807CA9">
        <w:rPr>
          <w:noProof/>
        </w:rPr>
        <w:t>2</w:t>
      </w:r>
      <w:r w:rsidR="00807CA9">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DF3BC2"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DF3BC2" w:rsidRPr="00C4712A" w:rsidRDefault="00DF3BC2" w:rsidP="006C62B7">
            <w:pPr>
              <w:spacing w:after="0" w:line="240" w:lineRule="auto"/>
              <w:rPr>
                <w:sz w:val="20"/>
                <w:szCs w:val="20"/>
              </w:rPr>
            </w:pPr>
            <w:r w:rsidRPr="00C4712A">
              <w:rPr>
                <w:sz w:val="20"/>
                <w:szCs w:val="20"/>
              </w:rPr>
              <w:t>% of total above forecast</w:t>
            </w:r>
          </w:p>
        </w:tc>
        <w:tc>
          <w:tcPr>
            <w:tcW w:w="1571" w:type="dxa"/>
            <w:noWrap/>
            <w:vAlign w:val="center"/>
          </w:tcPr>
          <w:p w:rsidR="00DF3BC2" w:rsidRDefault="00DF3BC2" w:rsidP="00DF3BC2">
            <w:pPr>
              <w:spacing w:after="0" w:line="240" w:lineRule="auto"/>
              <w:jc w:val="center"/>
              <w:rPr>
                <w:rFonts w:cs="Arial"/>
                <w:sz w:val="20"/>
                <w:szCs w:val="20"/>
              </w:rPr>
            </w:pPr>
            <w:r>
              <w:rPr>
                <w:rFonts w:cs="Arial"/>
                <w:sz w:val="20"/>
                <w:szCs w:val="20"/>
              </w:rPr>
              <w:t>6</w:t>
            </w:r>
          </w:p>
        </w:tc>
        <w:tc>
          <w:tcPr>
            <w:tcW w:w="1572" w:type="dxa"/>
            <w:noWrap/>
            <w:vAlign w:val="center"/>
          </w:tcPr>
          <w:p w:rsidR="00DF3BC2" w:rsidRDefault="00DF3BC2" w:rsidP="00DF3BC2">
            <w:pPr>
              <w:spacing w:after="0" w:line="240" w:lineRule="auto"/>
              <w:jc w:val="center"/>
              <w:rPr>
                <w:rFonts w:cs="Arial"/>
                <w:sz w:val="20"/>
                <w:szCs w:val="20"/>
              </w:rPr>
            </w:pPr>
            <w:r>
              <w:rPr>
                <w:rFonts w:cs="Arial"/>
                <w:sz w:val="20"/>
                <w:szCs w:val="20"/>
              </w:rPr>
              <w:t>42</w:t>
            </w:r>
          </w:p>
        </w:tc>
        <w:tc>
          <w:tcPr>
            <w:tcW w:w="1572" w:type="dxa"/>
            <w:noWrap/>
            <w:vAlign w:val="center"/>
          </w:tcPr>
          <w:p w:rsidR="00DF3BC2" w:rsidRDefault="00DF3BC2" w:rsidP="00DF3BC2">
            <w:pPr>
              <w:spacing w:after="0" w:line="240" w:lineRule="auto"/>
              <w:jc w:val="center"/>
              <w:rPr>
                <w:rFonts w:cs="Arial"/>
                <w:sz w:val="20"/>
                <w:szCs w:val="20"/>
              </w:rPr>
            </w:pPr>
            <w:r>
              <w:rPr>
                <w:rFonts w:cs="Arial"/>
                <w:sz w:val="20"/>
                <w:szCs w:val="20"/>
              </w:rPr>
              <w:t>0</w:t>
            </w:r>
          </w:p>
        </w:tc>
        <w:tc>
          <w:tcPr>
            <w:tcW w:w="1572" w:type="dxa"/>
            <w:vAlign w:val="center"/>
          </w:tcPr>
          <w:p w:rsidR="00DF3BC2" w:rsidRDefault="00DF3BC2" w:rsidP="00DF3BC2">
            <w:pPr>
              <w:spacing w:after="0" w:line="240" w:lineRule="auto"/>
              <w:jc w:val="center"/>
              <w:rPr>
                <w:rFonts w:cs="Arial"/>
                <w:sz w:val="20"/>
                <w:szCs w:val="20"/>
              </w:rPr>
            </w:pPr>
            <w:r>
              <w:rPr>
                <w:rFonts w:cs="Arial"/>
                <w:sz w:val="20"/>
                <w:szCs w:val="20"/>
              </w:rPr>
              <w:t>2</w:t>
            </w:r>
          </w:p>
        </w:tc>
      </w:tr>
      <w:tr w:rsidR="00DF3BC2"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DF3BC2" w:rsidRPr="00C4712A" w:rsidRDefault="00DF3BC2" w:rsidP="006C62B7">
            <w:pPr>
              <w:spacing w:after="0" w:line="240" w:lineRule="auto"/>
              <w:rPr>
                <w:sz w:val="20"/>
                <w:szCs w:val="20"/>
              </w:rPr>
            </w:pPr>
            <w:r w:rsidRPr="00C4712A">
              <w:rPr>
                <w:sz w:val="20"/>
                <w:szCs w:val="20"/>
              </w:rPr>
              <w:t>% of total below forecast</w:t>
            </w:r>
          </w:p>
        </w:tc>
        <w:tc>
          <w:tcPr>
            <w:tcW w:w="1571" w:type="dxa"/>
            <w:noWrap/>
            <w:vAlign w:val="center"/>
          </w:tcPr>
          <w:p w:rsidR="00DF3BC2" w:rsidRDefault="00DF3BC2" w:rsidP="00DF3BC2">
            <w:pPr>
              <w:spacing w:after="0" w:line="240" w:lineRule="auto"/>
              <w:jc w:val="center"/>
              <w:rPr>
                <w:rFonts w:cs="Arial"/>
                <w:sz w:val="20"/>
                <w:szCs w:val="20"/>
              </w:rPr>
            </w:pPr>
            <w:r>
              <w:rPr>
                <w:rFonts w:cs="Arial"/>
                <w:sz w:val="20"/>
                <w:szCs w:val="20"/>
              </w:rPr>
              <w:t>31</w:t>
            </w:r>
          </w:p>
        </w:tc>
        <w:tc>
          <w:tcPr>
            <w:tcW w:w="1572" w:type="dxa"/>
            <w:noWrap/>
            <w:vAlign w:val="center"/>
          </w:tcPr>
          <w:p w:rsidR="00DF3BC2" w:rsidRDefault="00DF3BC2" w:rsidP="00DF3BC2">
            <w:pPr>
              <w:spacing w:after="0" w:line="240" w:lineRule="auto"/>
              <w:jc w:val="center"/>
              <w:rPr>
                <w:rFonts w:cs="Arial"/>
                <w:sz w:val="20"/>
                <w:szCs w:val="20"/>
              </w:rPr>
            </w:pPr>
            <w:r>
              <w:rPr>
                <w:rFonts w:cs="Arial"/>
                <w:sz w:val="20"/>
                <w:szCs w:val="20"/>
              </w:rPr>
              <w:t>16</w:t>
            </w:r>
          </w:p>
        </w:tc>
        <w:tc>
          <w:tcPr>
            <w:tcW w:w="1572" w:type="dxa"/>
            <w:noWrap/>
            <w:vAlign w:val="center"/>
          </w:tcPr>
          <w:p w:rsidR="00DF3BC2" w:rsidRDefault="00DF3BC2" w:rsidP="00DF3BC2">
            <w:pPr>
              <w:spacing w:after="0" w:line="240" w:lineRule="auto"/>
              <w:jc w:val="center"/>
              <w:rPr>
                <w:rFonts w:cs="Arial"/>
                <w:sz w:val="20"/>
                <w:szCs w:val="20"/>
              </w:rPr>
            </w:pPr>
            <w:r>
              <w:rPr>
                <w:rFonts w:cs="Arial"/>
                <w:sz w:val="20"/>
                <w:szCs w:val="20"/>
              </w:rPr>
              <w:t>0</w:t>
            </w:r>
          </w:p>
        </w:tc>
        <w:tc>
          <w:tcPr>
            <w:tcW w:w="1572" w:type="dxa"/>
            <w:vAlign w:val="center"/>
          </w:tcPr>
          <w:p w:rsidR="00DF3BC2" w:rsidRDefault="00DF3BC2" w:rsidP="00DF3BC2">
            <w:pPr>
              <w:spacing w:after="0" w:line="240" w:lineRule="auto"/>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807CA9" w:rsidRPr="00C4712A">
        <w:t xml:space="preserve">Figure </w:t>
      </w:r>
      <w:r w:rsidR="00807CA9">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807CA9" w:rsidRPr="002C6B96">
        <w:t xml:space="preserve">Figure </w:t>
      </w:r>
      <w:r w:rsidR="00807CA9" w:rsidRPr="00807CA9">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807CA9">
        <w:fldChar w:fldCharType="begin"/>
      </w:r>
      <w:r w:rsidR="00807CA9">
        <w:instrText xml:space="preserve"> SEQ Figure \* ARABIC </w:instrText>
      </w:r>
      <w:r w:rsidR="00807CA9">
        <w:fldChar w:fldCharType="separate"/>
      </w:r>
      <w:r w:rsidR="00807CA9">
        <w:rPr>
          <w:noProof/>
        </w:rPr>
        <w:t>3</w:t>
      </w:r>
      <w:r w:rsidR="00807CA9">
        <w:rPr>
          <w:noProof/>
        </w:rPr>
        <w:fldChar w:fldCharType="end"/>
      </w:r>
      <w:bookmarkEnd w:id="14"/>
      <w:r w:rsidRPr="00C4712A">
        <w:t>: Queensland generation and bidding patterns</w:t>
      </w:r>
    </w:p>
    <w:p w:rsidR="007B78AB" w:rsidRPr="008707C1" w:rsidRDefault="005D0F07" w:rsidP="00886FA8">
      <w:pPr>
        <w:pStyle w:val="AERbodytext"/>
        <w:rPr>
          <w:bCs w:val="0"/>
        </w:rPr>
      </w:pPr>
      <w:r w:rsidRPr="005D0F07">
        <w:rPr>
          <w:noProof/>
        </w:rPr>
        <w:drawing>
          <wp:inline distT="0" distB="0" distL="0" distR="0" wp14:anchorId="1D659189" wp14:editId="5C8CF56E">
            <wp:extent cx="5731510" cy="4115071"/>
            <wp:effectExtent l="0" t="0" r="2540" b="0"/>
            <wp:docPr id="8" name="Picture 8"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807CA9">
        <w:fldChar w:fldCharType="begin"/>
      </w:r>
      <w:r w:rsidR="00807CA9">
        <w:instrText xml:space="preserve"> SEQ Figure \* ARABIC </w:instrText>
      </w:r>
      <w:r w:rsidR="00807CA9">
        <w:fldChar w:fldCharType="separate"/>
      </w:r>
      <w:r w:rsidR="00807CA9">
        <w:rPr>
          <w:noProof/>
        </w:rPr>
        <w:t>4</w:t>
      </w:r>
      <w:r w:rsidR="00807CA9">
        <w:rPr>
          <w:noProof/>
        </w:rPr>
        <w:fldChar w:fldCharType="end"/>
      </w:r>
      <w:bookmarkEnd w:id="15"/>
      <w:r w:rsidRPr="00C4712A">
        <w:t>: New South Wales generation and bidding patterns</w:t>
      </w:r>
    </w:p>
    <w:p w:rsidR="00181C46" w:rsidRPr="00C4712A" w:rsidRDefault="005D0F07" w:rsidP="00181C46">
      <w:r w:rsidRPr="005D0F07">
        <w:rPr>
          <w:noProof/>
          <w:lang w:eastAsia="en-AU"/>
        </w:rPr>
        <w:drawing>
          <wp:inline distT="0" distB="0" distL="0" distR="0" wp14:anchorId="26B073CD" wp14:editId="5A573618">
            <wp:extent cx="5731510" cy="4120550"/>
            <wp:effectExtent l="0" t="0" r="2540" b="0"/>
            <wp:docPr id="11" name="Picture 11"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807CA9">
        <w:fldChar w:fldCharType="begin"/>
      </w:r>
      <w:r w:rsidR="00807CA9">
        <w:instrText xml:space="preserve"> SEQ Figure \* ARABIC </w:instrText>
      </w:r>
      <w:r w:rsidR="00807CA9">
        <w:fldChar w:fldCharType="separate"/>
      </w:r>
      <w:r w:rsidR="00807CA9">
        <w:rPr>
          <w:noProof/>
        </w:rPr>
        <w:t>5</w:t>
      </w:r>
      <w:r w:rsidR="00807CA9">
        <w:rPr>
          <w:noProof/>
        </w:rPr>
        <w:fldChar w:fldCharType="end"/>
      </w:r>
      <w:r w:rsidRPr="00C4712A">
        <w:t>: Victoria generation and bidding patterns</w:t>
      </w:r>
    </w:p>
    <w:p w:rsidR="00FB265D" w:rsidRDefault="005D0F07" w:rsidP="00FB265D">
      <w:r w:rsidRPr="005D0F07">
        <w:rPr>
          <w:noProof/>
          <w:lang w:eastAsia="en-AU"/>
        </w:rPr>
        <w:drawing>
          <wp:inline distT="0" distB="0" distL="0" distR="0" wp14:anchorId="5EC32084" wp14:editId="7EC35412">
            <wp:extent cx="5731510" cy="4115071"/>
            <wp:effectExtent l="0" t="0" r="2540" b="0"/>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807CA9">
        <w:fldChar w:fldCharType="begin"/>
      </w:r>
      <w:r w:rsidR="00807CA9">
        <w:instrText xml:space="preserve"> SEQ Figure \* ARABIC </w:instrText>
      </w:r>
      <w:r w:rsidR="00807CA9">
        <w:fldChar w:fldCharType="separate"/>
      </w:r>
      <w:r w:rsidR="00807CA9">
        <w:rPr>
          <w:noProof/>
        </w:rPr>
        <w:t>6</w:t>
      </w:r>
      <w:r w:rsidR="00807CA9">
        <w:rPr>
          <w:noProof/>
        </w:rPr>
        <w:fldChar w:fldCharType="end"/>
      </w:r>
      <w:bookmarkEnd w:id="16"/>
      <w:r w:rsidRPr="00610304">
        <w:t>: South Australia generation and bidding patterns</w:t>
      </w:r>
    </w:p>
    <w:p w:rsidR="002F2481" w:rsidRDefault="001977CC" w:rsidP="00A25353">
      <w:r w:rsidRPr="001977CC">
        <w:rPr>
          <w:noProof/>
          <w:lang w:eastAsia="en-AU"/>
        </w:rPr>
        <w:drawing>
          <wp:inline distT="0" distB="0" distL="0" distR="0" wp14:anchorId="267D3ADD" wp14:editId="2D480195">
            <wp:extent cx="5731510" cy="4124493"/>
            <wp:effectExtent l="0" t="0" r="2540" b="9525"/>
            <wp:docPr id="5" name="Picture 5"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807CA9">
        <w:fldChar w:fldCharType="begin"/>
      </w:r>
      <w:r w:rsidR="00807CA9">
        <w:instrText xml:space="preserve"> SEQ Figure \* ARABIC </w:instrText>
      </w:r>
      <w:r w:rsidR="00807CA9">
        <w:fldChar w:fldCharType="separate"/>
      </w:r>
      <w:r w:rsidR="00807CA9">
        <w:rPr>
          <w:noProof/>
        </w:rPr>
        <w:t>7</w:t>
      </w:r>
      <w:r w:rsidR="00807CA9">
        <w:rPr>
          <w:noProof/>
        </w:rPr>
        <w:fldChar w:fldCharType="end"/>
      </w:r>
      <w:bookmarkEnd w:id="17"/>
      <w:r w:rsidRPr="002C6B96">
        <w:t>: Tasmania generation and bidding patterns</w:t>
      </w:r>
    </w:p>
    <w:bookmarkEnd w:id="18"/>
    <w:p w:rsidR="00E43848" w:rsidRDefault="00C15712" w:rsidP="00AF7C0E">
      <w:pPr>
        <w:pStyle w:val="AERbodytext"/>
      </w:pPr>
      <w:r w:rsidRPr="00C15712">
        <w:rPr>
          <w:noProof/>
        </w:rPr>
        <w:drawing>
          <wp:inline distT="0" distB="0" distL="0" distR="0" wp14:anchorId="3E718E0A" wp14:editId="2562F877">
            <wp:extent cx="5731510" cy="4115071"/>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DA5BC2">
        <w:t>1 1</w:t>
      </w:r>
      <w:r w:rsidR="00DE27A1">
        <w:t>95</w:t>
      </w:r>
      <w:r w:rsidR="00BD26EE">
        <w:t> </w:t>
      </w:r>
      <w:r w:rsidR="00AF200D">
        <w:t>5</w:t>
      </w:r>
      <w:r w:rsidRPr="006F1044">
        <w:t>00 or less than 1 per cent of energy turnover on the mainland.</w:t>
      </w:r>
    </w:p>
    <w:p w:rsidR="00807CA9" w:rsidRDefault="006F1044" w:rsidP="00551739">
      <w:pPr>
        <w:pStyle w:val="AERbodytext"/>
      </w:pPr>
      <w:bookmarkStart w:id="19" w:name="_Ref410383413"/>
      <w:r w:rsidRPr="006F1044">
        <w:t>The total cost of FCAS i</w:t>
      </w:r>
      <w:r w:rsidR="001A3AEC">
        <w:t>n Tasmania for the week was $</w:t>
      </w:r>
      <w:r w:rsidR="00DE27A1">
        <w:t>247</w:t>
      </w:r>
      <w:r w:rsidR="00BD26EE">
        <w:t> </w:t>
      </w:r>
      <w:r w:rsidR="00DA5BC2">
        <w:t>5</w:t>
      </w:r>
      <w:r w:rsidR="001A3AEC">
        <w:t xml:space="preserve">00 or </w:t>
      </w:r>
      <w:r w:rsidR="008C5A67">
        <w:t>around</w:t>
      </w:r>
      <w:r w:rsidR="00DA5BC2">
        <w:t xml:space="preserve"> </w:t>
      </w:r>
      <w:r w:rsidR="008C5A67">
        <w:t>2.5</w:t>
      </w:r>
      <w:r w:rsidR="00AF200D">
        <w:t> </w:t>
      </w:r>
      <w:r w:rsidRPr="006F1044">
        <w:t>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807CA9"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807CA9">
        <w:rPr>
          <w:noProof/>
        </w:rPr>
        <w:t>8</w:t>
      </w:r>
      <w:r w:rsidR="00DF6E09">
        <w:rPr>
          <w:noProof/>
        </w:rPr>
        <w:fldChar w:fldCharType="end"/>
      </w:r>
      <w:bookmarkEnd w:id="19"/>
      <w:bookmarkEnd w:id="20"/>
      <w:r w:rsidRPr="00551739">
        <w:rPr>
          <w:noProof/>
        </w:rPr>
        <w:t>: Daily frequency control ancillary service cost</w:t>
      </w:r>
    </w:p>
    <w:p w:rsidR="00562103" w:rsidRDefault="00DE27A1" w:rsidP="00562103">
      <w:r w:rsidRPr="00DE27A1">
        <w:rPr>
          <w:noProof/>
          <w:lang w:eastAsia="en-AU"/>
        </w:rPr>
        <w:drawing>
          <wp:inline distT="0" distB="0" distL="0" distR="0" wp14:anchorId="60E2B71C" wp14:editId="74978AC1">
            <wp:extent cx="5731510" cy="2893363"/>
            <wp:effectExtent l="0" t="0" r="2540" b="2540"/>
            <wp:docPr id="10" name="Picture 10"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433242" w:rsidRDefault="00433242" w:rsidP="00433242">
      <w:pPr>
        <w:rPr>
          <w:rFonts w:eastAsia="Times New Roman" w:cs="Times New Roman"/>
          <w:color w:val="2272A3" w:themeColor="accent4" w:themeShade="80"/>
          <w:sz w:val="32"/>
          <w:szCs w:val="20"/>
        </w:rPr>
      </w:pPr>
      <w:r>
        <w:br w:type="page"/>
      </w:r>
    </w:p>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D5530" w:rsidRPr="000D2E32" w:rsidRDefault="00ED5530" w:rsidP="00ED5530">
      <w:pPr>
        <w:pStyle w:val="Heading2"/>
        <w:rPr>
          <w:rFonts w:eastAsia="Times New Roman"/>
          <w:b w:val="0"/>
          <w:bCs w:val="0"/>
          <w:lang w:eastAsia="en-AU"/>
        </w:rPr>
      </w:pPr>
      <w:r>
        <w:rPr>
          <w:rFonts w:eastAsia="Times New Roman"/>
          <w:b w:val="0"/>
          <w:bCs w:val="0"/>
          <w:lang w:eastAsia="en-AU"/>
        </w:rPr>
        <w:t>South Australia</w:t>
      </w:r>
    </w:p>
    <w:p w:rsidR="00ED5530" w:rsidRPr="000E00DE" w:rsidRDefault="00A505D4" w:rsidP="00ED5530">
      <w:pPr>
        <w:pStyle w:val="AERbodytext"/>
      </w:pPr>
      <w:r>
        <w:t>There were five</w:t>
      </w:r>
      <w:r w:rsidR="00ED5530" w:rsidRPr="000E00DE">
        <w:t xml:space="preserve"> occasions where the spot price in South Australia was greater than three times the South Austra</w:t>
      </w:r>
      <w:r>
        <w:t>lia weekly average price of $148</w:t>
      </w:r>
      <w:r w:rsidR="00ED5530" w:rsidRPr="000E00DE">
        <w:t xml:space="preserve">/MWh and above $250/MWh. </w:t>
      </w:r>
    </w:p>
    <w:p w:rsidR="00ED5530" w:rsidRPr="002D6AB4" w:rsidRDefault="00ED5530" w:rsidP="00ED5530">
      <w:pPr>
        <w:pStyle w:val="Heading3"/>
        <w:rPr>
          <w:rFonts w:eastAsia="Times New Roman"/>
        </w:rPr>
      </w:pPr>
      <w:r>
        <w:rPr>
          <w:rFonts w:eastAsia="Times New Roman"/>
        </w:rPr>
        <w:t>Monday, 18 July</w:t>
      </w:r>
    </w:p>
    <w:p w:rsidR="00ED5530" w:rsidRPr="0073319F" w:rsidRDefault="00ED5530" w:rsidP="00ED5530">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ED5530"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D5530" w:rsidRPr="007D74C6" w:rsidRDefault="00ED5530"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ED5530" w:rsidRPr="007D74C6" w:rsidRDefault="00ED5530"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ED5530" w:rsidRPr="007D74C6" w:rsidRDefault="00ED5530"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ED5530" w:rsidRPr="007D74C6" w:rsidRDefault="00ED5530" w:rsidP="005F37A9">
            <w:pPr>
              <w:pStyle w:val="TableHeading"/>
              <w:jc w:val="center"/>
              <w:rPr>
                <w:rFonts w:cs="Arial"/>
                <w:b w:val="0"/>
                <w:sz w:val="20"/>
                <w:szCs w:val="20"/>
              </w:rPr>
            </w:pPr>
            <w:r w:rsidRPr="007D74C6">
              <w:rPr>
                <w:rFonts w:cs="Arial"/>
                <w:b w:val="0"/>
                <w:sz w:val="20"/>
                <w:szCs w:val="20"/>
              </w:rPr>
              <w:t>Availability (MW)</w:t>
            </w:r>
          </w:p>
        </w:tc>
      </w:tr>
      <w:tr w:rsidR="00ED5530"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ED5530" w:rsidRPr="007D74C6" w:rsidRDefault="00ED5530" w:rsidP="005F37A9">
            <w:pPr>
              <w:pStyle w:val="tableheadingline2"/>
              <w:rPr>
                <w:rFonts w:cs="Arial"/>
                <w:sz w:val="20"/>
                <w:szCs w:val="20"/>
              </w:rPr>
            </w:pPr>
            <w:r w:rsidRPr="007D74C6">
              <w:rPr>
                <w:rFonts w:cs="Arial"/>
                <w:sz w:val="20"/>
                <w:szCs w:val="20"/>
              </w:rPr>
              <w:t>12 hr forecast</w:t>
            </w:r>
          </w:p>
        </w:tc>
      </w:tr>
      <w:tr w:rsidR="00ED5530"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D5530" w:rsidRPr="001C5A97" w:rsidRDefault="00FD3CA8">
            <w:pPr>
              <w:pStyle w:val="NormalWeb"/>
              <w:jc w:val="center"/>
              <w:rPr>
                <w:rFonts w:asciiTheme="minorHAnsi" w:hAnsiTheme="minorHAnsi" w:cstheme="minorHAnsi"/>
                <w:sz w:val="18"/>
                <w:szCs w:val="18"/>
              </w:rPr>
            </w:pPr>
            <w:r>
              <w:rPr>
                <w:rFonts w:asciiTheme="minorHAnsi" w:hAnsiTheme="minorHAnsi" w:cstheme="minorHAnsi"/>
                <w:bCs/>
                <w:sz w:val="18"/>
                <w:szCs w:val="18"/>
              </w:rPr>
              <w:t>5 </w:t>
            </w:r>
            <w:r w:rsidR="001C5A97">
              <w:rPr>
                <w:rFonts w:asciiTheme="minorHAnsi" w:hAnsiTheme="minorHAnsi" w:cstheme="minorHAnsi"/>
                <w:bCs/>
                <w:sz w:val="18"/>
                <w:szCs w:val="18"/>
              </w:rPr>
              <w:t>pm</w:t>
            </w:r>
          </w:p>
        </w:tc>
        <w:tc>
          <w:tcPr>
            <w:tcW w:w="474"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1930.20</w:t>
            </w:r>
          </w:p>
        </w:tc>
        <w:tc>
          <w:tcPr>
            <w:tcW w:w="574"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485.18</w:t>
            </w:r>
          </w:p>
        </w:tc>
        <w:tc>
          <w:tcPr>
            <w:tcW w:w="609"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485.18</w:t>
            </w:r>
          </w:p>
        </w:tc>
        <w:tc>
          <w:tcPr>
            <w:tcW w:w="379"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1517</w:t>
            </w:r>
          </w:p>
        </w:tc>
        <w:tc>
          <w:tcPr>
            <w:tcW w:w="456"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1528</w:t>
            </w:r>
          </w:p>
        </w:tc>
        <w:tc>
          <w:tcPr>
            <w:tcW w:w="533"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1563</w:t>
            </w:r>
          </w:p>
        </w:tc>
        <w:tc>
          <w:tcPr>
            <w:tcW w:w="532"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2482</w:t>
            </w:r>
          </w:p>
        </w:tc>
        <w:tc>
          <w:tcPr>
            <w:tcW w:w="457"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2456</w:t>
            </w:r>
          </w:p>
        </w:tc>
        <w:tc>
          <w:tcPr>
            <w:tcW w:w="455" w:type="pct"/>
            <w:vAlign w:val="center"/>
          </w:tcPr>
          <w:p w:rsidR="00ED5530" w:rsidRPr="00ED5530" w:rsidRDefault="00ED5530">
            <w:pPr>
              <w:pStyle w:val="NormalWeb"/>
              <w:jc w:val="center"/>
              <w:rPr>
                <w:rFonts w:asciiTheme="minorHAnsi" w:hAnsiTheme="minorHAnsi" w:cstheme="minorHAnsi"/>
                <w:sz w:val="18"/>
                <w:szCs w:val="18"/>
              </w:rPr>
            </w:pPr>
            <w:r w:rsidRPr="00ED5530">
              <w:rPr>
                <w:rFonts w:asciiTheme="minorHAnsi" w:hAnsiTheme="minorHAnsi" w:cstheme="minorHAnsi"/>
                <w:sz w:val="18"/>
                <w:szCs w:val="18"/>
              </w:rPr>
              <w:t>2446</w:t>
            </w:r>
          </w:p>
        </w:tc>
      </w:tr>
    </w:tbl>
    <w:p w:rsidR="0030495F" w:rsidRDefault="00E247D2" w:rsidP="00BD501B">
      <w:pPr>
        <w:pStyle w:val="Heading3"/>
        <w:jc w:val="both"/>
        <w:rPr>
          <w:rFonts w:eastAsia="Times New Roman"/>
          <w:b w:val="0"/>
          <w:sz w:val="22"/>
        </w:rPr>
      </w:pPr>
      <w:r>
        <w:rPr>
          <w:rFonts w:eastAsia="Times New Roman"/>
          <w:b w:val="0"/>
          <w:sz w:val="22"/>
        </w:rPr>
        <w:t>The spot price was higher than forecast four hours ahead. Demand and availability were both close to forecast four hours ahead.</w:t>
      </w:r>
    </w:p>
    <w:p w:rsidR="00E247D2" w:rsidRDefault="009D1895" w:rsidP="00BD501B">
      <w:pPr>
        <w:jc w:val="both"/>
      </w:pPr>
      <w:r>
        <w:t xml:space="preserve">An outage of one South East to Tailem Bend 275 kV line was forecast to force exports of 2 MW across Heywood into </w:t>
      </w:r>
      <w:r w:rsidR="003535FF">
        <w:t>Victoria four hours ahead. However, t</w:t>
      </w:r>
      <w:r w:rsidR="007200F4">
        <w:t>he outage actually forced 80 </w:t>
      </w:r>
      <w:r>
        <w:t>MW of exports across Heywood. Flows across Murraylink</w:t>
      </w:r>
      <w:r w:rsidR="00F908CD">
        <w:t xml:space="preserve"> into South Australia</w:t>
      </w:r>
      <w:r>
        <w:t xml:space="preserve"> were at the import limit of 220 MW</w:t>
      </w:r>
      <w:r w:rsidR="00A7235B">
        <w:t>, as forecast</w:t>
      </w:r>
      <w:r w:rsidR="008E1B1B">
        <w:t>.</w:t>
      </w:r>
      <w:r>
        <w:t xml:space="preserve"> </w:t>
      </w:r>
    </w:p>
    <w:p w:rsidR="003535FF" w:rsidRDefault="009D1895" w:rsidP="00BD501B">
      <w:pPr>
        <w:jc w:val="both"/>
      </w:pPr>
      <w:r>
        <w:t>There were tight</w:t>
      </w:r>
      <w:r w:rsidR="00B453AB">
        <w:t xml:space="preserve"> supply conditions, with onl</w:t>
      </w:r>
      <w:r w:rsidR="008E1B1B">
        <w:t>y 15</w:t>
      </w:r>
      <w:r>
        <w:t> MW of capacity priced between $301/MWh and $10</w:t>
      </w:r>
      <w:r w:rsidR="00F908CD">
        <w:t> </w:t>
      </w:r>
      <w:r>
        <w:t xml:space="preserve">569/MWh, </w:t>
      </w:r>
      <w:r w:rsidRPr="009D1895">
        <w:t>meaning small changes in demand or rebidding could lead to high prices.</w:t>
      </w:r>
      <w:r w:rsidR="00B453AB">
        <w:t xml:space="preserve"> </w:t>
      </w:r>
    </w:p>
    <w:p w:rsidR="009D1895" w:rsidRPr="00E247D2" w:rsidRDefault="00B453AB" w:rsidP="00BD501B">
      <w:pPr>
        <w:jc w:val="both"/>
      </w:pPr>
      <w:r>
        <w:t>Energy Australia rebid 35 MW of capacity from low prices to the price ca</w:t>
      </w:r>
      <w:r w:rsidR="00BD501B">
        <w:t>p, effective at 4.</w:t>
      </w:r>
      <w:r>
        <w:t xml:space="preserve">40 pm. </w:t>
      </w:r>
      <w:r w:rsidR="008E1B1B">
        <w:t xml:space="preserve">The reason given was </w:t>
      </w:r>
      <w:r w:rsidR="008E1B1B" w:rsidRPr="008E1B1B">
        <w:t>‘</w:t>
      </w:r>
      <w:r w:rsidR="00F908CD">
        <w:rPr>
          <w:rFonts w:cs="Arial"/>
        </w:rPr>
        <w:t xml:space="preserve">16:29 a band </w:t>
      </w:r>
      <w:proofErr w:type="spellStart"/>
      <w:r w:rsidR="00F908CD">
        <w:rPr>
          <w:rFonts w:cs="Arial"/>
        </w:rPr>
        <w:t>adj</w:t>
      </w:r>
      <w:proofErr w:type="spellEnd"/>
      <w:r w:rsidR="00F908CD">
        <w:rPr>
          <w:rFonts w:cs="Arial"/>
        </w:rPr>
        <w:t xml:space="preserve"> </w:t>
      </w:r>
      <w:proofErr w:type="spellStart"/>
      <w:r w:rsidR="00F908CD">
        <w:rPr>
          <w:rFonts w:cs="Arial"/>
        </w:rPr>
        <w:t>for mat</w:t>
      </w:r>
      <w:proofErr w:type="spellEnd"/>
      <w:r w:rsidR="00F908CD">
        <w:rPr>
          <w:rFonts w:cs="Arial"/>
        </w:rPr>
        <w:t xml:space="preserve"> change in SA price</w:t>
      </w:r>
      <w:r w:rsidR="008E1B1B" w:rsidRPr="008E1B1B">
        <w:rPr>
          <w:rFonts w:cs="Arial"/>
        </w:rPr>
        <w:t xml:space="preserve"> SL</w:t>
      </w:r>
      <w:r w:rsidR="008E1B1B">
        <w:rPr>
          <w:rFonts w:cs="Arial"/>
        </w:rPr>
        <w:t xml:space="preserve">.’ </w:t>
      </w:r>
      <w:r w:rsidR="003535FF">
        <w:rPr>
          <w:rFonts w:cs="Arial"/>
        </w:rPr>
        <w:t xml:space="preserve">With all lower priced generation being fully dispatched or ramp rate constrained and demand increasing by 28 MW at 4.45 pm, </w:t>
      </w:r>
      <w:r>
        <w:t>the dispatch price increase</w:t>
      </w:r>
      <w:r w:rsidR="003535FF">
        <w:t>d</w:t>
      </w:r>
      <w:r>
        <w:t xml:space="preserve"> from $579/MWh at 4.40 pm to $10</w:t>
      </w:r>
      <w:r w:rsidR="00F908CD">
        <w:t> </w:t>
      </w:r>
      <w:r>
        <w:t>569</w:t>
      </w:r>
      <w:r w:rsidR="00F908CD">
        <w:t>/MWh</w:t>
      </w:r>
      <w:r>
        <w:t xml:space="preserve"> at 4.45 pm</w:t>
      </w:r>
      <w:r w:rsidR="008E1B1B">
        <w:t xml:space="preserve">. </w:t>
      </w:r>
      <w:proofErr w:type="spellStart"/>
      <w:r w:rsidR="008E1B1B">
        <w:t>Lumo</w:t>
      </w:r>
      <w:proofErr w:type="spellEnd"/>
      <w:r w:rsidR="008E1B1B">
        <w:t xml:space="preserve"> subsequently rebid 104 MW of capacity from the price cap to the price floor </w:t>
      </w:r>
      <w:r w:rsidR="003535FF">
        <w:t>and the dispatch price fell</w:t>
      </w:r>
      <w:r w:rsidR="008E1B1B">
        <w:t xml:space="preserve"> to $71/MWh at 4.50 pm. The dispatch price remained low for the rest of the trading interval. </w:t>
      </w:r>
      <w:r w:rsidR="009D1895">
        <w:t xml:space="preserve"> </w:t>
      </w:r>
    </w:p>
    <w:p w:rsidR="00ED5530" w:rsidRDefault="00ED5530" w:rsidP="00ED5530">
      <w:pPr>
        <w:pStyle w:val="Heading3"/>
        <w:rPr>
          <w:rFonts w:eastAsia="Times New Roman"/>
        </w:rPr>
      </w:pPr>
      <w:r>
        <w:rPr>
          <w:rFonts w:eastAsia="Times New Roman"/>
        </w:rPr>
        <w:t>Tuesday, 19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1C5A97"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7</w:t>
            </w:r>
            <w:r w:rsidR="00FD3CA8">
              <w:rPr>
                <w:rFonts w:asciiTheme="minorHAnsi" w:hAnsiTheme="minorHAnsi" w:cstheme="minorHAnsi"/>
                <w:bCs/>
                <w:sz w:val="18"/>
                <w:szCs w:val="18"/>
              </w:rPr>
              <w:t> </w:t>
            </w:r>
            <w:r w:rsidR="0030495F">
              <w:rPr>
                <w:rFonts w:asciiTheme="minorHAnsi" w:hAnsiTheme="minorHAnsi" w:cstheme="minorHAnsi"/>
                <w:bCs/>
                <w:sz w:val="18"/>
                <w:szCs w:val="18"/>
              </w:rPr>
              <w:t>am</w:t>
            </w:r>
          </w:p>
        </w:tc>
        <w:tc>
          <w:tcPr>
            <w:tcW w:w="474"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1659.54</w:t>
            </w:r>
          </w:p>
        </w:tc>
        <w:tc>
          <w:tcPr>
            <w:tcW w:w="574"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122.54</w:t>
            </w:r>
          </w:p>
        </w:tc>
        <w:tc>
          <w:tcPr>
            <w:tcW w:w="609"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124.99</w:t>
            </w:r>
          </w:p>
        </w:tc>
        <w:tc>
          <w:tcPr>
            <w:tcW w:w="379"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1441</w:t>
            </w:r>
          </w:p>
        </w:tc>
        <w:tc>
          <w:tcPr>
            <w:tcW w:w="456"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1390</w:t>
            </w:r>
          </w:p>
        </w:tc>
        <w:tc>
          <w:tcPr>
            <w:tcW w:w="533"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1402</w:t>
            </w:r>
          </w:p>
        </w:tc>
        <w:tc>
          <w:tcPr>
            <w:tcW w:w="532"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2525</w:t>
            </w:r>
          </w:p>
        </w:tc>
        <w:tc>
          <w:tcPr>
            <w:tcW w:w="457"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2483</w:t>
            </w:r>
          </w:p>
        </w:tc>
        <w:tc>
          <w:tcPr>
            <w:tcW w:w="455"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2523</w:t>
            </w:r>
          </w:p>
        </w:tc>
      </w:tr>
    </w:tbl>
    <w:p w:rsidR="00A7235B" w:rsidRDefault="00A7235B" w:rsidP="00A7235B">
      <w:pPr>
        <w:jc w:val="both"/>
      </w:pPr>
      <w:r>
        <w:t>Spot price, demand and availability were all higher than forecast four hours ahead.</w:t>
      </w:r>
    </w:p>
    <w:p w:rsidR="00A7235B" w:rsidRDefault="00A7235B" w:rsidP="00A7235B">
      <w:pPr>
        <w:jc w:val="both"/>
      </w:pPr>
      <w:r>
        <w:t xml:space="preserve">A planned outage of one South East to Tailem Bend 275 kV </w:t>
      </w:r>
      <w:r w:rsidR="000529EB">
        <w:t xml:space="preserve">line </w:t>
      </w:r>
      <w:r>
        <w:t xml:space="preserve">was restricting flows across Heywood into South Australia to less than 10 MW. </w:t>
      </w:r>
    </w:p>
    <w:p w:rsidR="00A7235B" w:rsidRDefault="00A7235B" w:rsidP="00A7235B">
      <w:pPr>
        <w:jc w:val="both"/>
      </w:pPr>
      <w:r w:rsidRPr="00612FE8">
        <w:lastRenderedPageBreak/>
        <w:t>In preparation for a</w:t>
      </w:r>
      <w:r>
        <w:t xml:space="preserve"> planned outage</w:t>
      </w:r>
      <w:r w:rsidRPr="00612FE8">
        <w:t xml:space="preserve"> </w:t>
      </w:r>
      <w:r>
        <w:t>of the Red Cliffs – Wemen 220 kV line, a soft</w:t>
      </w:r>
      <w:r w:rsidRPr="00612FE8">
        <w:t xml:space="preserve"> ramping constraint was invoked that resulted in</w:t>
      </w:r>
      <w:r>
        <w:t xml:space="preserve"> a significant reduction in import flows to around 100 MW across</w:t>
      </w:r>
      <w:r w:rsidRPr="00612FE8">
        <w:t xml:space="preserve"> </w:t>
      </w:r>
      <w:proofErr w:type="spellStart"/>
      <w:r>
        <w:t>Murraylink</w:t>
      </w:r>
      <w:proofErr w:type="spellEnd"/>
      <w:r>
        <w:t xml:space="preserve"> into South Australia</w:t>
      </w:r>
      <w:r w:rsidRPr="00612FE8">
        <w:t>.</w:t>
      </w:r>
      <w:r>
        <w:t xml:space="preserve"> The constraint was not forecast to bind four hours ahead.</w:t>
      </w:r>
    </w:p>
    <w:p w:rsidR="00A7235B" w:rsidRDefault="00A7235B" w:rsidP="00A7235B">
      <w:pPr>
        <w:jc w:val="both"/>
      </w:pPr>
      <w:r>
        <w:t xml:space="preserve">There were tight supply conditions, with only 40 MW of capacity priced between $301/MWh and $10 579/MWh, meaning small changes in demand, availability or rebidding could lead to high prices. </w:t>
      </w:r>
    </w:p>
    <w:p w:rsidR="00A7235B" w:rsidRPr="001C5A97" w:rsidRDefault="00A7235B" w:rsidP="00A7235B">
      <w:pPr>
        <w:jc w:val="both"/>
      </w:pPr>
      <w:r>
        <w:t xml:space="preserve">Demand increased by 21 MW at 6.40 am and wind generation was 31 MW lower than forecast four hours ahead, resulting in the dispatch price increasing from $301/MWh at 6.35 am to $10 570/MWh at 6.40 am. </w:t>
      </w:r>
      <w:proofErr w:type="spellStart"/>
      <w:r>
        <w:t>Lumo</w:t>
      </w:r>
      <w:proofErr w:type="spellEnd"/>
      <w:r>
        <w:t xml:space="preserve"> rebid 101 MW from the price cap to the price floor effective at 6.45 am and the dispatch price fell to $77/MWh. The dispatch price remained low for the rest of the trading interval. </w:t>
      </w:r>
    </w:p>
    <w:p w:rsidR="00ED5530" w:rsidRDefault="00ED5530" w:rsidP="00ED5530">
      <w:pPr>
        <w:pStyle w:val="Heading3"/>
        <w:rPr>
          <w:rFonts w:eastAsia="Times New Roman"/>
        </w:rPr>
      </w:pPr>
      <w:r>
        <w:rPr>
          <w:rFonts w:eastAsia="Times New Roman"/>
        </w:rPr>
        <w:t>Friday, 22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1C5A97"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1C5A97" w:rsidRPr="001C5A97" w:rsidRDefault="00FD3CA8">
            <w:pPr>
              <w:pStyle w:val="NormalWeb"/>
              <w:jc w:val="center"/>
              <w:rPr>
                <w:rFonts w:asciiTheme="minorHAnsi" w:hAnsiTheme="minorHAnsi" w:cstheme="minorHAnsi"/>
                <w:bCs/>
                <w:sz w:val="18"/>
                <w:szCs w:val="18"/>
              </w:rPr>
            </w:pPr>
            <w:r>
              <w:rPr>
                <w:rFonts w:asciiTheme="minorHAnsi" w:hAnsiTheme="minorHAnsi" w:cstheme="minorHAnsi"/>
                <w:bCs/>
                <w:sz w:val="18"/>
                <w:szCs w:val="18"/>
              </w:rPr>
              <w:t>9.30 </w:t>
            </w:r>
            <w:r w:rsidR="0030495F">
              <w:rPr>
                <w:rFonts w:asciiTheme="minorHAnsi" w:hAnsiTheme="minorHAnsi" w:cstheme="minorHAnsi"/>
                <w:bCs/>
                <w:sz w:val="18"/>
                <w:szCs w:val="18"/>
              </w:rPr>
              <w:t>am</w:t>
            </w:r>
          </w:p>
        </w:tc>
        <w:tc>
          <w:tcPr>
            <w:tcW w:w="474"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2380.68</w:t>
            </w:r>
          </w:p>
        </w:tc>
        <w:tc>
          <w:tcPr>
            <w:tcW w:w="574"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79.99</w:t>
            </w:r>
          </w:p>
        </w:tc>
        <w:tc>
          <w:tcPr>
            <w:tcW w:w="609"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247.38</w:t>
            </w:r>
          </w:p>
        </w:tc>
        <w:tc>
          <w:tcPr>
            <w:tcW w:w="379"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1409</w:t>
            </w:r>
          </w:p>
        </w:tc>
        <w:tc>
          <w:tcPr>
            <w:tcW w:w="456"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1342</w:t>
            </w:r>
          </w:p>
        </w:tc>
        <w:tc>
          <w:tcPr>
            <w:tcW w:w="533"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1376</w:t>
            </w:r>
          </w:p>
        </w:tc>
        <w:tc>
          <w:tcPr>
            <w:tcW w:w="532"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2568</w:t>
            </w:r>
          </w:p>
        </w:tc>
        <w:tc>
          <w:tcPr>
            <w:tcW w:w="457"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2559</w:t>
            </w:r>
          </w:p>
        </w:tc>
        <w:tc>
          <w:tcPr>
            <w:tcW w:w="455" w:type="pct"/>
            <w:vAlign w:val="center"/>
          </w:tcPr>
          <w:p w:rsidR="001C5A97" w:rsidRPr="001C5A97" w:rsidRDefault="001C5A97">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2579</w:t>
            </w:r>
          </w:p>
        </w:tc>
      </w:tr>
    </w:tbl>
    <w:p w:rsidR="00A7235B" w:rsidRDefault="00A7235B" w:rsidP="00A7235B">
      <w:pPr>
        <w:jc w:val="both"/>
      </w:pPr>
      <w:r>
        <w:t>Spot price and demand were both higher than forecast four hours ahead. Availability was close to forecast four hours ahead.</w:t>
      </w:r>
    </w:p>
    <w:p w:rsidR="00A7235B" w:rsidRDefault="00A7235B" w:rsidP="00A7235B">
      <w:pPr>
        <w:jc w:val="both"/>
      </w:pPr>
      <w:r>
        <w:t xml:space="preserve">A constraint managing a planned outage of one South East to Tailem Bend 275 kV line was forcing exports of 170 MW across Heywood into Victoria. </w:t>
      </w:r>
      <w:r w:rsidRPr="00D81F6F">
        <w:t xml:space="preserve">Flows across </w:t>
      </w:r>
      <w:proofErr w:type="spellStart"/>
      <w:r w:rsidRPr="00D81F6F">
        <w:t>Murraylink</w:t>
      </w:r>
      <w:proofErr w:type="spellEnd"/>
      <w:r>
        <w:t xml:space="preserve"> into South Australia</w:t>
      </w:r>
      <w:r w:rsidRPr="00D81F6F">
        <w:t xml:space="preserve"> were at the import limit of 220 MW.</w:t>
      </w:r>
      <w:r>
        <w:t xml:space="preserve"> </w:t>
      </w:r>
    </w:p>
    <w:p w:rsidR="00A7235B" w:rsidRDefault="00A7235B" w:rsidP="00A7235B">
      <w:pPr>
        <w:jc w:val="both"/>
      </w:pPr>
      <w:r>
        <w:t xml:space="preserve">At 9.20 am the constraint led to low priced generation from Lake Bonney 2 and 3 being constrained off. At the same time demand increased by 85 MW. </w:t>
      </w:r>
    </w:p>
    <w:p w:rsidR="00A7235B" w:rsidRDefault="00A7235B" w:rsidP="00A7235B">
      <w:pPr>
        <w:jc w:val="both"/>
      </w:pPr>
      <w:r>
        <w:t>With low priced capacity either ramp rate limited or fully dispatched, the dispatch price increased from $80/MWh at 9.15 am to $14 000/MWh at 9.20 am. Prices reduced to $28/MWh at 9.25 am, when market participants rebid 278 MW of capacity from the price cap to the price floor and demand reduced by 31 MW. The dispatch price remained low for the rest of the trading interval.</w:t>
      </w:r>
    </w:p>
    <w:p w:rsidR="00E805CC" w:rsidRPr="009615AC" w:rsidRDefault="009615AC" w:rsidP="009615A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E805CC" w:rsidRPr="0073319F" w:rsidTr="00F908CD">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805CC" w:rsidRPr="007D74C6" w:rsidRDefault="00E805CC" w:rsidP="00F908CD">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E805CC" w:rsidRPr="007D74C6" w:rsidRDefault="00E805CC" w:rsidP="00F908CD">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E805CC" w:rsidRPr="007D74C6" w:rsidRDefault="00E805CC" w:rsidP="00F908CD">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E805CC" w:rsidRPr="007D74C6" w:rsidRDefault="00E805CC" w:rsidP="00F908CD">
            <w:pPr>
              <w:pStyle w:val="TableHeading"/>
              <w:jc w:val="center"/>
              <w:rPr>
                <w:rFonts w:cs="Arial"/>
                <w:b w:val="0"/>
                <w:sz w:val="20"/>
                <w:szCs w:val="20"/>
              </w:rPr>
            </w:pPr>
            <w:r w:rsidRPr="007D74C6">
              <w:rPr>
                <w:rFonts w:cs="Arial"/>
                <w:b w:val="0"/>
                <w:sz w:val="20"/>
                <w:szCs w:val="20"/>
              </w:rPr>
              <w:t>Availability (MW)</w:t>
            </w:r>
          </w:p>
        </w:tc>
      </w:tr>
      <w:tr w:rsidR="00E805CC" w:rsidRPr="0073319F" w:rsidTr="00F908CD">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E805CC" w:rsidRPr="007D74C6" w:rsidRDefault="00E805CC" w:rsidP="00F908CD">
            <w:pPr>
              <w:pStyle w:val="tableheadingline2"/>
              <w:rPr>
                <w:rFonts w:cs="Arial"/>
                <w:sz w:val="20"/>
                <w:szCs w:val="20"/>
              </w:rPr>
            </w:pPr>
            <w:r w:rsidRPr="007D74C6">
              <w:rPr>
                <w:rFonts w:cs="Arial"/>
                <w:sz w:val="20"/>
                <w:szCs w:val="20"/>
              </w:rPr>
              <w:t>12 hr forecast</w:t>
            </w:r>
          </w:p>
        </w:tc>
      </w:tr>
      <w:tr w:rsidR="00E805CC" w:rsidRPr="0073319F" w:rsidTr="00F908CD">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805CC" w:rsidRPr="001C5A97" w:rsidRDefault="00FD3CA8" w:rsidP="00F908CD">
            <w:pPr>
              <w:pStyle w:val="NormalWeb"/>
              <w:jc w:val="center"/>
              <w:rPr>
                <w:rFonts w:asciiTheme="minorHAnsi" w:hAnsiTheme="minorHAnsi" w:cstheme="minorHAnsi"/>
                <w:bCs/>
                <w:sz w:val="18"/>
                <w:szCs w:val="18"/>
              </w:rPr>
            </w:pPr>
            <w:r>
              <w:rPr>
                <w:rFonts w:asciiTheme="minorHAnsi" w:hAnsiTheme="minorHAnsi" w:cstheme="minorHAnsi"/>
                <w:bCs/>
                <w:sz w:val="18"/>
                <w:szCs w:val="18"/>
              </w:rPr>
              <w:t>4.30 </w:t>
            </w:r>
            <w:r w:rsidR="00E805CC">
              <w:rPr>
                <w:rFonts w:asciiTheme="minorHAnsi" w:hAnsiTheme="minorHAnsi" w:cstheme="minorHAnsi"/>
                <w:bCs/>
                <w:sz w:val="18"/>
                <w:szCs w:val="18"/>
              </w:rPr>
              <w:t>pm</w:t>
            </w:r>
          </w:p>
        </w:tc>
        <w:tc>
          <w:tcPr>
            <w:tcW w:w="474"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2484.65</w:t>
            </w:r>
          </w:p>
        </w:tc>
        <w:tc>
          <w:tcPr>
            <w:tcW w:w="574"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37.49</w:t>
            </w:r>
          </w:p>
        </w:tc>
        <w:tc>
          <w:tcPr>
            <w:tcW w:w="609"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35.50</w:t>
            </w:r>
          </w:p>
        </w:tc>
        <w:tc>
          <w:tcPr>
            <w:tcW w:w="379"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1535</w:t>
            </w:r>
          </w:p>
        </w:tc>
        <w:tc>
          <w:tcPr>
            <w:tcW w:w="456"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1398</w:t>
            </w:r>
          </w:p>
        </w:tc>
        <w:tc>
          <w:tcPr>
            <w:tcW w:w="533"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1324</w:t>
            </w:r>
          </w:p>
        </w:tc>
        <w:tc>
          <w:tcPr>
            <w:tcW w:w="532"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2483</w:t>
            </w:r>
          </w:p>
        </w:tc>
        <w:tc>
          <w:tcPr>
            <w:tcW w:w="457"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2766</w:t>
            </w:r>
          </w:p>
        </w:tc>
        <w:tc>
          <w:tcPr>
            <w:tcW w:w="455"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2727</w:t>
            </w:r>
          </w:p>
        </w:tc>
      </w:tr>
      <w:tr w:rsidR="00E805CC" w:rsidRPr="0073319F" w:rsidTr="00F908CD">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805CC" w:rsidRPr="001C5A97" w:rsidRDefault="00FD3CA8" w:rsidP="00F908CD">
            <w:pPr>
              <w:pStyle w:val="NormalWeb"/>
              <w:jc w:val="center"/>
              <w:rPr>
                <w:rFonts w:asciiTheme="minorHAnsi" w:hAnsiTheme="minorHAnsi" w:cstheme="minorHAnsi"/>
                <w:bCs/>
                <w:sz w:val="18"/>
                <w:szCs w:val="18"/>
              </w:rPr>
            </w:pPr>
            <w:r>
              <w:rPr>
                <w:rFonts w:asciiTheme="minorHAnsi" w:hAnsiTheme="minorHAnsi" w:cstheme="minorHAnsi"/>
                <w:bCs/>
                <w:sz w:val="18"/>
                <w:szCs w:val="18"/>
              </w:rPr>
              <w:t>5 </w:t>
            </w:r>
            <w:r w:rsidR="00E805CC">
              <w:rPr>
                <w:rFonts w:asciiTheme="minorHAnsi" w:hAnsiTheme="minorHAnsi" w:cstheme="minorHAnsi"/>
                <w:bCs/>
                <w:sz w:val="18"/>
                <w:szCs w:val="18"/>
              </w:rPr>
              <w:t>pm</w:t>
            </w:r>
          </w:p>
        </w:tc>
        <w:tc>
          <w:tcPr>
            <w:tcW w:w="474"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2337.47</w:t>
            </w:r>
          </w:p>
        </w:tc>
        <w:tc>
          <w:tcPr>
            <w:tcW w:w="574"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39.07</w:t>
            </w:r>
          </w:p>
        </w:tc>
        <w:tc>
          <w:tcPr>
            <w:tcW w:w="609"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41.72</w:t>
            </w:r>
          </w:p>
        </w:tc>
        <w:tc>
          <w:tcPr>
            <w:tcW w:w="379"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1592</w:t>
            </w:r>
          </w:p>
        </w:tc>
        <w:tc>
          <w:tcPr>
            <w:tcW w:w="456"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1422</w:t>
            </w:r>
          </w:p>
        </w:tc>
        <w:tc>
          <w:tcPr>
            <w:tcW w:w="533"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1369</w:t>
            </w:r>
          </w:p>
        </w:tc>
        <w:tc>
          <w:tcPr>
            <w:tcW w:w="532"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2331</w:t>
            </w:r>
          </w:p>
        </w:tc>
        <w:tc>
          <w:tcPr>
            <w:tcW w:w="457"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2787</w:t>
            </w:r>
          </w:p>
        </w:tc>
        <w:tc>
          <w:tcPr>
            <w:tcW w:w="455" w:type="pct"/>
            <w:vAlign w:val="center"/>
          </w:tcPr>
          <w:p w:rsidR="00E805CC" w:rsidRPr="001C5A97" w:rsidRDefault="00E805CC" w:rsidP="00F908CD">
            <w:pPr>
              <w:pStyle w:val="NormalWeb"/>
              <w:jc w:val="center"/>
              <w:rPr>
                <w:rFonts w:asciiTheme="minorHAnsi" w:hAnsiTheme="minorHAnsi" w:cstheme="minorHAnsi"/>
                <w:bCs/>
                <w:sz w:val="18"/>
                <w:szCs w:val="18"/>
              </w:rPr>
            </w:pPr>
            <w:r w:rsidRPr="001C5A97">
              <w:rPr>
                <w:rFonts w:asciiTheme="minorHAnsi" w:hAnsiTheme="minorHAnsi" w:cstheme="minorHAnsi"/>
                <w:bCs/>
                <w:sz w:val="18"/>
                <w:szCs w:val="18"/>
              </w:rPr>
              <w:t>2724</w:t>
            </w:r>
          </w:p>
        </w:tc>
      </w:tr>
    </w:tbl>
    <w:p w:rsidR="00A7235B" w:rsidRDefault="00A7235B" w:rsidP="00A7235B">
      <w:pPr>
        <w:jc w:val="both"/>
      </w:pPr>
      <w:r>
        <w:t>Prices were higher than forecast four hours ahead. Demand was significantly higher than forecast four hours ahead, while availability was significantly lower than forecast.</w:t>
      </w:r>
    </w:p>
    <w:p w:rsidR="00A7235B" w:rsidRDefault="00A7235B" w:rsidP="00A7235B">
      <w:pPr>
        <w:jc w:val="both"/>
      </w:pPr>
      <w:r>
        <w:lastRenderedPageBreak/>
        <w:t xml:space="preserve">A planned outage of one South East to Tailem Bend 275 kV line was forcing close to 50 MW of exports across Heywood into Victoria. </w:t>
      </w:r>
    </w:p>
    <w:p w:rsidR="00A7235B" w:rsidRDefault="00A7235B" w:rsidP="00A7235B">
      <w:pPr>
        <w:jc w:val="both"/>
      </w:pPr>
      <w:r>
        <w:t>Wind generation was 441 MW and 577 MW lower than forecast four hours ahead for the 4.30 pm and 5 pm trading intervals, respectively. Further, demand was 137 MW and 170 MW higher than forecast four hours ahead for the 4.30 pm and 5 pm trading intervals.</w:t>
      </w:r>
    </w:p>
    <w:p w:rsidR="00A7235B" w:rsidRPr="001C5A97" w:rsidRDefault="00A7235B" w:rsidP="00A7235B">
      <w:pPr>
        <w:jc w:val="both"/>
      </w:pPr>
      <w:r>
        <w:t>With low priced capacity either ramp rate limited or fully dispatched, the dispatch price increased from $300/MWh at 4.25 pm to $14 000/MWh for the 4.30 pm and 4.35 pm dispatch intervals. Market participants subsequently rebid 470 MW from high to low prices, resulting in the dispatch price falling to $18/MWh at 4.40 pm and remaining low for the rest of the trading interval.</w:t>
      </w:r>
    </w:p>
    <w:p w:rsidR="00ED5530" w:rsidRDefault="00ED5530" w:rsidP="00ED5530">
      <w:pPr>
        <w:pStyle w:val="Heading2"/>
        <w:rPr>
          <w:rFonts w:eastAsia="Times New Roman"/>
          <w:b w:val="0"/>
          <w:bCs w:val="0"/>
          <w:lang w:eastAsia="en-AU"/>
        </w:rPr>
      </w:pPr>
      <w:r>
        <w:rPr>
          <w:rFonts w:eastAsia="Times New Roman"/>
          <w:b w:val="0"/>
          <w:bCs w:val="0"/>
          <w:lang w:eastAsia="en-AU"/>
        </w:rPr>
        <w:t>Tasmania</w:t>
      </w:r>
    </w:p>
    <w:p w:rsidR="00354B6E" w:rsidRPr="00354B6E" w:rsidRDefault="00354B6E" w:rsidP="00BD501B">
      <w:pPr>
        <w:spacing w:before="100" w:beforeAutospacing="1" w:after="100" w:afterAutospacing="1" w:line="288" w:lineRule="auto"/>
        <w:jc w:val="both"/>
      </w:pPr>
      <w:r w:rsidRPr="00354B6E">
        <w:t>There were eight occasions where the spot price in Tasmania was greater than three times the Tasmania weekly average price of $50/MWh and above $250/MWh.</w:t>
      </w:r>
    </w:p>
    <w:p w:rsidR="001C5A97" w:rsidRPr="005F37A9" w:rsidRDefault="00ED5530" w:rsidP="005F37A9">
      <w:pPr>
        <w:pStyle w:val="Heading3"/>
        <w:rPr>
          <w:rFonts w:eastAsia="Times New Roman"/>
        </w:rPr>
      </w:pPr>
      <w:r>
        <w:rPr>
          <w:rFonts w:eastAsia="Times New Roman"/>
        </w:rPr>
        <w:t>Tuesday, 19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1C5A97"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1C5A97" w:rsidRPr="0030495F" w:rsidRDefault="00FD3CA8">
            <w:pPr>
              <w:pStyle w:val="NormalWeb"/>
              <w:jc w:val="center"/>
              <w:rPr>
                <w:rFonts w:asciiTheme="minorHAnsi" w:hAnsiTheme="minorHAnsi" w:cstheme="minorHAnsi"/>
                <w:bCs/>
                <w:sz w:val="18"/>
                <w:szCs w:val="18"/>
              </w:rPr>
            </w:pPr>
            <w:r>
              <w:rPr>
                <w:rFonts w:asciiTheme="minorHAnsi" w:hAnsiTheme="minorHAnsi" w:cstheme="minorHAnsi"/>
                <w:bCs/>
                <w:sz w:val="18"/>
                <w:szCs w:val="18"/>
              </w:rPr>
              <w:t>9 </w:t>
            </w:r>
            <w:r w:rsidR="0030495F">
              <w:rPr>
                <w:rFonts w:asciiTheme="minorHAnsi" w:hAnsiTheme="minorHAnsi" w:cstheme="minorHAnsi"/>
                <w:bCs/>
                <w:sz w:val="18"/>
                <w:szCs w:val="18"/>
              </w:rPr>
              <w:t>am</w:t>
            </w:r>
          </w:p>
        </w:tc>
        <w:tc>
          <w:tcPr>
            <w:tcW w:w="4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279.59</w:t>
            </w:r>
          </w:p>
        </w:tc>
        <w:tc>
          <w:tcPr>
            <w:tcW w:w="5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336.05</w:t>
            </w:r>
          </w:p>
        </w:tc>
        <w:tc>
          <w:tcPr>
            <w:tcW w:w="60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44.19</w:t>
            </w:r>
          </w:p>
        </w:tc>
        <w:tc>
          <w:tcPr>
            <w:tcW w:w="37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1368</w:t>
            </w:r>
          </w:p>
        </w:tc>
        <w:tc>
          <w:tcPr>
            <w:tcW w:w="456"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1341</w:t>
            </w:r>
          </w:p>
        </w:tc>
        <w:tc>
          <w:tcPr>
            <w:tcW w:w="533"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1360</w:t>
            </w:r>
          </w:p>
        </w:tc>
        <w:tc>
          <w:tcPr>
            <w:tcW w:w="532"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2157</w:t>
            </w:r>
          </w:p>
        </w:tc>
        <w:tc>
          <w:tcPr>
            <w:tcW w:w="457"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2269</w:t>
            </w:r>
          </w:p>
        </w:tc>
        <w:tc>
          <w:tcPr>
            <w:tcW w:w="455"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2263</w:t>
            </w:r>
          </w:p>
        </w:tc>
      </w:tr>
    </w:tbl>
    <w:p w:rsidR="001C5A97" w:rsidRPr="001C5A97" w:rsidRDefault="0030495F" w:rsidP="00BD501B">
      <w:pPr>
        <w:jc w:val="both"/>
      </w:pPr>
      <w:r>
        <w:t>The spot price was close to forecast four hours ahead.</w:t>
      </w:r>
    </w:p>
    <w:p w:rsidR="00ED5530" w:rsidRDefault="00ED5530" w:rsidP="00ED5530">
      <w:pPr>
        <w:pStyle w:val="Heading3"/>
        <w:rPr>
          <w:rFonts w:eastAsia="Times New Roman"/>
        </w:rPr>
      </w:pPr>
      <w:r>
        <w:rPr>
          <w:rFonts w:eastAsia="Times New Roman"/>
        </w:rPr>
        <w:t>Friday, 22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1C5A97" w:rsidRPr="0030495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1C5A97" w:rsidRPr="0030495F" w:rsidRDefault="00FD3CA8">
            <w:pPr>
              <w:pStyle w:val="NormalWeb"/>
              <w:jc w:val="center"/>
              <w:rPr>
                <w:rFonts w:asciiTheme="minorHAnsi" w:hAnsiTheme="minorHAnsi" w:cstheme="minorHAnsi"/>
                <w:bCs/>
                <w:sz w:val="18"/>
                <w:szCs w:val="18"/>
              </w:rPr>
            </w:pPr>
            <w:r>
              <w:rPr>
                <w:rFonts w:asciiTheme="minorHAnsi" w:hAnsiTheme="minorHAnsi" w:cstheme="minorHAnsi"/>
                <w:bCs/>
                <w:sz w:val="18"/>
                <w:szCs w:val="18"/>
              </w:rPr>
              <w:t>6 </w:t>
            </w:r>
            <w:r w:rsidR="0030495F">
              <w:rPr>
                <w:rFonts w:asciiTheme="minorHAnsi" w:hAnsiTheme="minorHAnsi" w:cstheme="minorHAnsi"/>
                <w:bCs/>
                <w:sz w:val="18"/>
                <w:szCs w:val="18"/>
              </w:rPr>
              <w:t>pm</w:t>
            </w:r>
          </w:p>
        </w:tc>
        <w:tc>
          <w:tcPr>
            <w:tcW w:w="4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283.21</w:t>
            </w:r>
          </w:p>
        </w:tc>
        <w:tc>
          <w:tcPr>
            <w:tcW w:w="5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24.63</w:t>
            </w:r>
          </w:p>
        </w:tc>
        <w:tc>
          <w:tcPr>
            <w:tcW w:w="60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30.02</w:t>
            </w:r>
          </w:p>
        </w:tc>
        <w:tc>
          <w:tcPr>
            <w:tcW w:w="37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1392</w:t>
            </w:r>
          </w:p>
        </w:tc>
        <w:tc>
          <w:tcPr>
            <w:tcW w:w="456"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1352</w:t>
            </w:r>
          </w:p>
        </w:tc>
        <w:tc>
          <w:tcPr>
            <w:tcW w:w="533"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1353</w:t>
            </w:r>
          </w:p>
        </w:tc>
        <w:tc>
          <w:tcPr>
            <w:tcW w:w="532"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2324</w:t>
            </w:r>
          </w:p>
        </w:tc>
        <w:tc>
          <w:tcPr>
            <w:tcW w:w="457"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2392</w:t>
            </w:r>
          </w:p>
        </w:tc>
        <w:tc>
          <w:tcPr>
            <w:tcW w:w="455"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2392</w:t>
            </w:r>
          </w:p>
        </w:tc>
      </w:tr>
    </w:tbl>
    <w:p w:rsidR="001C5A97" w:rsidRDefault="007A0FFE" w:rsidP="00BD501B">
      <w:pPr>
        <w:jc w:val="both"/>
      </w:pPr>
      <w:r>
        <w:t>Demand</w:t>
      </w:r>
      <w:r w:rsidR="00F908CD">
        <w:t xml:space="preserve"> was higher than forecast four hours </w:t>
      </w:r>
      <w:r>
        <w:t>ahead, while availability was lower than forecast.</w:t>
      </w:r>
    </w:p>
    <w:p w:rsidR="00905C90" w:rsidRPr="00905C90" w:rsidRDefault="00905C90" w:rsidP="00905C90">
      <w:pPr>
        <w:jc w:val="both"/>
      </w:pPr>
      <w:r w:rsidRPr="00905C90">
        <w:t>Supply conditions were tight, with no capacity priced between $2/MWh and $249/MWh, meaning small changes in demand, rebidding, wind generation or interconnector limits could lead to high prices.</w:t>
      </w:r>
    </w:p>
    <w:p w:rsidR="007A0FFE" w:rsidRPr="001C5A97" w:rsidRDefault="00806288" w:rsidP="00BD501B">
      <w:pPr>
        <w:jc w:val="both"/>
      </w:pPr>
      <w:r>
        <w:t>Wind generation dropped by 32 MW from 5.40 pm to 5.45 pm.</w:t>
      </w:r>
      <w:r w:rsidR="00C7295C">
        <w:t xml:space="preserve"> With local low priced capacity ramp rate limited, trapped or stranded in FCAS, or fully dispatched, the</w:t>
      </w:r>
      <w:r w:rsidR="00F908CD">
        <w:t xml:space="preserve"> dispatch price rose from $40</w:t>
      </w:r>
      <w:r>
        <w:t>/MWh at 5.40</w:t>
      </w:r>
      <w:r w:rsidR="00F908CD">
        <w:t> pm to $475/MWh</w:t>
      </w:r>
      <w:r w:rsidR="00C7295C">
        <w:t xml:space="preserve"> </w:t>
      </w:r>
      <w:r>
        <w:t>at 5.45</w:t>
      </w:r>
      <w:r w:rsidR="00C7295C">
        <w:t> pm. The dispatch price was above $333/MWh for the remainder of the trading interval.</w:t>
      </w:r>
    </w:p>
    <w:p w:rsidR="00ED5530" w:rsidRDefault="00ED5530" w:rsidP="00ED5530">
      <w:pPr>
        <w:pStyle w:val="Heading3"/>
        <w:rPr>
          <w:rFonts w:eastAsia="Times New Roman"/>
        </w:rPr>
      </w:pPr>
      <w:r>
        <w:rPr>
          <w:rFonts w:eastAsia="Times New Roman"/>
        </w:rPr>
        <w:t>Saturday, 23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lastRenderedPageBreak/>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1C5A97"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1C5A97" w:rsidRPr="0030495F" w:rsidRDefault="00BD501B">
            <w:pPr>
              <w:pStyle w:val="NormalWeb"/>
              <w:jc w:val="center"/>
              <w:rPr>
                <w:rFonts w:asciiTheme="minorHAnsi" w:hAnsiTheme="minorHAnsi" w:cstheme="minorHAnsi"/>
                <w:bCs/>
                <w:sz w:val="18"/>
                <w:szCs w:val="18"/>
              </w:rPr>
            </w:pPr>
            <w:r>
              <w:rPr>
                <w:rFonts w:asciiTheme="minorHAnsi" w:hAnsiTheme="minorHAnsi" w:cstheme="minorHAnsi"/>
                <w:bCs/>
                <w:sz w:val="18"/>
                <w:szCs w:val="18"/>
              </w:rPr>
              <w:t>5 </w:t>
            </w:r>
            <w:r w:rsidR="0030495F">
              <w:rPr>
                <w:rFonts w:asciiTheme="minorHAnsi" w:hAnsiTheme="minorHAnsi" w:cstheme="minorHAnsi"/>
                <w:bCs/>
                <w:sz w:val="18"/>
                <w:szCs w:val="18"/>
              </w:rPr>
              <w:t>pm</w:t>
            </w:r>
          </w:p>
        </w:tc>
        <w:tc>
          <w:tcPr>
            <w:tcW w:w="4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294.23</w:t>
            </w:r>
          </w:p>
        </w:tc>
        <w:tc>
          <w:tcPr>
            <w:tcW w:w="574"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50.17</w:t>
            </w:r>
          </w:p>
        </w:tc>
        <w:tc>
          <w:tcPr>
            <w:tcW w:w="60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25.43</w:t>
            </w:r>
          </w:p>
        </w:tc>
        <w:tc>
          <w:tcPr>
            <w:tcW w:w="379"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1397</w:t>
            </w:r>
          </w:p>
        </w:tc>
        <w:tc>
          <w:tcPr>
            <w:tcW w:w="456"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1359</w:t>
            </w:r>
          </w:p>
        </w:tc>
        <w:tc>
          <w:tcPr>
            <w:tcW w:w="533"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1284</w:t>
            </w:r>
          </w:p>
        </w:tc>
        <w:tc>
          <w:tcPr>
            <w:tcW w:w="532"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2245</w:t>
            </w:r>
          </w:p>
        </w:tc>
        <w:tc>
          <w:tcPr>
            <w:tcW w:w="457"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2386</w:t>
            </w:r>
          </w:p>
        </w:tc>
        <w:tc>
          <w:tcPr>
            <w:tcW w:w="455" w:type="pct"/>
            <w:vAlign w:val="center"/>
          </w:tcPr>
          <w:p w:rsidR="001C5A97" w:rsidRPr="0030495F" w:rsidRDefault="001C5A97">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2389</w:t>
            </w:r>
          </w:p>
        </w:tc>
      </w:tr>
    </w:tbl>
    <w:p w:rsidR="00720EF8" w:rsidRDefault="00720EF8" w:rsidP="00BD501B">
      <w:pPr>
        <w:jc w:val="both"/>
      </w:pPr>
      <w:r>
        <w:t>Demand was higher than forecast fours ahead, while availability was lower than forecast.</w:t>
      </w:r>
    </w:p>
    <w:p w:rsidR="00720EF8" w:rsidRDefault="00720EF8" w:rsidP="00BD501B">
      <w:pPr>
        <w:jc w:val="both"/>
      </w:pPr>
      <w:r>
        <w:t>Supply conditions were tight, with no capacity priced between $2/MWh and $249/MWh, meaning small changes in demand, rebidding, wind generation or interconnector limits could lead to high prices.</w:t>
      </w:r>
    </w:p>
    <w:p w:rsidR="00720EF8" w:rsidRPr="001C5A97" w:rsidRDefault="00720EF8" w:rsidP="00BD501B">
      <w:pPr>
        <w:jc w:val="both"/>
      </w:pPr>
      <w:r>
        <w:t xml:space="preserve">Wind generation for the 5 pm trading interval was 31 MW lower than forecast four hours ahead. </w:t>
      </w:r>
      <w:r w:rsidR="00214EAF">
        <w:t>This combined with the higher than forecast demand resulted in dispatch prices</w:t>
      </w:r>
      <w:r>
        <w:t xml:space="preserve"> </w:t>
      </w:r>
      <w:r w:rsidR="00214EAF">
        <w:t xml:space="preserve">at around </w:t>
      </w:r>
      <w:r w:rsidR="003D4F14">
        <w:t>$3</w:t>
      </w:r>
      <w:r w:rsidR="00214EAF">
        <w:t>30</w:t>
      </w:r>
      <w:r>
        <w:t xml:space="preserve">/MWh for </w:t>
      </w:r>
      <w:r w:rsidR="00214EAF">
        <w:t>a majority</w:t>
      </w:r>
      <w:r>
        <w:t xml:space="preserve"> of the trading interval.</w:t>
      </w:r>
    </w:p>
    <w:p w:rsidR="00806288" w:rsidRPr="009615AC" w:rsidRDefault="009615AC" w:rsidP="009615A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10</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ook w:val="04A0" w:firstRow="1" w:lastRow="0" w:firstColumn="1" w:lastColumn="0" w:noHBand="0" w:noVBand="1"/>
      </w:tblPr>
      <w:tblGrid>
        <w:gridCol w:w="981"/>
        <w:gridCol w:w="876"/>
        <w:gridCol w:w="1061"/>
        <w:gridCol w:w="1126"/>
        <w:gridCol w:w="701"/>
        <w:gridCol w:w="843"/>
        <w:gridCol w:w="985"/>
        <w:gridCol w:w="983"/>
        <w:gridCol w:w="845"/>
        <w:gridCol w:w="841"/>
      </w:tblGrid>
      <w:tr w:rsidR="0030495F" w:rsidTr="0030495F">
        <w:trPr>
          <w:cnfStyle w:val="100000000000" w:firstRow="1" w:lastRow="0" w:firstColumn="0" w:lastColumn="0" w:oddVBand="0" w:evenVBand="0" w:oddHBand="0" w:evenHBand="0" w:firstRowFirstColumn="0" w:firstRowLastColumn="0" w:lastRowFirstColumn="0" w:lastRowLastColumn="0"/>
          <w:tblHeader/>
        </w:trPr>
        <w:tc>
          <w:tcPr>
            <w:tcW w:w="531" w:type="pct"/>
            <w:tcBorders>
              <w:top w:val="nil"/>
              <w:left w:val="nil"/>
              <w:bottom w:val="nil"/>
              <w:right w:val="nil"/>
            </w:tcBorders>
            <w:hideMark/>
          </w:tcPr>
          <w:p w:rsidR="0030495F" w:rsidRDefault="0030495F">
            <w:pPr>
              <w:pStyle w:val="TableHeading"/>
              <w:jc w:val="center"/>
              <w:rPr>
                <w:b w:val="0"/>
                <w:sz w:val="20"/>
                <w:szCs w:val="20"/>
              </w:rPr>
            </w:pPr>
            <w:r>
              <w:rPr>
                <w:b w:val="0"/>
                <w:sz w:val="20"/>
                <w:szCs w:val="20"/>
              </w:rPr>
              <w:t xml:space="preserve">Time </w:t>
            </w:r>
          </w:p>
        </w:tc>
        <w:tc>
          <w:tcPr>
            <w:tcW w:w="1657" w:type="pct"/>
            <w:gridSpan w:val="3"/>
            <w:tcBorders>
              <w:top w:val="nil"/>
              <w:left w:val="nil"/>
              <w:bottom w:val="nil"/>
              <w:right w:val="nil"/>
            </w:tcBorders>
            <w:hideMark/>
          </w:tcPr>
          <w:p w:rsidR="0030495F" w:rsidRDefault="0030495F">
            <w:pPr>
              <w:pStyle w:val="TableHeading"/>
              <w:jc w:val="center"/>
              <w:rPr>
                <w:b w:val="0"/>
                <w:sz w:val="20"/>
                <w:szCs w:val="20"/>
              </w:rPr>
            </w:pPr>
            <w:r>
              <w:rPr>
                <w:b w:val="0"/>
                <w:sz w:val="20"/>
                <w:szCs w:val="20"/>
              </w:rPr>
              <w:t>Price ($/MWh)</w:t>
            </w:r>
          </w:p>
        </w:tc>
        <w:tc>
          <w:tcPr>
            <w:tcW w:w="1368" w:type="pct"/>
            <w:gridSpan w:val="3"/>
            <w:tcBorders>
              <w:top w:val="nil"/>
              <w:left w:val="nil"/>
              <w:bottom w:val="nil"/>
              <w:right w:val="nil"/>
            </w:tcBorders>
            <w:hideMark/>
          </w:tcPr>
          <w:p w:rsidR="0030495F" w:rsidRDefault="0030495F">
            <w:pPr>
              <w:pStyle w:val="TableHeading"/>
              <w:jc w:val="center"/>
              <w:rPr>
                <w:b w:val="0"/>
                <w:sz w:val="20"/>
                <w:szCs w:val="20"/>
              </w:rPr>
            </w:pPr>
            <w:r>
              <w:rPr>
                <w:b w:val="0"/>
                <w:sz w:val="20"/>
                <w:szCs w:val="20"/>
              </w:rPr>
              <w:t>Demand (MW)</w:t>
            </w:r>
          </w:p>
        </w:tc>
        <w:tc>
          <w:tcPr>
            <w:tcW w:w="1444" w:type="pct"/>
            <w:gridSpan w:val="3"/>
            <w:tcBorders>
              <w:top w:val="nil"/>
              <w:left w:val="nil"/>
              <w:bottom w:val="nil"/>
              <w:right w:val="nil"/>
            </w:tcBorders>
            <w:hideMark/>
          </w:tcPr>
          <w:p w:rsidR="0030495F" w:rsidRDefault="0030495F">
            <w:pPr>
              <w:pStyle w:val="TableHeading"/>
              <w:jc w:val="center"/>
              <w:rPr>
                <w:b w:val="0"/>
                <w:sz w:val="20"/>
                <w:szCs w:val="20"/>
              </w:rPr>
            </w:pPr>
            <w:r>
              <w:rPr>
                <w:b w:val="0"/>
                <w:sz w:val="20"/>
                <w:szCs w:val="20"/>
              </w:rPr>
              <w:t>Availability (MW)</w:t>
            </w:r>
          </w:p>
        </w:tc>
      </w:tr>
      <w:tr w:rsidR="0030495F" w:rsidTr="0030495F">
        <w:trPr>
          <w:cnfStyle w:val="100000000000" w:firstRow="1" w:lastRow="0" w:firstColumn="0" w:lastColumn="0" w:oddVBand="0" w:evenVBand="0" w:oddHBand="0" w:evenHBand="0" w:firstRowFirstColumn="0" w:firstRowLastColumn="0" w:lastRowFirstColumn="0" w:lastRowLastColumn="0"/>
          <w:tblHeader/>
        </w:trPr>
        <w:tc>
          <w:tcPr>
            <w:tcW w:w="531"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 </w:t>
            </w:r>
          </w:p>
        </w:tc>
        <w:tc>
          <w:tcPr>
            <w:tcW w:w="474"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Actual</w:t>
            </w:r>
          </w:p>
        </w:tc>
        <w:tc>
          <w:tcPr>
            <w:tcW w:w="574"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4 hr forecast</w:t>
            </w:r>
          </w:p>
        </w:tc>
        <w:tc>
          <w:tcPr>
            <w:tcW w:w="609"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12 hr forecast</w:t>
            </w:r>
          </w:p>
        </w:tc>
        <w:tc>
          <w:tcPr>
            <w:tcW w:w="379"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Actual</w:t>
            </w:r>
          </w:p>
        </w:tc>
        <w:tc>
          <w:tcPr>
            <w:tcW w:w="456"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4 hr forecast</w:t>
            </w:r>
          </w:p>
        </w:tc>
        <w:tc>
          <w:tcPr>
            <w:tcW w:w="533"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12 hr forecast</w:t>
            </w:r>
          </w:p>
        </w:tc>
        <w:tc>
          <w:tcPr>
            <w:tcW w:w="532"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Actual</w:t>
            </w:r>
          </w:p>
        </w:tc>
        <w:tc>
          <w:tcPr>
            <w:tcW w:w="457"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4 hr forecast</w:t>
            </w:r>
          </w:p>
        </w:tc>
        <w:tc>
          <w:tcPr>
            <w:tcW w:w="455" w:type="pct"/>
            <w:tcBorders>
              <w:top w:val="nil"/>
              <w:left w:val="nil"/>
              <w:bottom w:val="nil"/>
              <w:right w:val="nil"/>
            </w:tcBorders>
            <w:tcMar>
              <w:top w:w="0" w:type="dxa"/>
              <w:left w:w="57" w:type="dxa"/>
              <w:bottom w:w="0" w:type="dxa"/>
              <w:right w:w="57" w:type="dxa"/>
            </w:tcMar>
            <w:hideMark/>
          </w:tcPr>
          <w:p w:rsidR="0030495F" w:rsidRDefault="0030495F">
            <w:pPr>
              <w:pStyle w:val="tableheadingline2"/>
              <w:rPr>
                <w:sz w:val="20"/>
                <w:szCs w:val="20"/>
              </w:rPr>
            </w:pPr>
            <w:r>
              <w:rPr>
                <w:sz w:val="20"/>
                <w:szCs w:val="20"/>
              </w:rPr>
              <w:t>12 hr forecast</w:t>
            </w:r>
          </w:p>
        </w:tc>
      </w:tr>
      <w:tr w:rsidR="0030495F" w:rsidTr="0030495F">
        <w:trPr>
          <w:cnfStyle w:val="000000100000" w:firstRow="0" w:lastRow="0" w:firstColumn="0" w:lastColumn="0" w:oddVBand="0" w:evenVBand="0" w:oddHBand="1" w:evenHBand="0" w:firstRowFirstColumn="0" w:firstRowLastColumn="0" w:lastRowFirstColumn="0" w:lastRowLastColumn="0"/>
          <w:trHeight w:val="510"/>
        </w:trPr>
        <w:tc>
          <w:tcPr>
            <w:tcW w:w="531" w:type="pct"/>
            <w:tcBorders>
              <w:top w:val="nil"/>
              <w:left w:val="nil"/>
              <w:bottom w:val="nil"/>
              <w:right w:val="nil"/>
            </w:tcBorders>
            <w:vAlign w:val="center"/>
            <w:hideMark/>
          </w:tcPr>
          <w:p w:rsidR="0030495F" w:rsidRDefault="00BD501B">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5.30 </w:t>
            </w:r>
            <w:r w:rsidR="0030495F">
              <w:rPr>
                <w:rFonts w:asciiTheme="minorHAnsi" w:hAnsiTheme="minorHAnsi" w:cstheme="minorHAnsi"/>
                <w:bCs/>
                <w:sz w:val="18"/>
                <w:szCs w:val="18"/>
                <w:lang w:eastAsia="en-US"/>
              </w:rPr>
              <w:t>pm</w:t>
            </w:r>
          </w:p>
        </w:tc>
        <w:tc>
          <w:tcPr>
            <w:tcW w:w="4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321.22</w:t>
            </w:r>
          </w:p>
        </w:tc>
        <w:tc>
          <w:tcPr>
            <w:tcW w:w="5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338.37</w:t>
            </w:r>
          </w:p>
        </w:tc>
        <w:tc>
          <w:tcPr>
            <w:tcW w:w="60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33.62</w:t>
            </w:r>
          </w:p>
        </w:tc>
        <w:tc>
          <w:tcPr>
            <w:tcW w:w="37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1442</w:t>
            </w:r>
          </w:p>
        </w:tc>
        <w:tc>
          <w:tcPr>
            <w:tcW w:w="456"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1433</w:t>
            </w:r>
          </w:p>
        </w:tc>
        <w:tc>
          <w:tcPr>
            <w:tcW w:w="533"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1344</w:t>
            </w:r>
          </w:p>
        </w:tc>
        <w:tc>
          <w:tcPr>
            <w:tcW w:w="532"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2217</w:t>
            </w:r>
          </w:p>
        </w:tc>
        <w:tc>
          <w:tcPr>
            <w:tcW w:w="457"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2385</w:t>
            </w:r>
          </w:p>
        </w:tc>
        <w:tc>
          <w:tcPr>
            <w:tcW w:w="455"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2387</w:t>
            </w:r>
          </w:p>
        </w:tc>
      </w:tr>
      <w:tr w:rsidR="0030495F" w:rsidTr="0030495F">
        <w:trPr>
          <w:cnfStyle w:val="000000010000" w:firstRow="0" w:lastRow="0" w:firstColumn="0" w:lastColumn="0" w:oddVBand="0" w:evenVBand="0" w:oddHBand="0" w:evenHBand="1" w:firstRowFirstColumn="0" w:firstRowLastColumn="0" w:lastRowFirstColumn="0" w:lastRowLastColumn="0"/>
          <w:trHeight w:val="510"/>
        </w:trPr>
        <w:tc>
          <w:tcPr>
            <w:tcW w:w="531" w:type="pct"/>
            <w:tcBorders>
              <w:top w:val="nil"/>
              <w:left w:val="nil"/>
              <w:bottom w:val="nil"/>
              <w:right w:val="nil"/>
            </w:tcBorders>
            <w:vAlign w:val="center"/>
            <w:hideMark/>
          </w:tcPr>
          <w:p w:rsidR="0030495F" w:rsidRDefault="00BD501B">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6 </w:t>
            </w:r>
            <w:r w:rsidR="0030495F">
              <w:rPr>
                <w:rFonts w:asciiTheme="minorHAnsi" w:hAnsiTheme="minorHAnsi" w:cstheme="minorHAnsi"/>
                <w:bCs/>
                <w:sz w:val="18"/>
                <w:szCs w:val="18"/>
                <w:lang w:eastAsia="en-US"/>
              </w:rPr>
              <w:t>pm</w:t>
            </w:r>
          </w:p>
        </w:tc>
        <w:tc>
          <w:tcPr>
            <w:tcW w:w="4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294.51</w:t>
            </w:r>
          </w:p>
        </w:tc>
        <w:tc>
          <w:tcPr>
            <w:tcW w:w="5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312.01</w:t>
            </w:r>
          </w:p>
        </w:tc>
        <w:tc>
          <w:tcPr>
            <w:tcW w:w="60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35.38</w:t>
            </w:r>
          </w:p>
        </w:tc>
        <w:tc>
          <w:tcPr>
            <w:tcW w:w="37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1485</w:t>
            </w:r>
          </w:p>
        </w:tc>
        <w:tc>
          <w:tcPr>
            <w:tcW w:w="456"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1463</w:t>
            </w:r>
          </w:p>
        </w:tc>
        <w:tc>
          <w:tcPr>
            <w:tcW w:w="533"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1400</w:t>
            </w:r>
          </w:p>
        </w:tc>
        <w:tc>
          <w:tcPr>
            <w:tcW w:w="532"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2239</w:t>
            </w:r>
          </w:p>
        </w:tc>
        <w:tc>
          <w:tcPr>
            <w:tcW w:w="457"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2385</w:t>
            </w:r>
          </w:p>
        </w:tc>
        <w:tc>
          <w:tcPr>
            <w:tcW w:w="455"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2387</w:t>
            </w:r>
          </w:p>
        </w:tc>
      </w:tr>
      <w:tr w:rsidR="0030495F" w:rsidTr="0030495F">
        <w:trPr>
          <w:cnfStyle w:val="000000100000" w:firstRow="0" w:lastRow="0" w:firstColumn="0" w:lastColumn="0" w:oddVBand="0" w:evenVBand="0" w:oddHBand="1" w:evenHBand="0" w:firstRowFirstColumn="0" w:firstRowLastColumn="0" w:lastRowFirstColumn="0" w:lastRowLastColumn="0"/>
          <w:trHeight w:val="510"/>
        </w:trPr>
        <w:tc>
          <w:tcPr>
            <w:tcW w:w="531" w:type="pct"/>
            <w:tcBorders>
              <w:top w:val="nil"/>
              <w:left w:val="nil"/>
              <w:bottom w:val="nil"/>
              <w:right w:val="nil"/>
            </w:tcBorders>
            <w:vAlign w:val="center"/>
            <w:hideMark/>
          </w:tcPr>
          <w:p w:rsidR="0030495F" w:rsidRDefault="00BD501B">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6.30 </w:t>
            </w:r>
            <w:r w:rsidR="0030495F">
              <w:rPr>
                <w:rFonts w:asciiTheme="minorHAnsi" w:hAnsiTheme="minorHAnsi" w:cstheme="minorHAnsi"/>
                <w:bCs/>
                <w:sz w:val="18"/>
                <w:szCs w:val="18"/>
                <w:lang w:eastAsia="en-US"/>
              </w:rPr>
              <w:t>pm</w:t>
            </w:r>
          </w:p>
        </w:tc>
        <w:tc>
          <w:tcPr>
            <w:tcW w:w="4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302.35</w:t>
            </w:r>
          </w:p>
        </w:tc>
        <w:tc>
          <w:tcPr>
            <w:tcW w:w="5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254.41</w:t>
            </w:r>
          </w:p>
        </w:tc>
        <w:tc>
          <w:tcPr>
            <w:tcW w:w="60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41.38</w:t>
            </w:r>
          </w:p>
        </w:tc>
        <w:tc>
          <w:tcPr>
            <w:tcW w:w="37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1492</w:t>
            </w:r>
          </w:p>
        </w:tc>
        <w:tc>
          <w:tcPr>
            <w:tcW w:w="456"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1455</w:t>
            </w:r>
          </w:p>
        </w:tc>
        <w:tc>
          <w:tcPr>
            <w:tcW w:w="533"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1397</w:t>
            </w:r>
          </w:p>
        </w:tc>
        <w:tc>
          <w:tcPr>
            <w:tcW w:w="532"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2237</w:t>
            </w:r>
          </w:p>
        </w:tc>
        <w:tc>
          <w:tcPr>
            <w:tcW w:w="457"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2267</w:t>
            </w:r>
          </w:p>
        </w:tc>
        <w:tc>
          <w:tcPr>
            <w:tcW w:w="455"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2387</w:t>
            </w:r>
          </w:p>
        </w:tc>
      </w:tr>
      <w:tr w:rsidR="0030495F" w:rsidTr="0030495F">
        <w:trPr>
          <w:cnfStyle w:val="000000010000" w:firstRow="0" w:lastRow="0" w:firstColumn="0" w:lastColumn="0" w:oddVBand="0" w:evenVBand="0" w:oddHBand="0" w:evenHBand="1" w:firstRowFirstColumn="0" w:firstRowLastColumn="0" w:lastRowFirstColumn="0" w:lastRowLastColumn="0"/>
          <w:trHeight w:val="510"/>
        </w:trPr>
        <w:tc>
          <w:tcPr>
            <w:tcW w:w="531" w:type="pct"/>
            <w:tcBorders>
              <w:top w:val="nil"/>
              <w:left w:val="nil"/>
              <w:bottom w:val="nil"/>
              <w:right w:val="nil"/>
            </w:tcBorders>
            <w:vAlign w:val="center"/>
            <w:hideMark/>
          </w:tcPr>
          <w:p w:rsidR="0030495F" w:rsidRDefault="00BD501B">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7 </w:t>
            </w:r>
            <w:r w:rsidR="0030495F">
              <w:rPr>
                <w:rFonts w:asciiTheme="minorHAnsi" w:hAnsiTheme="minorHAnsi" w:cstheme="minorHAnsi"/>
                <w:bCs/>
                <w:sz w:val="18"/>
                <w:szCs w:val="18"/>
                <w:lang w:eastAsia="en-US"/>
              </w:rPr>
              <w:t>pm</w:t>
            </w:r>
          </w:p>
        </w:tc>
        <w:tc>
          <w:tcPr>
            <w:tcW w:w="4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292.32</w:t>
            </w:r>
          </w:p>
        </w:tc>
        <w:tc>
          <w:tcPr>
            <w:tcW w:w="574"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273.30</w:t>
            </w:r>
          </w:p>
        </w:tc>
        <w:tc>
          <w:tcPr>
            <w:tcW w:w="60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42.59</w:t>
            </w:r>
          </w:p>
        </w:tc>
        <w:tc>
          <w:tcPr>
            <w:tcW w:w="379"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1479</w:t>
            </w:r>
          </w:p>
        </w:tc>
        <w:tc>
          <w:tcPr>
            <w:tcW w:w="456"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1436</w:t>
            </w:r>
          </w:p>
        </w:tc>
        <w:tc>
          <w:tcPr>
            <w:tcW w:w="533"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1385</w:t>
            </w:r>
          </w:p>
        </w:tc>
        <w:tc>
          <w:tcPr>
            <w:tcW w:w="532"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2228</w:t>
            </w:r>
          </w:p>
        </w:tc>
        <w:tc>
          <w:tcPr>
            <w:tcW w:w="457"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2377</w:t>
            </w:r>
          </w:p>
        </w:tc>
        <w:tc>
          <w:tcPr>
            <w:tcW w:w="455" w:type="pct"/>
            <w:tcBorders>
              <w:top w:val="nil"/>
              <w:left w:val="nil"/>
              <w:bottom w:val="nil"/>
              <w:right w:val="nil"/>
            </w:tcBorders>
            <w:vAlign w:val="center"/>
            <w:hideMark/>
          </w:tcPr>
          <w:p w:rsidR="0030495F" w:rsidRDefault="0030495F">
            <w:pPr>
              <w:pStyle w:val="NormalWeb"/>
              <w:jc w:val="center"/>
              <w:rPr>
                <w:rFonts w:asciiTheme="minorHAnsi" w:hAnsiTheme="minorHAnsi" w:cstheme="minorHAnsi"/>
                <w:bCs/>
                <w:sz w:val="18"/>
                <w:szCs w:val="18"/>
                <w:lang w:eastAsia="en-US"/>
              </w:rPr>
            </w:pPr>
            <w:r>
              <w:rPr>
                <w:rFonts w:asciiTheme="minorHAnsi" w:hAnsiTheme="minorHAnsi" w:cstheme="minorHAnsi"/>
                <w:bCs/>
                <w:sz w:val="18"/>
                <w:szCs w:val="18"/>
                <w:lang w:eastAsia="en-US"/>
              </w:rPr>
              <w:t>2382</w:t>
            </w:r>
          </w:p>
        </w:tc>
      </w:tr>
    </w:tbl>
    <w:p w:rsidR="00ED5530" w:rsidRDefault="0030495F" w:rsidP="00BD501B">
      <w:pPr>
        <w:jc w:val="both"/>
        <w:rPr>
          <w:lang w:eastAsia="en-AU"/>
        </w:rPr>
      </w:pPr>
      <w:r>
        <w:rPr>
          <w:lang w:eastAsia="en-AU"/>
        </w:rPr>
        <w:t>Prices were close to forecast four hours ahead.</w:t>
      </w:r>
    </w:p>
    <w:p w:rsidR="0030495F" w:rsidRPr="009615AC" w:rsidRDefault="009615AC" w:rsidP="009615A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07CA9">
        <w:rPr>
          <w:rFonts w:asciiTheme="minorHAnsi" w:hAnsiTheme="minorHAnsi" w:cstheme="minorHAnsi"/>
          <w:noProof/>
        </w:rPr>
        <w:t>11</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30495F"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Availability (MW)</w:t>
            </w:r>
          </w:p>
        </w:tc>
      </w:tr>
      <w:tr w:rsidR="0030495F"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r>
      <w:tr w:rsidR="0030495F"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495F" w:rsidRPr="0030495F" w:rsidRDefault="00BD501B" w:rsidP="005F37A9">
            <w:pPr>
              <w:pStyle w:val="NormalWeb"/>
              <w:jc w:val="center"/>
              <w:rPr>
                <w:rFonts w:asciiTheme="minorHAnsi" w:hAnsiTheme="minorHAnsi" w:cstheme="minorHAnsi"/>
                <w:bCs/>
                <w:sz w:val="18"/>
                <w:szCs w:val="18"/>
              </w:rPr>
            </w:pPr>
            <w:r>
              <w:rPr>
                <w:rFonts w:asciiTheme="minorHAnsi" w:hAnsiTheme="minorHAnsi" w:cstheme="minorHAnsi"/>
                <w:bCs/>
                <w:sz w:val="18"/>
                <w:szCs w:val="18"/>
              </w:rPr>
              <w:t>8.30 </w:t>
            </w:r>
            <w:r w:rsidR="0030495F">
              <w:rPr>
                <w:rFonts w:asciiTheme="minorHAnsi" w:hAnsiTheme="minorHAnsi" w:cstheme="minorHAnsi"/>
                <w:bCs/>
                <w:sz w:val="18"/>
                <w:szCs w:val="18"/>
              </w:rPr>
              <w:t>pm</w:t>
            </w:r>
          </w:p>
        </w:tc>
        <w:tc>
          <w:tcPr>
            <w:tcW w:w="474"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297.15</w:t>
            </w:r>
          </w:p>
        </w:tc>
        <w:tc>
          <w:tcPr>
            <w:tcW w:w="574"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141.09</w:t>
            </w:r>
          </w:p>
        </w:tc>
        <w:tc>
          <w:tcPr>
            <w:tcW w:w="609"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24.37</w:t>
            </w:r>
          </w:p>
        </w:tc>
        <w:tc>
          <w:tcPr>
            <w:tcW w:w="379"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1435</w:t>
            </w:r>
          </w:p>
        </w:tc>
        <w:tc>
          <w:tcPr>
            <w:tcW w:w="456"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1395</w:t>
            </w:r>
          </w:p>
        </w:tc>
        <w:tc>
          <w:tcPr>
            <w:tcW w:w="533"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1333</w:t>
            </w:r>
          </w:p>
        </w:tc>
        <w:tc>
          <w:tcPr>
            <w:tcW w:w="532"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2234</w:t>
            </w:r>
          </w:p>
        </w:tc>
        <w:tc>
          <w:tcPr>
            <w:tcW w:w="457"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2377</w:t>
            </w:r>
          </w:p>
        </w:tc>
        <w:tc>
          <w:tcPr>
            <w:tcW w:w="455" w:type="pct"/>
            <w:vAlign w:val="center"/>
          </w:tcPr>
          <w:p w:rsidR="0030495F" w:rsidRPr="0030495F" w:rsidRDefault="0030495F" w:rsidP="005F37A9">
            <w:pPr>
              <w:pStyle w:val="NormalWeb"/>
              <w:jc w:val="center"/>
              <w:rPr>
                <w:rFonts w:asciiTheme="minorHAnsi" w:hAnsiTheme="minorHAnsi" w:cstheme="minorHAnsi"/>
                <w:bCs/>
                <w:sz w:val="18"/>
                <w:szCs w:val="18"/>
              </w:rPr>
            </w:pPr>
            <w:r w:rsidRPr="0030495F">
              <w:rPr>
                <w:rFonts w:asciiTheme="minorHAnsi" w:hAnsiTheme="minorHAnsi" w:cstheme="minorHAnsi"/>
                <w:bCs/>
                <w:sz w:val="18"/>
                <w:szCs w:val="18"/>
              </w:rPr>
              <w:t>2377</w:t>
            </w:r>
          </w:p>
        </w:tc>
      </w:tr>
    </w:tbl>
    <w:p w:rsidR="00ED5530" w:rsidRPr="00ED5530" w:rsidRDefault="001A5B9F" w:rsidP="00BD501B">
      <w:pPr>
        <w:jc w:val="both"/>
      </w:pPr>
      <w:r>
        <w:t>Demand was higher than forecast four hours ahead, while availability was lower than forecast.</w:t>
      </w:r>
    </w:p>
    <w:p w:rsidR="001A5B9F" w:rsidRDefault="001A5B9F" w:rsidP="00BD501B">
      <w:pPr>
        <w:jc w:val="both"/>
      </w:pPr>
      <w:r>
        <w:t>Supply conditions were tight, with no capacity priced between $2/MWh and $249/MWh, meaning small changes in demand, rebidding, wind generation or interconnector limits could lead to high prices.</w:t>
      </w:r>
    </w:p>
    <w:p w:rsidR="00ED5530" w:rsidRPr="004E0F0F" w:rsidRDefault="001A5B9F" w:rsidP="00BD501B">
      <w:pPr>
        <w:jc w:val="both"/>
      </w:pPr>
      <w:r>
        <w:t xml:space="preserve">Wind generation for the 8.30 pm trading interval </w:t>
      </w:r>
      <w:r w:rsidR="00773841">
        <w:t>was 28</w:t>
      </w:r>
      <w:r>
        <w:t> MW lower than forecast four hours ahead.</w:t>
      </w:r>
      <w:r w:rsidR="00214EAF">
        <w:t xml:space="preserve"> This combined with the higher than forecast demand resulted in</w:t>
      </w:r>
      <w:r>
        <w:t xml:space="preserve"> dispatch price</w:t>
      </w:r>
      <w:r w:rsidR="00214EAF">
        <w:t>s</w:t>
      </w:r>
      <w:r>
        <w:t xml:space="preserve"> between $254/MWh and $325</w:t>
      </w:r>
      <w:r w:rsidR="002C2428">
        <w:t>/MWh for the entire</w:t>
      </w:r>
      <w:r>
        <w:t xml:space="preserve"> trading interval.</w:t>
      </w: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807CA9">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r w:rsidR="00807CA9">
        <w:fldChar w:fldCharType="begin"/>
      </w:r>
      <w:r w:rsidR="00807CA9">
        <w:instrText xml:space="preserve"> SEQ Figure \* ARABIC </w:instrText>
      </w:r>
      <w:r w:rsidR="00807CA9">
        <w:fldChar w:fldCharType="separate"/>
      </w:r>
      <w:r w:rsidR="00807CA9">
        <w:rPr>
          <w:noProof/>
        </w:rPr>
        <w:t>9</w:t>
      </w:r>
      <w:r w:rsidR="00807CA9">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p>
    <w:p w:rsidR="00CA0ECB" w:rsidRPr="00037EB9" w:rsidRDefault="0030495F" w:rsidP="00783D4E">
      <w:pPr>
        <w:spacing w:before="0" w:after="120" w:line="240" w:lineRule="auto"/>
        <w:rPr>
          <w:sz w:val="16"/>
          <w:szCs w:val="16"/>
        </w:rPr>
      </w:pPr>
      <w:r w:rsidRPr="0030495F">
        <w:rPr>
          <w:noProof/>
          <w:lang w:eastAsia="en-AU"/>
        </w:rPr>
        <w:drawing>
          <wp:inline distT="0" distB="0" distL="0" distR="0" wp14:anchorId="27A9C488" wp14:editId="36E56CD9">
            <wp:extent cx="5731510" cy="2887842"/>
            <wp:effectExtent l="0" t="0" r="2540" b="8255"/>
            <wp:docPr id="13" name="Picture 13"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807CA9" w:rsidRPr="00491631">
        <w:t xml:space="preserve">Figure </w:t>
      </w:r>
      <w:r w:rsidR="00807CA9">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p>
    <w:p w:rsidR="00275002" w:rsidRDefault="00275002" w:rsidP="00783D4E">
      <w:pPr>
        <w:pStyle w:val="Caption"/>
        <w:spacing w:before="0" w:line="240" w:lineRule="auto"/>
      </w:pPr>
      <w:bookmarkStart w:id="22" w:name="_Ref410380382"/>
      <w:r w:rsidRPr="00491631">
        <w:t xml:space="preserve">Figure </w:t>
      </w:r>
      <w:r w:rsidR="00807CA9">
        <w:fldChar w:fldCharType="begin"/>
      </w:r>
      <w:r w:rsidR="00807CA9">
        <w:instrText xml:space="preserve"> SEQ Figure \* ARABIC </w:instrText>
      </w:r>
      <w:r w:rsidR="00807CA9">
        <w:fldChar w:fldCharType="separate"/>
      </w:r>
      <w:r w:rsidR="00807CA9">
        <w:rPr>
          <w:noProof/>
        </w:rPr>
        <w:t>10</w:t>
      </w:r>
      <w:r w:rsidR="00807CA9">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556553" w:rsidP="00C466B4">
      <w:pPr>
        <w:pStyle w:val="Source"/>
        <w:spacing w:before="0" w:after="120" w:line="240" w:lineRule="auto"/>
        <w:jc w:val="both"/>
      </w:pPr>
      <w:r w:rsidRPr="00556553">
        <w:rPr>
          <w:noProof/>
          <w:lang w:eastAsia="en-AU"/>
        </w:rPr>
        <w:drawing>
          <wp:inline distT="0" distB="0" distL="0" distR="0" wp14:anchorId="78ED5C2E" wp14:editId="44F63F61">
            <wp:extent cx="5731510" cy="2901820"/>
            <wp:effectExtent l="0" t="0" r="2540" b="0"/>
            <wp:docPr id="17" name="Picture 1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807CA9">
        <w:t xml:space="preserve">Figure </w:t>
      </w:r>
      <w:r w:rsidR="00807CA9">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807CA9">
        <w:fldChar w:fldCharType="begin"/>
      </w:r>
      <w:r w:rsidR="00807CA9">
        <w:instrText xml:space="preserve"> SEQ Figure \* ARABIC </w:instrText>
      </w:r>
      <w:r w:rsidR="00807CA9">
        <w:fldChar w:fldCharType="separate"/>
      </w:r>
      <w:r w:rsidR="00807CA9">
        <w:rPr>
          <w:noProof/>
        </w:rPr>
        <w:t>11</w:t>
      </w:r>
      <w:r w:rsidR="00807CA9">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556553" w:rsidP="00037EB9">
      <w:pPr>
        <w:pStyle w:val="Source"/>
        <w:spacing w:before="0" w:after="0" w:line="240" w:lineRule="auto"/>
      </w:pPr>
      <w:r w:rsidRPr="00556553">
        <w:rPr>
          <w:noProof/>
          <w:lang w:eastAsia="en-AU"/>
        </w:rPr>
        <w:drawing>
          <wp:inline distT="0" distB="0" distL="0" distR="0" wp14:anchorId="55BBB977" wp14:editId="1DC6EBA4">
            <wp:extent cx="5731510" cy="2872627"/>
            <wp:effectExtent l="0" t="0" r="2540" b="4445"/>
            <wp:docPr id="19" name="Picture 19"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556553">
        <w:t>August</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9EB" w:rsidRDefault="000529EB" w:rsidP="004B4412">
      <w:pPr>
        <w:spacing w:before="0"/>
      </w:pPr>
      <w:r>
        <w:separator/>
      </w:r>
    </w:p>
  </w:endnote>
  <w:endnote w:type="continuationSeparator" w:id="0">
    <w:p w:rsidR="000529EB" w:rsidRDefault="000529E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B" w:rsidRPr="00A91A9E" w:rsidRDefault="000529E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529EB" w:rsidRDefault="000529EB"/>
  <w:p w:rsidR="000529EB" w:rsidRDefault="000529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B" w:rsidRPr="00A94D89" w:rsidRDefault="000529E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07CA9">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EB" w:rsidRPr="00A94D89" w:rsidRDefault="000529E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07CA9">
      <w:rPr>
        <w:rFonts w:cs="Arial"/>
        <w:i/>
        <w:noProof/>
      </w:rPr>
      <w:t>1</w:t>
    </w:r>
    <w:r w:rsidRPr="001F1B78">
      <w:rPr>
        <w:rFonts w:cs="Arial"/>
        <w:i/>
        <w:noProof/>
      </w:rPr>
      <w:fldChar w:fldCharType="end"/>
    </w:r>
    <w:r w:rsidRPr="00F52F00">
      <w:rPr>
        <w:rFonts w:cs="Arial"/>
        <w:i/>
      </w:rPr>
      <w:tab/>
      <w:t xml:space="preserve">AER reference: 39220 – </w:t>
    </w:r>
    <w:r>
      <w:rPr>
        <w:rFonts w:cs="Arial"/>
        <w:i/>
      </w:rPr>
      <w:t>D16/107966</w:t>
    </w:r>
  </w:p>
  <w:p w:rsidR="000529EB" w:rsidRDefault="00052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9EB" w:rsidRDefault="000529EB" w:rsidP="004B4412">
      <w:pPr>
        <w:spacing w:before="0"/>
      </w:pPr>
      <w:r>
        <w:separator/>
      </w:r>
    </w:p>
  </w:footnote>
  <w:footnote w:type="continuationSeparator" w:id="0">
    <w:p w:rsidR="000529EB" w:rsidRDefault="000529E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Electricity Report 17-23 July 2016.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29EB"/>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5663"/>
    <w:rsid w:val="00085EBF"/>
    <w:rsid w:val="00086CF3"/>
    <w:rsid w:val="00087C4A"/>
    <w:rsid w:val="00087CDC"/>
    <w:rsid w:val="00091FB4"/>
    <w:rsid w:val="0009584C"/>
    <w:rsid w:val="000961FA"/>
    <w:rsid w:val="00096387"/>
    <w:rsid w:val="0009653D"/>
    <w:rsid w:val="00097A25"/>
    <w:rsid w:val="000A241B"/>
    <w:rsid w:val="000A29ED"/>
    <w:rsid w:val="000A4529"/>
    <w:rsid w:val="000A62D6"/>
    <w:rsid w:val="000A6F14"/>
    <w:rsid w:val="000B0311"/>
    <w:rsid w:val="000B34F5"/>
    <w:rsid w:val="000B364C"/>
    <w:rsid w:val="000B3C8A"/>
    <w:rsid w:val="000B7257"/>
    <w:rsid w:val="000C0472"/>
    <w:rsid w:val="000C1B93"/>
    <w:rsid w:val="000C679A"/>
    <w:rsid w:val="000D0A74"/>
    <w:rsid w:val="000D122C"/>
    <w:rsid w:val="000D19B5"/>
    <w:rsid w:val="000D1F96"/>
    <w:rsid w:val="000D355E"/>
    <w:rsid w:val="000D3C77"/>
    <w:rsid w:val="000D4350"/>
    <w:rsid w:val="000D5ADE"/>
    <w:rsid w:val="000D68C5"/>
    <w:rsid w:val="000E00DE"/>
    <w:rsid w:val="000E1819"/>
    <w:rsid w:val="000E1A1B"/>
    <w:rsid w:val="000E2330"/>
    <w:rsid w:val="000E26B0"/>
    <w:rsid w:val="000E2946"/>
    <w:rsid w:val="000E4F81"/>
    <w:rsid w:val="000E54D6"/>
    <w:rsid w:val="000E55C7"/>
    <w:rsid w:val="000E5B55"/>
    <w:rsid w:val="000E6C72"/>
    <w:rsid w:val="000E7180"/>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2831"/>
    <w:rsid w:val="00122E6B"/>
    <w:rsid w:val="001235DD"/>
    <w:rsid w:val="00124609"/>
    <w:rsid w:val="00125F4F"/>
    <w:rsid w:val="00126022"/>
    <w:rsid w:val="001270EB"/>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2C9F"/>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ED7"/>
    <w:rsid w:val="001977CC"/>
    <w:rsid w:val="00197DD5"/>
    <w:rsid w:val="001A2BC2"/>
    <w:rsid w:val="001A2C0A"/>
    <w:rsid w:val="001A3AEC"/>
    <w:rsid w:val="001A3CDA"/>
    <w:rsid w:val="001A4FE0"/>
    <w:rsid w:val="001A5B9F"/>
    <w:rsid w:val="001A6790"/>
    <w:rsid w:val="001B0C3B"/>
    <w:rsid w:val="001B2363"/>
    <w:rsid w:val="001B3811"/>
    <w:rsid w:val="001B3ABC"/>
    <w:rsid w:val="001B45A0"/>
    <w:rsid w:val="001B4A7D"/>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EAF"/>
    <w:rsid w:val="00214FBA"/>
    <w:rsid w:val="00215E19"/>
    <w:rsid w:val="002164FB"/>
    <w:rsid w:val="00216865"/>
    <w:rsid w:val="00217221"/>
    <w:rsid w:val="00217C29"/>
    <w:rsid w:val="002214D9"/>
    <w:rsid w:val="002216F5"/>
    <w:rsid w:val="00222F04"/>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61FA"/>
    <w:rsid w:val="003062C2"/>
    <w:rsid w:val="00306DD8"/>
    <w:rsid w:val="003072FB"/>
    <w:rsid w:val="00307F6D"/>
    <w:rsid w:val="003105F5"/>
    <w:rsid w:val="00312B84"/>
    <w:rsid w:val="0031318F"/>
    <w:rsid w:val="00314791"/>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1DDB"/>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61D84"/>
    <w:rsid w:val="003624C2"/>
    <w:rsid w:val="00362ABA"/>
    <w:rsid w:val="003642AD"/>
    <w:rsid w:val="00364EF1"/>
    <w:rsid w:val="00366515"/>
    <w:rsid w:val="003715C8"/>
    <w:rsid w:val="00371F3A"/>
    <w:rsid w:val="003749F7"/>
    <w:rsid w:val="00375E24"/>
    <w:rsid w:val="00376373"/>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7DC0"/>
    <w:rsid w:val="003B0D56"/>
    <w:rsid w:val="003B282E"/>
    <w:rsid w:val="003B40ED"/>
    <w:rsid w:val="003B4804"/>
    <w:rsid w:val="003B4D9B"/>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2DB2"/>
    <w:rsid w:val="00414488"/>
    <w:rsid w:val="00414EA6"/>
    <w:rsid w:val="00414F6E"/>
    <w:rsid w:val="00415788"/>
    <w:rsid w:val="004157C0"/>
    <w:rsid w:val="00416641"/>
    <w:rsid w:val="004176E8"/>
    <w:rsid w:val="00421154"/>
    <w:rsid w:val="0042429B"/>
    <w:rsid w:val="00424809"/>
    <w:rsid w:val="004253D6"/>
    <w:rsid w:val="00425E38"/>
    <w:rsid w:val="004303EE"/>
    <w:rsid w:val="00432B5B"/>
    <w:rsid w:val="00433242"/>
    <w:rsid w:val="00436F76"/>
    <w:rsid w:val="00440D85"/>
    <w:rsid w:val="00441A99"/>
    <w:rsid w:val="00442767"/>
    <w:rsid w:val="00444A48"/>
    <w:rsid w:val="0044748A"/>
    <w:rsid w:val="00450611"/>
    <w:rsid w:val="004507A1"/>
    <w:rsid w:val="0045129B"/>
    <w:rsid w:val="004518EA"/>
    <w:rsid w:val="00451DFF"/>
    <w:rsid w:val="00453327"/>
    <w:rsid w:val="00453A41"/>
    <w:rsid w:val="00456C20"/>
    <w:rsid w:val="00462CFF"/>
    <w:rsid w:val="00465210"/>
    <w:rsid w:val="0046790A"/>
    <w:rsid w:val="00470AF4"/>
    <w:rsid w:val="00470EE9"/>
    <w:rsid w:val="0047130B"/>
    <w:rsid w:val="00471992"/>
    <w:rsid w:val="00471E68"/>
    <w:rsid w:val="0047237E"/>
    <w:rsid w:val="0047251B"/>
    <w:rsid w:val="0047346C"/>
    <w:rsid w:val="00477821"/>
    <w:rsid w:val="0048018F"/>
    <w:rsid w:val="00480B4B"/>
    <w:rsid w:val="00480DA9"/>
    <w:rsid w:val="004831F8"/>
    <w:rsid w:val="004835FB"/>
    <w:rsid w:val="00484D9C"/>
    <w:rsid w:val="00485752"/>
    <w:rsid w:val="00485DC4"/>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396D"/>
    <w:rsid w:val="004C4E90"/>
    <w:rsid w:val="004C63B9"/>
    <w:rsid w:val="004C6486"/>
    <w:rsid w:val="004C6C5B"/>
    <w:rsid w:val="004C7D3A"/>
    <w:rsid w:val="004D1774"/>
    <w:rsid w:val="004D1D1A"/>
    <w:rsid w:val="004D4A76"/>
    <w:rsid w:val="004D5447"/>
    <w:rsid w:val="004D55BA"/>
    <w:rsid w:val="004E0F0F"/>
    <w:rsid w:val="004E1B1C"/>
    <w:rsid w:val="004E1E95"/>
    <w:rsid w:val="004E34E7"/>
    <w:rsid w:val="004E4142"/>
    <w:rsid w:val="004E567F"/>
    <w:rsid w:val="004E6AFC"/>
    <w:rsid w:val="004E70CA"/>
    <w:rsid w:val="004E755C"/>
    <w:rsid w:val="004E7D10"/>
    <w:rsid w:val="004F171D"/>
    <w:rsid w:val="004F18F3"/>
    <w:rsid w:val="004F6D0A"/>
    <w:rsid w:val="004F6ED0"/>
    <w:rsid w:val="00501B85"/>
    <w:rsid w:val="0050244E"/>
    <w:rsid w:val="00502843"/>
    <w:rsid w:val="00502D42"/>
    <w:rsid w:val="00502F3B"/>
    <w:rsid w:val="005033F6"/>
    <w:rsid w:val="005047F1"/>
    <w:rsid w:val="00505B5E"/>
    <w:rsid w:val="00510A43"/>
    <w:rsid w:val="005177C0"/>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20C0"/>
    <w:rsid w:val="005A3B2C"/>
    <w:rsid w:val="005A3F7E"/>
    <w:rsid w:val="005A404D"/>
    <w:rsid w:val="005A42D5"/>
    <w:rsid w:val="005A5657"/>
    <w:rsid w:val="005A6CB0"/>
    <w:rsid w:val="005A6F22"/>
    <w:rsid w:val="005A731B"/>
    <w:rsid w:val="005B0461"/>
    <w:rsid w:val="005B0838"/>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6DAF"/>
    <w:rsid w:val="005E6FFA"/>
    <w:rsid w:val="005E7718"/>
    <w:rsid w:val="005F0661"/>
    <w:rsid w:val="005F0CD5"/>
    <w:rsid w:val="005F37A9"/>
    <w:rsid w:val="005F69C4"/>
    <w:rsid w:val="005F6ADE"/>
    <w:rsid w:val="005F702C"/>
    <w:rsid w:val="005F7247"/>
    <w:rsid w:val="00600B2D"/>
    <w:rsid w:val="00601705"/>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E89"/>
    <w:rsid w:val="00632D6D"/>
    <w:rsid w:val="00634D01"/>
    <w:rsid w:val="0063567F"/>
    <w:rsid w:val="00636936"/>
    <w:rsid w:val="00641006"/>
    <w:rsid w:val="006411E6"/>
    <w:rsid w:val="00642C3E"/>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1479"/>
    <w:rsid w:val="006836D7"/>
    <w:rsid w:val="00684647"/>
    <w:rsid w:val="00686411"/>
    <w:rsid w:val="00687AA8"/>
    <w:rsid w:val="00694FD6"/>
    <w:rsid w:val="0069547C"/>
    <w:rsid w:val="006956EC"/>
    <w:rsid w:val="00696FCB"/>
    <w:rsid w:val="006A0411"/>
    <w:rsid w:val="006A20CE"/>
    <w:rsid w:val="006A21CD"/>
    <w:rsid w:val="006A35B0"/>
    <w:rsid w:val="006A6EDD"/>
    <w:rsid w:val="006A7C64"/>
    <w:rsid w:val="006B0C7B"/>
    <w:rsid w:val="006B3202"/>
    <w:rsid w:val="006B32F3"/>
    <w:rsid w:val="006B4CF9"/>
    <w:rsid w:val="006B6CC3"/>
    <w:rsid w:val="006B77F5"/>
    <w:rsid w:val="006B7AC8"/>
    <w:rsid w:val="006C1813"/>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8A3"/>
    <w:rsid w:val="00762D41"/>
    <w:rsid w:val="00763E5D"/>
    <w:rsid w:val="00764468"/>
    <w:rsid w:val="00764C7F"/>
    <w:rsid w:val="00765543"/>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58C2"/>
    <w:rsid w:val="007B742A"/>
    <w:rsid w:val="007B78AB"/>
    <w:rsid w:val="007C1C53"/>
    <w:rsid w:val="007C2EE8"/>
    <w:rsid w:val="007C530F"/>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74E0"/>
    <w:rsid w:val="007E7D47"/>
    <w:rsid w:val="007F066B"/>
    <w:rsid w:val="007F0F77"/>
    <w:rsid w:val="007F2BBD"/>
    <w:rsid w:val="007F2D03"/>
    <w:rsid w:val="007F3B2C"/>
    <w:rsid w:val="007F3D64"/>
    <w:rsid w:val="007F475F"/>
    <w:rsid w:val="007F4AB4"/>
    <w:rsid w:val="007F5457"/>
    <w:rsid w:val="008004A2"/>
    <w:rsid w:val="008011F4"/>
    <w:rsid w:val="008033C4"/>
    <w:rsid w:val="00806288"/>
    <w:rsid w:val="00806C88"/>
    <w:rsid w:val="00807112"/>
    <w:rsid w:val="00807A5C"/>
    <w:rsid w:val="00807CA9"/>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FCC"/>
    <w:rsid w:val="00843C59"/>
    <w:rsid w:val="008445D3"/>
    <w:rsid w:val="00845396"/>
    <w:rsid w:val="00847ED9"/>
    <w:rsid w:val="00851209"/>
    <w:rsid w:val="0085188E"/>
    <w:rsid w:val="00851B46"/>
    <w:rsid w:val="00852B3D"/>
    <w:rsid w:val="008556A5"/>
    <w:rsid w:val="00855D1C"/>
    <w:rsid w:val="00856965"/>
    <w:rsid w:val="00857917"/>
    <w:rsid w:val="0086123D"/>
    <w:rsid w:val="00861AED"/>
    <w:rsid w:val="00862467"/>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44B5"/>
    <w:rsid w:val="008A4DB6"/>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A67"/>
    <w:rsid w:val="008C6384"/>
    <w:rsid w:val="008C6B16"/>
    <w:rsid w:val="008D21CB"/>
    <w:rsid w:val="008D2CEE"/>
    <w:rsid w:val="008D3129"/>
    <w:rsid w:val="008D44EC"/>
    <w:rsid w:val="008D4820"/>
    <w:rsid w:val="008D4C7D"/>
    <w:rsid w:val="008D4E23"/>
    <w:rsid w:val="008D668B"/>
    <w:rsid w:val="008D6AC3"/>
    <w:rsid w:val="008E1B1B"/>
    <w:rsid w:val="008E1E8E"/>
    <w:rsid w:val="008E2316"/>
    <w:rsid w:val="008E2C54"/>
    <w:rsid w:val="008E3AAC"/>
    <w:rsid w:val="008E535A"/>
    <w:rsid w:val="008E6CAE"/>
    <w:rsid w:val="008E7031"/>
    <w:rsid w:val="008F05DF"/>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5C90"/>
    <w:rsid w:val="009064FC"/>
    <w:rsid w:val="0091130F"/>
    <w:rsid w:val="00913C7D"/>
    <w:rsid w:val="00914975"/>
    <w:rsid w:val="00914A87"/>
    <w:rsid w:val="00915BFF"/>
    <w:rsid w:val="0091710E"/>
    <w:rsid w:val="00921066"/>
    <w:rsid w:val="00921957"/>
    <w:rsid w:val="00922ACF"/>
    <w:rsid w:val="009233EE"/>
    <w:rsid w:val="00924207"/>
    <w:rsid w:val="0092422F"/>
    <w:rsid w:val="00927426"/>
    <w:rsid w:val="0092748A"/>
    <w:rsid w:val="00927738"/>
    <w:rsid w:val="0093233D"/>
    <w:rsid w:val="00932606"/>
    <w:rsid w:val="009335AE"/>
    <w:rsid w:val="00933B55"/>
    <w:rsid w:val="00936740"/>
    <w:rsid w:val="009377D8"/>
    <w:rsid w:val="00940393"/>
    <w:rsid w:val="0094150C"/>
    <w:rsid w:val="00941C1B"/>
    <w:rsid w:val="00942863"/>
    <w:rsid w:val="00944863"/>
    <w:rsid w:val="009456DC"/>
    <w:rsid w:val="0094643C"/>
    <w:rsid w:val="00947919"/>
    <w:rsid w:val="00950B15"/>
    <w:rsid w:val="0095158D"/>
    <w:rsid w:val="00952CF7"/>
    <w:rsid w:val="00953534"/>
    <w:rsid w:val="00953576"/>
    <w:rsid w:val="009540FA"/>
    <w:rsid w:val="00956C19"/>
    <w:rsid w:val="00957591"/>
    <w:rsid w:val="0095772E"/>
    <w:rsid w:val="00960AC5"/>
    <w:rsid w:val="00960C83"/>
    <w:rsid w:val="009615AC"/>
    <w:rsid w:val="00963B7A"/>
    <w:rsid w:val="00963EC7"/>
    <w:rsid w:val="009661DE"/>
    <w:rsid w:val="009721AF"/>
    <w:rsid w:val="00972A40"/>
    <w:rsid w:val="00974CDB"/>
    <w:rsid w:val="009754A8"/>
    <w:rsid w:val="009777E3"/>
    <w:rsid w:val="00981578"/>
    <w:rsid w:val="00981E7F"/>
    <w:rsid w:val="00982FEB"/>
    <w:rsid w:val="009837D1"/>
    <w:rsid w:val="00983EEC"/>
    <w:rsid w:val="00984BDD"/>
    <w:rsid w:val="009856B7"/>
    <w:rsid w:val="00985A66"/>
    <w:rsid w:val="0098646A"/>
    <w:rsid w:val="00986EE3"/>
    <w:rsid w:val="0098773D"/>
    <w:rsid w:val="009907BC"/>
    <w:rsid w:val="009920D2"/>
    <w:rsid w:val="009928BC"/>
    <w:rsid w:val="009937B4"/>
    <w:rsid w:val="0099572C"/>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7A03"/>
    <w:rsid w:val="00A505D4"/>
    <w:rsid w:val="00A52A18"/>
    <w:rsid w:val="00A5631E"/>
    <w:rsid w:val="00A575E8"/>
    <w:rsid w:val="00A57D04"/>
    <w:rsid w:val="00A57D69"/>
    <w:rsid w:val="00A6084B"/>
    <w:rsid w:val="00A60A26"/>
    <w:rsid w:val="00A61598"/>
    <w:rsid w:val="00A61DCF"/>
    <w:rsid w:val="00A645F9"/>
    <w:rsid w:val="00A64EBB"/>
    <w:rsid w:val="00A65BDC"/>
    <w:rsid w:val="00A672B8"/>
    <w:rsid w:val="00A6730F"/>
    <w:rsid w:val="00A679F2"/>
    <w:rsid w:val="00A71AA6"/>
    <w:rsid w:val="00A7235B"/>
    <w:rsid w:val="00A7334D"/>
    <w:rsid w:val="00A75AAA"/>
    <w:rsid w:val="00A81710"/>
    <w:rsid w:val="00A81EF8"/>
    <w:rsid w:val="00A8219E"/>
    <w:rsid w:val="00A84E2D"/>
    <w:rsid w:val="00A84F46"/>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6478"/>
    <w:rsid w:val="00AB6927"/>
    <w:rsid w:val="00AC0FE9"/>
    <w:rsid w:val="00AC1B2C"/>
    <w:rsid w:val="00AC1CF3"/>
    <w:rsid w:val="00AC242C"/>
    <w:rsid w:val="00AC3264"/>
    <w:rsid w:val="00AC48DA"/>
    <w:rsid w:val="00AC5B96"/>
    <w:rsid w:val="00AD0424"/>
    <w:rsid w:val="00AD0BDE"/>
    <w:rsid w:val="00AD20F6"/>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2082"/>
    <w:rsid w:val="00B33C7F"/>
    <w:rsid w:val="00B35810"/>
    <w:rsid w:val="00B35937"/>
    <w:rsid w:val="00B3773B"/>
    <w:rsid w:val="00B4128D"/>
    <w:rsid w:val="00B41686"/>
    <w:rsid w:val="00B44E99"/>
    <w:rsid w:val="00B45262"/>
    <w:rsid w:val="00B453AB"/>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398"/>
    <w:rsid w:val="00BC675F"/>
    <w:rsid w:val="00BC6DF0"/>
    <w:rsid w:val="00BD0BD0"/>
    <w:rsid w:val="00BD10B4"/>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355D"/>
    <w:rsid w:val="00C34065"/>
    <w:rsid w:val="00C3587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44CD"/>
    <w:rsid w:val="00C672E0"/>
    <w:rsid w:val="00C70205"/>
    <w:rsid w:val="00C7295C"/>
    <w:rsid w:val="00C729B4"/>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516F"/>
    <w:rsid w:val="00D1614C"/>
    <w:rsid w:val="00D16710"/>
    <w:rsid w:val="00D1773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4037"/>
    <w:rsid w:val="00D4594F"/>
    <w:rsid w:val="00D4681D"/>
    <w:rsid w:val="00D4748B"/>
    <w:rsid w:val="00D510A2"/>
    <w:rsid w:val="00D5111E"/>
    <w:rsid w:val="00D5124C"/>
    <w:rsid w:val="00D53F55"/>
    <w:rsid w:val="00D61388"/>
    <w:rsid w:val="00D613F3"/>
    <w:rsid w:val="00D615F9"/>
    <w:rsid w:val="00D61A54"/>
    <w:rsid w:val="00D61C75"/>
    <w:rsid w:val="00D62BAD"/>
    <w:rsid w:val="00D64DEA"/>
    <w:rsid w:val="00D65E49"/>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50F5"/>
    <w:rsid w:val="00D95177"/>
    <w:rsid w:val="00D96914"/>
    <w:rsid w:val="00D96A64"/>
    <w:rsid w:val="00D97DE8"/>
    <w:rsid w:val="00DA0C4C"/>
    <w:rsid w:val="00DA1CA3"/>
    <w:rsid w:val="00DA289D"/>
    <w:rsid w:val="00DA331C"/>
    <w:rsid w:val="00DA4BC4"/>
    <w:rsid w:val="00DA4E07"/>
    <w:rsid w:val="00DA5BC2"/>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79F4"/>
    <w:rsid w:val="00DE27A1"/>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BC2"/>
    <w:rsid w:val="00DF3C7E"/>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214E9"/>
    <w:rsid w:val="00E227A4"/>
    <w:rsid w:val="00E2374E"/>
    <w:rsid w:val="00E23993"/>
    <w:rsid w:val="00E247D2"/>
    <w:rsid w:val="00E24D12"/>
    <w:rsid w:val="00E2504E"/>
    <w:rsid w:val="00E25B8C"/>
    <w:rsid w:val="00E25F40"/>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1678"/>
    <w:rsid w:val="00E91BED"/>
    <w:rsid w:val="00E926FC"/>
    <w:rsid w:val="00E95CA7"/>
    <w:rsid w:val="00E96EFF"/>
    <w:rsid w:val="00E973CA"/>
    <w:rsid w:val="00EA1DEE"/>
    <w:rsid w:val="00EA3D42"/>
    <w:rsid w:val="00EA4DD9"/>
    <w:rsid w:val="00EA6B1B"/>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5110"/>
    <w:rsid w:val="00EF62CA"/>
    <w:rsid w:val="00EF69CB"/>
    <w:rsid w:val="00F00587"/>
    <w:rsid w:val="00F019C5"/>
    <w:rsid w:val="00F02D9B"/>
    <w:rsid w:val="00F031FE"/>
    <w:rsid w:val="00F048BB"/>
    <w:rsid w:val="00F055AC"/>
    <w:rsid w:val="00F05EAD"/>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2856"/>
    <w:rsid w:val="00F247E7"/>
    <w:rsid w:val="00F248D0"/>
    <w:rsid w:val="00F27967"/>
    <w:rsid w:val="00F27EF9"/>
    <w:rsid w:val="00F3008B"/>
    <w:rsid w:val="00F32D35"/>
    <w:rsid w:val="00F336DF"/>
    <w:rsid w:val="00F35787"/>
    <w:rsid w:val="00F3590E"/>
    <w:rsid w:val="00F35CAA"/>
    <w:rsid w:val="00F36430"/>
    <w:rsid w:val="00F373A5"/>
    <w:rsid w:val="00F376D3"/>
    <w:rsid w:val="00F42DB4"/>
    <w:rsid w:val="00F45B2F"/>
    <w:rsid w:val="00F47559"/>
    <w:rsid w:val="00F50531"/>
    <w:rsid w:val="00F5112C"/>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8CD"/>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2016-08-09T07:15:00Z</dcterms:created>
  <dcterms:modified xsi:type="dcterms:W3CDTF">2016-08-09T07:16:00Z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8746752</vt:lpwstr>
  </property>
</Properties>
</file>