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2250" w:rsidRPr="005F189D" w:rsidRDefault="00D803AB" w:rsidP="00122250">
      <w:pPr>
        <w:spacing w:after="0" w:line="360" w:lineRule="auto"/>
        <w:jc w:val="center"/>
        <w:rPr>
          <w:rFonts w:ascii="Times New Roman" w:hAnsi="Times New Roman" w:cs="Times New Roman"/>
          <w:b/>
          <w:sz w:val="24"/>
          <w:szCs w:val="24"/>
        </w:rPr>
      </w:pPr>
      <w:bookmarkStart w:id="0" w:name="_GoBack"/>
      <w:bookmarkEnd w:id="0"/>
      <w:r>
        <w:rPr>
          <w:rFonts w:ascii="Times New Roman" w:hAnsi="Times New Roman" w:cs="Times New Roman"/>
          <w:b/>
          <w:sz w:val="24"/>
          <w:szCs w:val="24"/>
        </w:rPr>
        <w:t xml:space="preserve">ISSUES IN THE ESTIMATION OF </w:t>
      </w:r>
      <w:r w:rsidR="00A917BA">
        <w:rPr>
          <w:rFonts w:ascii="Times New Roman" w:hAnsi="Times New Roman" w:cs="Times New Roman"/>
          <w:b/>
          <w:sz w:val="24"/>
          <w:szCs w:val="24"/>
        </w:rPr>
        <w:t>GAMMA</w:t>
      </w:r>
    </w:p>
    <w:p w:rsidR="00122250" w:rsidRDefault="00122250" w:rsidP="00122250">
      <w:pPr>
        <w:spacing w:after="0" w:line="360" w:lineRule="auto"/>
        <w:jc w:val="center"/>
        <w:rPr>
          <w:rFonts w:ascii="Times New Roman" w:hAnsi="Times New Roman" w:cs="Times New Roman"/>
          <w:sz w:val="24"/>
          <w:szCs w:val="24"/>
        </w:rPr>
      </w:pPr>
    </w:p>
    <w:p w:rsidR="00122250" w:rsidRDefault="00122250" w:rsidP="00122250">
      <w:pPr>
        <w:spacing w:after="0" w:line="360" w:lineRule="auto"/>
        <w:jc w:val="center"/>
        <w:rPr>
          <w:rFonts w:ascii="Times New Roman" w:hAnsi="Times New Roman" w:cs="Times New Roman"/>
          <w:sz w:val="24"/>
          <w:szCs w:val="24"/>
        </w:rPr>
      </w:pPr>
    </w:p>
    <w:p w:rsidR="00122250" w:rsidRDefault="00C84420" w:rsidP="00122250">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Dr </w:t>
      </w:r>
      <w:r w:rsidR="00122250">
        <w:rPr>
          <w:rFonts w:ascii="Times New Roman" w:hAnsi="Times New Roman" w:cs="Times New Roman"/>
          <w:sz w:val="24"/>
          <w:szCs w:val="24"/>
        </w:rPr>
        <w:t>Martin Lally</w:t>
      </w:r>
    </w:p>
    <w:p w:rsidR="00122250" w:rsidRDefault="00C84420" w:rsidP="00122250">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Capital Financial Consultants Ltd</w:t>
      </w:r>
    </w:p>
    <w:p w:rsidR="00122250" w:rsidRDefault="00122250" w:rsidP="00C84420">
      <w:pPr>
        <w:spacing w:after="0" w:line="360" w:lineRule="auto"/>
        <w:rPr>
          <w:rFonts w:ascii="Times New Roman" w:hAnsi="Times New Roman" w:cs="Times New Roman"/>
          <w:sz w:val="24"/>
          <w:szCs w:val="24"/>
        </w:rPr>
      </w:pPr>
    </w:p>
    <w:p w:rsidR="00122250" w:rsidRDefault="008261B7" w:rsidP="00122250">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9 April </w:t>
      </w:r>
      <w:r w:rsidR="00A917BA">
        <w:rPr>
          <w:rFonts w:ascii="Times New Roman" w:hAnsi="Times New Roman" w:cs="Times New Roman"/>
          <w:sz w:val="24"/>
          <w:szCs w:val="24"/>
        </w:rPr>
        <w:t>2017</w:t>
      </w:r>
    </w:p>
    <w:p w:rsidR="00122250" w:rsidRDefault="00122250" w:rsidP="00122250">
      <w:pPr>
        <w:spacing w:after="0" w:line="360" w:lineRule="auto"/>
        <w:jc w:val="both"/>
        <w:rPr>
          <w:rFonts w:ascii="Times New Roman" w:hAnsi="Times New Roman" w:cs="Times New Roman"/>
          <w:sz w:val="24"/>
          <w:szCs w:val="24"/>
        </w:rPr>
      </w:pPr>
    </w:p>
    <w:p w:rsidR="00122250" w:rsidRDefault="00122250" w:rsidP="00122250">
      <w:pPr>
        <w:spacing w:after="0" w:line="360" w:lineRule="auto"/>
        <w:jc w:val="both"/>
        <w:rPr>
          <w:rFonts w:ascii="Times New Roman" w:hAnsi="Times New Roman" w:cs="Times New Roman"/>
          <w:sz w:val="24"/>
          <w:szCs w:val="24"/>
        </w:rPr>
      </w:pPr>
    </w:p>
    <w:p w:rsidR="00122250" w:rsidRDefault="00122250" w:rsidP="00122250">
      <w:pPr>
        <w:spacing w:after="0" w:line="360" w:lineRule="auto"/>
        <w:jc w:val="both"/>
        <w:rPr>
          <w:rFonts w:ascii="Times New Roman" w:hAnsi="Times New Roman" w:cs="Times New Roman"/>
          <w:sz w:val="24"/>
          <w:szCs w:val="24"/>
        </w:rPr>
      </w:pPr>
    </w:p>
    <w:p w:rsidR="006922BF" w:rsidRDefault="006922BF" w:rsidP="00122250">
      <w:pPr>
        <w:spacing w:after="0" w:line="360" w:lineRule="auto"/>
        <w:jc w:val="both"/>
        <w:rPr>
          <w:rFonts w:ascii="Times New Roman" w:hAnsi="Times New Roman" w:cs="Times New Roman"/>
          <w:sz w:val="24"/>
          <w:szCs w:val="24"/>
        </w:rPr>
      </w:pPr>
    </w:p>
    <w:p w:rsidR="006922BF" w:rsidRDefault="006922BF" w:rsidP="00122250">
      <w:pPr>
        <w:spacing w:after="0" w:line="360" w:lineRule="auto"/>
        <w:jc w:val="both"/>
        <w:rPr>
          <w:rFonts w:ascii="Times New Roman" w:hAnsi="Times New Roman" w:cs="Times New Roman"/>
          <w:sz w:val="24"/>
          <w:szCs w:val="24"/>
        </w:rPr>
      </w:pPr>
    </w:p>
    <w:p w:rsidR="006922BF" w:rsidRDefault="006922BF" w:rsidP="00122250">
      <w:pPr>
        <w:spacing w:after="0" w:line="360" w:lineRule="auto"/>
        <w:jc w:val="both"/>
        <w:rPr>
          <w:rFonts w:ascii="Times New Roman" w:hAnsi="Times New Roman" w:cs="Times New Roman"/>
          <w:sz w:val="24"/>
          <w:szCs w:val="24"/>
        </w:rPr>
      </w:pPr>
    </w:p>
    <w:p w:rsidR="006922BF" w:rsidRDefault="006922BF" w:rsidP="00122250">
      <w:pPr>
        <w:spacing w:after="0" w:line="360" w:lineRule="auto"/>
        <w:jc w:val="both"/>
        <w:rPr>
          <w:rFonts w:ascii="Times New Roman" w:hAnsi="Times New Roman" w:cs="Times New Roman"/>
          <w:sz w:val="24"/>
          <w:szCs w:val="24"/>
        </w:rPr>
      </w:pPr>
    </w:p>
    <w:p w:rsidR="006922BF" w:rsidRDefault="006922BF" w:rsidP="00122250">
      <w:pPr>
        <w:spacing w:after="0" w:line="360" w:lineRule="auto"/>
        <w:jc w:val="both"/>
        <w:rPr>
          <w:rFonts w:ascii="Times New Roman" w:hAnsi="Times New Roman" w:cs="Times New Roman"/>
          <w:sz w:val="24"/>
          <w:szCs w:val="24"/>
        </w:rPr>
      </w:pPr>
    </w:p>
    <w:p w:rsidR="006922BF" w:rsidRDefault="006922BF" w:rsidP="00122250">
      <w:pPr>
        <w:spacing w:after="0" w:line="360" w:lineRule="auto"/>
        <w:jc w:val="both"/>
        <w:rPr>
          <w:rFonts w:ascii="Times New Roman" w:hAnsi="Times New Roman" w:cs="Times New Roman"/>
          <w:sz w:val="24"/>
          <w:szCs w:val="24"/>
        </w:rPr>
      </w:pPr>
    </w:p>
    <w:p w:rsidR="006922BF" w:rsidRDefault="006922BF" w:rsidP="00122250">
      <w:pPr>
        <w:spacing w:after="0" w:line="360" w:lineRule="auto"/>
        <w:jc w:val="both"/>
        <w:rPr>
          <w:rFonts w:ascii="Times New Roman" w:hAnsi="Times New Roman" w:cs="Times New Roman"/>
          <w:sz w:val="24"/>
          <w:szCs w:val="24"/>
        </w:rPr>
      </w:pPr>
    </w:p>
    <w:p w:rsidR="006922BF" w:rsidRDefault="006922BF" w:rsidP="00122250">
      <w:pPr>
        <w:spacing w:after="0" w:line="360" w:lineRule="auto"/>
        <w:jc w:val="both"/>
        <w:rPr>
          <w:rFonts w:ascii="Times New Roman" w:hAnsi="Times New Roman" w:cs="Times New Roman"/>
          <w:sz w:val="24"/>
          <w:szCs w:val="24"/>
        </w:rPr>
      </w:pPr>
    </w:p>
    <w:p w:rsidR="006922BF" w:rsidRDefault="006922BF" w:rsidP="00122250">
      <w:pPr>
        <w:spacing w:after="0" w:line="360" w:lineRule="auto"/>
        <w:jc w:val="both"/>
        <w:rPr>
          <w:rFonts w:ascii="Times New Roman" w:hAnsi="Times New Roman" w:cs="Times New Roman"/>
          <w:sz w:val="24"/>
          <w:szCs w:val="24"/>
        </w:rPr>
      </w:pPr>
    </w:p>
    <w:p w:rsidR="006922BF" w:rsidRDefault="006922BF" w:rsidP="00122250">
      <w:pPr>
        <w:spacing w:after="0" w:line="360" w:lineRule="auto"/>
        <w:jc w:val="both"/>
        <w:rPr>
          <w:rFonts w:ascii="Times New Roman" w:hAnsi="Times New Roman" w:cs="Times New Roman"/>
          <w:sz w:val="24"/>
          <w:szCs w:val="24"/>
        </w:rPr>
      </w:pPr>
    </w:p>
    <w:p w:rsidR="006922BF" w:rsidRDefault="006922BF" w:rsidP="00122250">
      <w:pPr>
        <w:spacing w:after="0" w:line="360" w:lineRule="auto"/>
        <w:jc w:val="both"/>
        <w:rPr>
          <w:rFonts w:ascii="Times New Roman" w:hAnsi="Times New Roman" w:cs="Times New Roman"/>
          <w:sz w:val="24"/>
          <w:szCs w:val="24"/>
        </w:rPr>
      </w:pPr>
    </w:p>
    <w:p w:rsidR="006922BF" w:rsidRDefault="006922BF" w:rsidP="00122250">
      <w:pPr>
        <w:spacing w:after="0" w:line="360" w:lineRule="auto"/>
        <w:jc w:val="both"/>
        <w:rPr>
          <w:rFonts w:ascii="Times New Roman" w:hAnsi="Times New Roman" w:cs="Times New Roman"/>
          <w:sz w:val="24"/>
          <w:szCs w:val="24"/>
        </w:rPr>
      </w:pPr>
    </w:p>
    <w:p w:rsidR="006922BF" w:rsidRDefault="006922BF" w:rsidP="00122250">
      <w:pPr>
        <w:spacing w:after="0" w:line="360" w:lineRule="auto"/>
        <w:jc w:val="both"/>
        <w:rPr>
          <w:rFonts w:ascii="Times New Roman" w:hAnsi="Times New Roman" w:cs="Times New Roman"/>
          <w:sz w:val="24"/>
          <w:szCs w:val="24"/>
        </w:rPr>
      </w:pPr>
    </w:p>
    <w:p w:rsidR="006922BF" w:rsidRDefault="006922BF" w:rsidP="00122250">
      <w:pPr>
        <w:spacing w:after="0" w:line="360" w:lineRule="auto"/>
        <w:jc w:val="both"/>
        <w:rPr>
          <w:rFonts w:ascii="Times New Roman" w:hAnsi="Times New Roman" w:cs="Times New Roman"/>
          <w:sz w:val="24"/>
          <w:szCs w:val="24"/>
        </w:rPr>
      </w:pPr>
    </w:p>
    <w:p w:rsidR="006922BF" w:rsidRDefault="006922BF" w:rsidP="00122250">
      <w:pPr>
        <w:spacing w:after="0" w:line="360" w:lineRule="auto"/>
        <w:jc w:val="both"/>
        <w:rPr>
          <w:rFonts w:ascii="Times New Roman" w:hAnsi="Times New Roman" w:cs="Times New Roman"/>
          <w:sz w:val="24"/>
          <w:szCs w:val="24"/>
        </w:rPr>
      </w:pPr>
    </w:p>
    <w:p w:rsidR="006922BF" w:rsidRDefault="006922BF" w:rsidP="00122250">
      <w:pPr>
        <w:spacing w:after="0" w:line="360" w:lineRule="auto"/>
        <w:jc w:val="both"/>
        <w:rPr>
          <w:rFonts w:ascii="Times New Roman" w:hAnsi="Times New Roman" w:cs="Times New Roman"/>
          <w:sz w:val="24"/>
          <w:szCs w:val="24"/>
        </w:rPr>
      </w:pPr>
    </w:p>
    <w:p w:rsidR="006922BF" w:rsidRDefault="006922BF" w:rsidP="00122250">
      <w:pPr>
        <w:spacing w:after="0" w:line="360" w:lineRule="auto"/>
        <w:jc w:val="both"/>
        <w:rPr>
          <w:rFonts w:ascii="Times New Roman" w:hAnsi="Times New Roman" w:cs="Times New Roman"/>
          <w:sz w:val="24"/>
          <w:szCs w:val="24"/>
        </w:rPr>
      </w:pPr>
    </w:p>
    <w:p w:rsidR="006922BF" w:rsidRDefault="006922BF" w:rsidP="00122250">
      <w:pPr>
        <w:spacing w:after="0" w:line="360" w:lineRule="auto"/>
        <w:jc w:val="both"/>
        <w:rPr>
          <w:rFonts w:ascii="Times New Roman" w:hAnsi="Times New Roman" w:cs="Times New Roman"/>
          <w:sz w:val="24"/>
          <w:szCs w:val="24"/>
        </w:rPr>
      </w:pPr>
    </w:p>
    <w:p w:rsidR="006922BF" w:rsidRDefault="006922BF" w:rsidP="00122250">
      <w:pPr>
        <w:spacing w:after="0" w:line="360" w:lineRule="auto"/>
        <w:jc w:val="both"/>
        <w:rPr>
          <w:rFonts w:ascii="Times New Roman" w:hAnsi="Times New Roman" w:cs="Times New Roman"/>
          <w:sz w:val="24"/>
          <w:szCs w:val="24"/>
        </w:rPr>
      </w:pPr>
    </w:p>
    <w:p w:rsidR="00C84420" w:rsidRDefault="00C84420">
      <w:pPr>
        <w:rPr>
          <w:rFonts w:ascii="Times New Roman" w:hAnsi="Times New Roman" w:cs="Times New Roman"/>
          <w:sz w:val="24"/>
          <w:szCs w:val="24"/>
        </w:rPr>
      </w:pPr>
      <w:r>
        <w:rPr>
          <w:rFonts w:ascii="Times New Roman" w:hAnsi="Times New Roman" w:cs="Times New Roman"/>
          <w:sz w:val="24"/>
          <w:szCs w:val="24"/>
        </w:rPr>
        <w:br w:type="page"/>
      </w:r>
    </w:p>
    <w:p w:rsidR="00122250" w:rsidRPr="004F366B" w:rsidRDefault="00122250" w:rsidP="00122250">
      <w:pPr>
        <w:pStyle w:val="Heading1"/>
      </w:pPr>
      <w:r w:rsidRPr="004F366B">
        <w:lastRenderedPageBreak/>
        <w:t>CONTENTS</w:t>
      </w:r>
    </w:p>
    <w:p w:rsidR="00122250" w:rsidRPr="004F366B" w:rsidRDefault="00122250" w:rsidP="00122250">
      <w:pPr>
        <w:pStyle w:val="Heading1"/>
        <w:jc w:val="both"/>
        <w:rPr>
          <w:b w:val="0"/>
        </w:rPr>
      </w:pPr>
    </w:p>
    <w:p w:rsidR="00122250" w:rsidRPr="004F366B" w:rsidRDefault="00122250" w:rsidP="00122250">
      <w:pPr>
        <w:pStyle w:val="BodyText"/>
        <w:tabs>
          <w:tab w:val="left" w:pos="8222"/>
        </w:tabs>
        <w:rPr>
          <w:b/>
          <w:bCs/>
        </w:rPr>
      </w:pPr>
      <w:r w:rsidRPr="004F366B">
        <w:t>Executive Summary</w:t>
      </w:r>
      <w:r w:rsidRPr="004F366B">
        <w:tab/>
        <w:t>3</w:t>
      </w:r>
    </w:p>
    <w:p w:rsidR="00122250" w:rsidRDefault="005D6CA4" w:rsidP="00122250">
      <w:pPr>
        <w:pStyle w:val="BodyText"/>
        <w:tabs>
          <w:tab w:val="left" w:pos="8222"/>
        </w:tabs>
      </w:pPr>
      <w:r>
        <w:t>1.  Introduction</w:t>
      </w:r>
      <w:r>
        <w:tab/>
        <w:t>4</w:t>
      </w:r>
    </w:p>
    <w:p w:rsidR="00F57623" w:rsidRDefault="00F57623" w:rsidP="00122250">
      <w:pPr>
        <w:pStyle w:val="BodyText"/>
        <w:tabs>
          <w:tab w:val="left" w:pos="8222"/>
        </w:tabs>
      </w:pPr>
      <w:r>
        <w:t>2.  An Updated Dividend Drop-Off Estimate of Theta</w:t>
      </w:r>
      <w:r w:rsidR="005D6CA4">
        <w:tab/>
        <w:t>4</w:t>
      </w:r>
    </w:p>
    <w:p w:rsidR="00F57623" w:rsidRPr="00F57623" w:rsidRDefault="00F57623" w:rsidP="00122250">
      <w:pPr>
        <w:pStyle w:val="BodyText"/>
        <w:tabs>
          <w:tab w:val="left" w:pos="8222"/>
        </w:tabs>
        <w:rPr>
          <w:bCs/>
        </w:rPr>
      </w:pPr>
      <w:r w:rsidRPr="00F57623">
        <w:rPr>
          <w:bCs/>
        </w:rPr>
        <w:t>3.  Questions from the AER</w:t>
      </w:r>
      <w:r w:rsidR="005D6CA4">
        <w:rPr>
          <w:bCs/>
        </w:rPr>
        <w:tab/>
        <w:t>6</w:t>
      </w:r>
    </w:p>
    <w:p w:rsidR="00122250" w:rsidRPr="00F40A91" w:rsidRDefault="00F57623" w:rsidP="00122250">
      <w:pPr>
        <w:pStyle w:val="BodyText"/>
        <w:tabs>
          <w:tab w:val="left" w:pos="8222"/>
        </w:tabs>
      </w:pPr>
      <w:r>
        <w:t>4</w:t>
      </w:r>
      <w:r w:rsidR="00122250" w:rsidRPr="004F366B">
        <w:t xml:space="preserve">.  </w:t>
      </w:r>
      <w:r w:rsidR="001E2EC4">
        <w:t>Issues in the Estimation of Gamma</w:t>
      </w:r>
      <w:r w:rsidR="00150CD5">
        <w:tab/>
        <w:t>9</w:t>
      </w:r>
    </w:p>
    <w:p w:rsidR="00122250" w:rsidRDefault="00F57623" w:rsidP="00122250">
      <w:pPr>
        <w:pStyle w:val="BodyText"/>
        <w:tabs>
          <w:tab w:val="left" w:pos="8222"/>
        </w:tabs>
      </w:pPr>
      <w:r>
        <w:t>5</w:t>
      </w:r>
      <w:r w:rsidR="00122250" w:rsidRPr="004F366B">
        <w:t xml:space="preserve">.  </w:t>
      </w:r>
      <w:r w:rsidR="00A12FDD">
        <w:t>Questions</w:t>
      </w:r>
      <w:r w:rsidR="001E2EC4">
        <w:t xml:space="preserve"> from the AER</w:t>
      </w:r>
      <w:r w:rsidR="00150CD5">
        <w:tab/>
        <w:t>22</w:t>
      </w:r>
    </w:p>
    <w:p w:rsidR="00D374B0" w:rsidRDefault="00F57623" w:rsidP="00122250">
      <w:pPr>
        <w:pStyle w:val="BodyText"/>
        <w:tabs>
          <w:tab w:val="left" w:pos="8222"/>
        </w:tabs>
      </w:pPr>
      <w:r>
        <w:t>6</w:t>
      </w:r>
      <w:r w:rsidR="00D374B0">
        <w:t>.  F</w:t>
      </w:r>
      <w:r w:rsidR="009A2781">
        <w:t>urther Questions from the AER</w:t>
      </w:r>
      <w:r w:rsidR="009A2781">
        <w:tab/>
        <w:t>27</w:t>
      </w:r>
    </w:p>
    <w:p w:rsidR="00955467" w:rsidRDefault="00F57623" w:rsidP="00122250">
      <w:pPr>
        <w:pStyle w:val="BodyText"/>
        <w:tabs>
          <w:tab w:val="left" w:pos="8222"/>
        </w:tabs>
      </w:pPr>
      <w:r>
        <w:t>7</w:t>
      </w:r>
      <w:r w:rsidR="00D374B0">
        <w:t>.</w:t>
      </w:r>
      <w:r w:rsidR="008A2B2E">
        <w:t xml:space="preserve">  Conclusions</w:t>
      </w:r>
      <w:r w:rsidR="008A2B2E">
        <w:tab/>
        <w:t>29</w:t>
      </w:r>
    </w:p>
    <w:p w:rsidR="00122250" w:rsidRPr="00F40A91" w:rsidRDefault="007072D3" w:rsidP="00122250">
      <w:pPr>
        <w:pStyle w:val="BodyText"/>
        <w:tabs>
          <w:tab w:val="left" w:pos="8222"/>
        </w:tabs>
        <w:rPr>
          <w:b/>
          <w:bCs/>
        </w:rPr>
      </w:pPr>
      <w:r>
        <w:t>References</w:t>
      </w:r>
      <w:r w:rsidR="006B7FCC">
        <w:tab/>
        <w:t>31</w:t>
      </w:r>
    </w:p>
    <w:p w:rsidR="00122250" w:rsidRDefault="00122250" w:rsidP="00122250">
      <w:pPr>
        <w:rPr>
          <w:rFonts w:ascii="Times New Roman" w:hAnsi="Times New Roman" w:cs="Times New Roman"/>
          <w:sz w:val="24"/>
          <w:szCs w:val="24"/>
        </w:rPr>
      </w:pPr>
      <w:r>
        <w:rPr>
          <w:rFonts w:ascii="Times New Roman" w:hAnsi="Times New Roman" w:cs="Times New Roman"/>
          <w:sz w:val="24"/>
          <w:szCs w:val="24"/>
        </w:rPr>
        <w:br w:type="page"/>
      </w:r>
    </w:p>
    <w:p w:rsidR="00122250" w:rsidRPr="00212FA3" w:rsidRDefault="00122250" w:rsidP="00122250">
      <w:pPr>
        <w:spacing w:after="0" w:line="360" w:lineRule="auto"/>
        <w:rPr>
          <w:rFonts w:ascii="Times New Roman" w:hAnsi="Times New Roman" w:cs="Times New Roman"/>
          <w:b/>
          <w:sz w:val="24"/>
          <w:szCs w:val="24"/>
        </w:rPr>
      </w:pPr>
      <w:r>
        <w:rPr>
          <w:rFonts w:ascii="Times New Roman" w:hAnsi="Times New Roman" w:cs="Times New Roman"/>
          <w:b/>
          <w:sz w:val="24"/>
          <w:szCs w:val="24"/>
        </w:rPr>
        <w:lastRenderedPageBreak/>
        <w:t>EXECUTIVE SUMMARY</w:t>
      </w:r>
    </w:p>
    <w:p w:rsidR="00C26564" w:rsidRDefault="00C26564" w:rsidP="001A74F6">
      <w:pPr>
        <w:spacing w:after="0" w:line="360" w:lineRule="auto"/>
        <w:jc w:val="both"/>
        <w:rPr>
          <w:rFonts w:ascii="Times New Roman" w:hAnsi="Times New Roman" w:cs="Times New Roman"/>
          <w:sz w:val="24"/>
          <w:szCs w:val="24"/>
        </w:rPr>
      </w:pPr>
    </w:p>
    <w:p w:rsidR="00C70E4A" w:rsidRDefault="00C70E4A" w:rsidP="00C70E4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The AER has recently received two reports from Frontier Economics, on behalf of some regulated businesses, and concerned with </w:t>
      </w:r>
      <w:r w:rsidR="001B20B5">
        <w:rPr>
          <w:rFonts w:ascii="Times New Roman" w:hAnsi="Times New Roman" w:cs="Times New Roman"/>
          <w:sz w:val="24"/>
          <w:szCs w:val="24"/>
        </w:rPr>
        <w:t xml:space="preserve">the estimation of </w:t>
      </w:r>
      <w:r>
        <w:rPr>
          <w:rFonts w:ascii="Times New Roman" w:hAnsi="Times New Roman" w:cs="Times New Roman"/>
          <w:sz w:val="24"/>
          <w:szCs w:val="24"/>
        </w:rPr>
        <w:t>gamma.  This paper reviews these two reports, and also addresses a number of questions raised by the AER about these reports or about gamma issues more generally.</w:t>
      </w:r>
    </w:p>
    <w:p w:rsidR="00C70E4A" w:rsidRDefault="00C70E4A" w:rsidP="00633EF6">
      <w:pPr>
        <w:spacing w:after="0" w:line="360" w:lineRule="auto"/>
        <w:jc w:val="both"/>
        <w:rPr>
          <w:rFonts w:ascii="Times New Roman" w:hAnsi="Times New Roman" w:cs="Times New Roman"/>
          <w:sz w:val="24"/>
          <w:szCs w:val="24"/>
        </w:rPr>
      </w:pPr>
    </w:p>
    <w:p w:rsidR="00633EF6" w:rsidRDefault="00C70E4A" w:rsidP="00633EF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In respect of the two Frontier papers, the </w:t>
      </w:r>
      <w:r w:rsidR="00633EF6">
        <w:rPr>
          <w:rFonts w:ascii="Times New Roman" w:hAnsi="Times New Roman" w:cs="Times New Roman"/>
          <w:sz w:val="24"/>
          <w:szCs w:val="24"/>
        </w:rPr>
        <w:t xml:space="preserve">first of these involves rerunning the DDO methodology invoked in earlier papers by SFG, </w:t>
      </w:r>
      <w:r w:rsidR="00483A56">
        <w:rPr>
          <w:rFonts w:ascii="Times New Roman" w:hAnsi="Times New Roman" w:cs="Times New Roman"/>
          <w:sz w:val="24"/>
          <w:szCs w:val="24"/>
        </w:rPr>
        <w:t xml:space="preserve">but </w:t>
      </w:r>
      <w:r w:rsidR="00633EF6">
        <w:rPr>
          <w:rFonts w:ascii="Times New Roman" w:hAnsi="Times New Roman" w:cs="Times New Roman"/>
          <w:sz w:val="24"/>
          <w:szCs w:val="24"/>
        </w:rPr>
        <w:t>using a larger data set, and produces very similar results</w:t>
      </w:r>
      <w:r>
        <w:rPr>
          <w:rFonts w:ascii="Times New Roman" w:hAnsi="Times New Roman" w:cs="Times New Roman"/>
          <w:sz w:val="24"/>
          <w:szCs w:val="24"/>
        </w:rPr>
        <w:t xml:space="preserve">.  However, as with the earlier SFG papers, this </w:t>
      </w:r>
      <w:r w:rsidR="00633EF6">
        <w:rPr>
          <w:rFonts w:ascii="Times New Roman" w:hAnsi="Times New Roman" w:cs="Times New Roman"/>
          <w:sz w:val="24"/>
          <w:szCs w:val="24"/>
        </w:rPr>
        <w:t xml:space="preserve">methodology suffers from 12 significant problems in providing an estimate of the utilization rate for the imputation credits.  The second of these Frontier papers raises a number of new arguments </w:t>
      </w:r>
      <w:r w:rsidR="00FD4600">
        <w:rPr>
          <w:rFonts w:ascii="Times New Roman" w:hAnsi="Times New Roman" w:cs="Times New Roman"/>
          <w:sz w:val="24"/>
          <w:szCs w:val="24"/>
        </w:rPr>
        <w:t>relating to gamma</w:t>
      </w:r>
      <w:r w:rsidR="00633EF6">
        <w:rPr>
          <w:rFonts w:ascii="Times New Roman" w:hAnsi="Times New Roman" w:cs="Times New Roman"/>
          <w:sz w:val="24"/>
          <w:szCs w:val="24"/>
        </w:rPr>
        <w:t xml:space="preserve">, and cites a number of papers </w:t>
      </w:r>
      <w:r w:rsidR="00B44AE0">
        <w:rPr>
          <w:rFonts w:ascii="Times New Roman" w:hAnsi="Times New Roman" w:cs="Times New Roman"/>
          <w:sz w:val="24"/>
          <w:szCs w:val="24"/>
        </w:rPr>
        <w:t xml:space="preserve">in support of its </w:t>
      </w:r>
      <w:r w:rsidR="00633EF6">
        <w:rPr>
          <w:rFonts w:ascii="Times New Roman" w:hAnsi="Times New Roman" w:cs="Times New Roman"/>
          <w:sz w:val="24"/>
          <w:szCs w:val="24"/>
        </w:rPr>
        <w:t xml:space="preserve">views.  However, I do not agree with any of the new arguments raised by Frontier, or </w:t>
      </w:r>
      <w:r w:rsidR="00B44AE0">
        <w:rPr>
          <w:rFonts w:ascii="Times New Roman" w:hAnsi="Times New Roman" w:cs="Times New Roman"/>
          <w:sz w:val="24"/>
          <w:szCs w:val="24"/>
        </w:rPr>
        <w:t xml:space="preserve">the </w:t>
      </w:r>
      <w:r w:rsidR="00633EF6">
        <w:rPr>
          <w:rFonts w:ascii="Times New Roman" w:hAnsi="Times New Roman" w:cs="Times New Roman"/>
          <w:sz w:val="24"/>
          <w:szCs w:val="24"/>
        </w:rPr>
        <w:t xml:space="preserve">arguments raised by these other authors, and </w:t>
      </w:r>
      <w:r w:rsidR="00B44AE0">
        <w:rPr>
          <w:rFonts w:ascii="Times New Roman" w:hAnsi="Times New Roman" w:cs="Times New Roman"/>
          <w:sz w:val="24"/>
          <w:szCs w:val="24"/>
        </w:rPr>
        <w:t xml:space="preserve">I </w:t>
      </w:r>
      <w:r w:rsidR="00633EF6">
        <w:rPr>
          <w:rFonts w:ascii="Times New Roman" w:hAnsi="Times New Roman" w:cs="Times New Roman"/>
          <w:sz w:val="24"/>
          <w:szCs w:val="24"/>
        </w:rPr>
        <w:t>also consider that most of Frontier’s claims concerning support from other authors involves Frontier misrepresenting the views of these other authors.</w:t>
      </w:r>
    </w:p>
    <w:p w:rsidR="005D34DF" w:rsidRPr="008A6683" w:rsidRDefault="00C26564" w:rsidP="00225C2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0D2D50" w:rsidRDefault="000D2D50">
      <w:pPr>
        <w:rPr>
          <w:rFonts w:ascii="Times New Roman" w:hAnsi="Times New Roman" w:cs="Times New Roman"/>
          <w:sz w:val="24"/>
          <w:szCs w:val="24"/>
        </w:rPr>
      </w:pPr>
      <w:r>
        <w:rPr>
          <w:rFonts w:ascii="Times New Roman" w:hAnsi="Times New Roman" w:cs="Times New Roman"/>
          <w:sz w:val="24"/>
          <w:szCs w:val="24"/>
        </w:rPr>
        <w:br w:type="page"/>
      </w:r>
    </w:p>
    <w:p w:rsidR="00122250" w:rsidRPr="001B4D30" w:rsidRDefault="00122250" w:rsidP="001E2EC4">
      <w:pPr>
        <w:pStyle w:val="ListParagraph"/>
        <w:numPr>
          <w:ilvl w:val="0"/>
          <w:numId w:val="1"/>
        </w:numPr>
        <w:spacing w:after="0" w:line="360" w:lineRule="auto"/>
        <w:ind w:left="360"/>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 Introduction</w:t>
      </w:r>
    </w:p>
    <w:p w:rsidR="00122250" w:rsidRDefault="00122250" w:rsidP="00122250">
      <w:pPr>
        <w:spacing w:after="0" w:line="360" w:lineRule="auto"/>
        <w:jc w:val="both"/>
        <w:rPr>
          <w:rFonts w:ascii="Times New Roman" w:hAnsi="Times New Roman" w:cs="Times New Roman"/>
          <w:sz w:val="24"/>
          <w:szCs w:val="24"/>
        </w:rPr>
      </w:pPr>
    </w:p>
    <w:p w:rsidR="00D613F0" w:rsidRDefault="00483F0F" w:rsidP="0012225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The </w:t>
      </w:r>
      <w:r w:rsidR="00735882">
        <w:rPr>
          <w:rFonts w:ascii="Times New Roman" w:hAnsi="Times New Roman" w:cs="Times New Roman"/>
          <w:sz w:val="24"/>
          <w:szCs w:val="24"/>
        </w:rPr>
        <w:t>AER has recently received two reports from Frontier Economics</w:t>
      </w:r>
      <w:r w:rsidR="00C00A0C">
        <w:rPr>
          <w:rFonts w:ascii="Times New Roman" w:hAnsi="Times New Roman" w:cs="Times New Roman"/>
          <w:sz w:val="24"/>
          <w:szCs w:val="24"/>
        </w:rPr>
        <w:t xml:space="preserve"> (2016a, 2016b)</w:t>
      </w:r>
      <w:r w:rsidR="00735882">
        <w:rPr>
          <w:rFonts w:ascii="Times New Roman" w:hAnsi="Times New Roman" w:cs="Times New Roman"/>
          <w:sz w:val="24"/>
          <w:szCs w:val="24"/>
        </w:rPr>
        <w:t>, on behalf of s</w:t>
      </w:r>
      <w:r w:rsidR="00C65CB4">
        <w:rPr>
          <w:rFonts w:ascii="Times New Roman" w:hAnsi="Times New Roman" w:cs="Times New Roman"/>
          <w:sz w:val="24"/>
          <w:szCs w:val="24"/>
        </w:rPr>
        <w:t>ome regulated businesses</w:t>
      </w:r>
      <w:r w:rsidR="00FD4600">
        <w:rPr>
          <w:rFonts w:ascii="Times New Roman" w:hAnsi="Times New Roman" w:cs="Times New Roman"/>
          <w:sz w:val="24"/>
          <w:szCs w:val="24"/>
        </w:rPr>
        <w:t>, relating to the estimation of gamma</w:t>
      </w:r>
      <w:r w:rsidR="00C65CB4">
        <w:rPr>
          <w:rFonts w:ascii="Times New Roman" w:hAnsi="Times New Roman" w:cs="Times New Roman"/>
          <w:sz w:val="24"/>
          <w:szCs w:val="24"/>
        </w:rPr>
        <w:t xml:space="preserve">.  This paper </w:t>
      </w:r>
      <w:r w:rsidR="00735882">
        <w:rPr>
          <w:rFonts w:ascii="Times New Roman" w:hAnsi="Times New Roman" w:cs="Times New Roman"/>
          <w:sz w:val="24"/>
          <w:szCs w:val="24"/>
        </w:rPr>
        <w:t>reviews these two reports</w:t>
      </w:r>
      <w:r w:rsidR="00D374B0">
        <w:rPr>
          <w:rFonts w:ascii="Times New Roman" w:hAnsi="Times New Roman" w:cs="Times New Roman"/>
          <w:sz w:val="24"/>
          <w:szCs w:val="24"/>
        </w:rPr>
        <w:t>, and also addresses a number of questions raised by the AER</w:t>
      </w:r>
      <w:r w:rsidR="00C00A0C">
        <w:rPr>
          <w:rFonts w:ascii="Times New Roman" w:hAnsi="Times New Roman" w:cs="Times New Roman"/>
          <w:sz w:val="24"/>
          <w:szCs w:val="24"/>
        </w:rPr>
        <w:t xml:space="preserve"> about these reports or about gamma issues more generally</w:t>
      </w:r>
      <w:r w:rsidR="00D374B0">
        <w:rPr>
          <w:rFonts w:ascii="Times New Roman" w:hAnsi="Times New Roman" w:cs="Times New Roman"/>
          <w:sz w:val="24"/>
          <w:szCs w:val="24"/>
        </w:rPr>
        <w:t>.</w:t>
      </w:r>
    </w:p>
    <w:p w:rsidR="00E052F1" w:rsidRDefault="00E052F1" w:rsidP="00122250">
      <w:pPr>
        <w:spacing w:after="0" w:line="360" w:lineRule="auto"/>
        <w:jc w:val="both"/>
        <w:rPr>
          <w:rFonts w:ascii="Times New Roman" w:hAnsi="Times New Roman" w:cs="Times New Roman"/>
          <w:sz w:val="24"/>
          <w:szCs w:val="24"/>
        </w:rPr>
      </w:pPr>
    </w:p>
    <w:p w:rsidR="00D04848" w:rsidRPr="00D04848" w:rsidRDefault="00D04848" w:rsidP="00D04848">
      <w:pPr>
        <w:pStyle w:val="ListParagraph"/>
        <w:numPr>
          <w:ilvl w:val="0"/>
          <w:numId w:val="1"/>
        </w:numPr>
        <w:spacing w:after="0" w:line="360" w:lineRule="auto"/>
        <w:ind w:left="360"/>
        <w:jc w:val="both"/>
        <w:rPr>
          <w:rFonts w:ascii="Times New Roman" w:hAnsi="Times New Roman" w:cs="Times New Roman"/>
          <w:b/>
          <w:sz w:val="24"/>
          <w:szCs w:val="24"/>
        </w:rPr>
      </w:pPr>
      <w:r>
        <w:rPr>
          <w:rFonts w:ascii="Times New Roman" w:hAnsi="Times New Roman" w:cs="Times New Roman"/>
          <w:b/>
          <w:sz w:val="24"/>
          <w:szCs w:val="24"/>
        </w:rPr>
        <w:t xml:space="preserve"> An Updated </w:t>
      </w:r>
      <w:r w:rsidR="00F57623">
        <w:rPr>
          <w:rFonts w:ascii="Times New Roman" w:hAnsi="Times New Roman" w:cs="Times New Roman"/>
          <w:b/>
          <w:sz w:val="24"/>
          <w:szCs w:val="24"/>
        </w:rPr>
        <w:t xml:space="preserve">Dividend Drop-Off Estimate of </w:t>
      </w:r>
      <w:r>
        <w:rPr>
          <w:rFonts w:ascii="Times New Roman" w:hAnsi="Times New Roman" w:cs="Times New Roman"/>
          <w:b/>
          <w:sz w:val="24"/>
          <w:szCs w:val="24"/>
        </w:rPr>
        <w:t>Theta</w:t>
      </w:r>
    </w:p>
    <w:p w:rsidR="00D04848" w:rsidRDefault="00D04848" w:rsidP="00122250">
      <w:pPr>
        <w:spacing w:after="0" w:line="360" w:lineRule="auto"/>
        <w:jc w:val="both"/>
        <w:rPr>
          <w:rFonts w:ascii="Times New Roman" w:hAnsi="Times New Roman" w:cs="Times New Roman"/>
          <w:sz w:val="24"/>
          <w:szCs w:val="24"/>
        </w:rPr>
      </w:pPr>
    </w:p>
    <w:p w:rsidR="00D04848" w:rsidRDefault="006334D2" w:rsidP="0012225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Frontier (2016a, Table 2, Table 3</w:t>
      </w:r>
      <w:r w:rsidR="00D04848">
        <w:rPr>
          <w:rFonts w:ascii="Times New Roman" w:hAnsi="Times New Roman" w:cs="Times New Roman"/>
          <w:sz w:val="24"/>
          <w:szCs w:val="24"/>
        </w:rPr>
        <w:t>)</w:t>
      </w:r>
      <w:r w:rsidR="00BC2157">
        <w:rPr>
          <w:rFonts w:ascii="Times New Roman" w:hAnsi="Times New Roman" w:cs="Times New Roman"/>
          <w:sz w:val="24"/>
          <w:szCs w:val="24"/>
        </w:rPr>
        <w:t xml:space="preserve"> updates a</w:t>
      </w:r>
      <w:r>
        <w:rPr>
          <w:rFonts w:ascii="Times New Roman" w:hAnsi="Times New Roman" w:cs="Times New Roman"/>
          <w:sz w:val="24"/>
          <w:szCs w:val="24"/>
        </w:rPr>
        <w:t xml:space="preserve">n earlier </w:t>
      </w:r>
      <w:r w:rsidR="00C54A71">
        <w:rPr>
          <w:rFonts w:ascii="Times New Roman" w:hAnsi="Times New Roman" w:cs="Times New Roman"/>
          <w:sz w:val="24"/>
          <w:szCs w:val="24"/>
        </w:rPr>
        <w:t>dividend drop-off (</w:t>
      </w:r>
      <w:r>
        <w:rPr>
          <w:rFonts w:ascii="Times New Roman" w:hAnsi="Times New Roman" w:cs="Times New Roman"/>
          <w:sz w:val="24"/>
          <w:szCs w:val="24"/>
        </w:rPr>
        <w:t>DDO</w:t>
      </w:r>
      <w:r w:rsidR="00C54A71">
        <w:rPr>
          <w:rFonts w:ascii="Times New Roman" w:hAnsi="Times New Roman" w:cs="Times New Roman"/>
          <w:sz w:val="24"/>
          <w:szCs w:val="24"/>
        </w:rPr>
        <w:t>)</w:t>
      </w:r>
      <w:r>
        <w:rPr>
          <w:rFonts w:ascii="Times New Roman" w:hAnsi="Times New Roman" w:cs="Times New Roman"/>
          <w:sz w:val="24"/>
          <w:szCs w:val="24"/>
        </w:rPr>
        <w:t xml:space="preserve"> study (SFG, 2013)</w:t>
      </w:r>
      <w:r w:rsidR="00CF7D3C">
        <w:rPr>
          <w:rFonts w:ascii="Times New Roman" w:hAnsi="Times New Roman" w:cs="Times New Roman"/>
          <w:sz w:val="24"/>
          <w:szCs w:val="24"/>
        </w:rPr>
        <w:t xml:space="preserve">, using the same methodology but a larger data set, </w:t>
      </w:r>
      <w:r w:rsidR="000F35BE">
        <w:rPr>
          <w:rFonts w:ascii="Times New Roman" w:hAnsi="Times New Roman" w:cs="Times New Roman"/>
          <w:sz w:val="24"/>
          <w:szCs w:val="24"/>
        </w:rPr>
        <w:t xml:space="preserve">and generates </w:t>
      </w:r>
      <w:r>
        <w:rPr>
          <w:rFonts w:ascii="Times New Roman" w:hAnsi="Times New Roman" w:cs="Times New Roman"/>
          <w:sz w:val="24"/>
          <w:szCs w:val="24"/>
        </w:rPr>
        <w:t xml:space="preserve">estimates of the coefficient on </w:t>
      </w:r>
      <w:r w:rsidR="00FD4600">
        <w:rPr>
          <w:rFonts w:ascii="Times New Roman" w:hAnsi="Times New Roman" w:cs="Times New Roman"/>
          <w:sz w:val="24"/>
          <w:szCs w:val="24"/>
        </w:rPr>
        <w:t xml:space="preserve">the imputation </w:t>
      </w:r>
      <w:r>
        <w:rPr>
          <w:rFonts w:ascii="Times New Roman" w:hAnsi="Times New Roman" w:cs="Times New Roman"/>
          <w:sz w:val="24"/>
          <w:szCs w:val="24"/>
        </w:rPr>
        <w:t xml:space="preserve">credits ranging from 0.17 to 0.40 </w:t>
      </w:r>
      <w:r w:rsidR="00CB65E0">
        <w:rPr>
          <w:rFonts w:ascii="Times New Roman" w:hAnsi="Times New Roman" w:cs="Times New Roman"/>
          <w:sz w:val="24"/>
          <w:szCs w:val="24"/>
        </w:rPr>
        <w:t xml:space="preserve">across eight different models </w:t>
      </w:r>
      <w:r>
        <w:rPr>
          <w:rFonts w:ascii="Times New Roman" w:hAnsi="Times New Roman" w:cs="Times New Roman"/>
          <w:sz w:val="24"/>
          <w:szCs w:val="24"/>
        </w:rPr>
        <w:t>(</w:t>
      </w:r>
      <w:r w:rsidR="000F35BE">
        <w:rPr>
          <w:rFonts w:ascii="Times New Roman" w:hAnsi="Times New Roman" w:cs="Times New Roman"/>
          <w:sz w:val="24"/>
          <w:szCs w:val="24"/>
        </w:rPr>
        <w:t xml:space="preserve">including </w:t>
      </w:r>
      <w:r>
        <w:rPr>
          <w:rFonts w:ascii="Times New Roman" w:hAnsi="Times New Roman" w:cs="Times New Roman"/>
          <w:sz w:val="24"/>
          <w:szCs w:val="24"/>
        </w:rPr>
        <w:t>0.36 to 0.40</w:t>
      </w:r>
      <w:r w:rsidR="000F35BE">
        <w:rPr>
          <w:rFonts w:ascii="Times New Roman" w:hAnsi="Times New Roman" w:cs="Times New Roman"/>
          <w:sz w:val="24"/>
          <w:szCs w:val="24"/>
        </w:rPr>
        <w:t xml:space="preserve"> for the Model 4 specifications).  Frontier </w:t>
      </w:r>
      <w:r w:rsidR="00CB65E0">
        <w:rPr>
          <w:rFonts w:ascii="Times New Roman" w:hAnsi="Times New Roman" w:cs="Times New Roman"/>
          <w:sz w:val="24"/>
          <w:szCs w:val="24"/>
        </w:rPr>
        <w:t xml:space="preserve">(ibid, para 100) </w:t>
      </w:r>
      <w:r w:rsidR="000F35BE">
        <w:rPr>
          <w:rFonts w:ascii="Times New Roman" w:hAnsi="Times New Roman" w:cs="Times New Roman"/>
          <w:sz w:val="24"/>
          <w:szCs w:val="24"/>
        </w:rPr>
        <w:t>places primary weight on the Model 4 results and therefore favours an estimate of 0.35</w:t>
      </w:r>
      <w:r w:rsidR="00CF7D3C">
        <w:rPr>
          <w:rFonts w:ascii="Times New Roman" w:hAnsi="Times New Roman" w:cs="Times New Roman"/>
          <w:sz w:val="24"/>
          <w:szCs w:val="24"/>
        </w:rPr>
        <w:t xml:space="preserve">, </w:t>
      </w:r>
      <w:r w:rsidR="00142F46">
        <w:rPr>
          <w:rFonts w:ascii="Times New Roman" w:hAnsi="Times New Roman" w:cs="Times New Roman"/>
          <w:sz w:val="24"/>
          <w:szCs w:val="24"/>
        </w:rPr>
        <w:t>as in its earlier studies</w:t>
      </w:r>
      <w:r w:rsidR="00622C70">
        <w:rPr>
          <w:rFonts w:ascii="Times New Roman" w:hAnsi="Times New Roman" w:cs="Times New Roman"/>
          <w:sz w:val="24"/>
          <w:szCs w:val="24"/>
        </w:rPr>
        <w:t xml:space="preserve"> (SFG, 2011; SFG, </w:t>
      </w:r>
      <w:r w:rsidR="00CF7D3C">
        <w:rPr>
          <w:rFonts w:ascii="Times New Roman" w:hAnsi="Times New Roman" w:cs="Times New Roman"/>
          <w:sz w:val="24"/>
          <w:szCs w:val="24"/>
        </w:rPr>
        <w:t>2013).  Since the methodology is unchanged, all of my earlier concerns about this methodology remain</w:t>
      </w:r>
      <w:r w:rsidR="004769AE">
        <w:rPr>
          <w:rFonts w:ascii="Times New Roman" w:hAnsi="Times New Roman" w:cs="Times New Roman"/>
          <w:sz w:val="24"/>
          <w:szCs w:val="24"/>
        </w:rPr>
        <w:t xml:space="preserve"> and these concerns are as follows (Lally, </w:t>
      </w:r>
      <w:r w:rsidR="00023C39">
        <w:rPr>
          <w:rFonts w:ascii="Times New Roman" w:hAnsi="Times New Roman" w:cs="Times New Roman"/>
          <w:sz w:val="24"/>
          <w:szCs w:val="24"/>
        </w:rPr>
        <w:t xml:space="preserve">2012, section 2.6; </w:t>
      </w:r>
      <w:r w:rsidR="001F32E2">
        <w:rPr>
          <w:rFonts w:ascii="Times New Roman" w:hAnsi="Times New Roman" w:cs="Times New Roman"/>
          <w:sz w:val="24"/>
          <w:szCs w:val="24"/>
        </w:rPr>
        <w:t xml:space="preserve">Lally, </w:t>
      </w:r>
      <w:r w:rsidR="004769AE">
        <w:rPr>
          <w:rFonts w:ascii="Times New Roman" w:hAnsi="Times New Roman" w:cs="Times New Roman"/>
          <w:sz w:val="24"/>
          <w:szCs w:val="24"/>
        </w:rPr>
        <w:t>2013, section 3.5)</w:t>
      </w:r>
      <w:r w:rsidR="00CF7D3C">
        <w:rPr>
          <w:rFonts w:ascii="Times New Roman" w:hAnsi="Times New Roman" w:cs="Times New Roman"/>
          <w:sz w:val="24"/>
          <w:szCs w:val="24"/>
        </w:rPr>
        <w:t>.</w:t>
      </w:r>
    </w:p>
    <w:p w:rsidR="0044639A" w:rsidRDefault="0044639A" w:rsidP="00122250">
      <w:pPr>
        <w:spacing w:after="0" w:line="360" w:lineRule="auto"/>
        <w:jc w:val="both"/>
        <w:rPr>
          <w:rFonts w:ascii="Times New Roman" w:hAnsi="Times New Roman" w:cs="Times New Roman"/>
          <w:sz w:val="24"/>
          <w:szCs w:val="24"/>
        </w:rPr>
      </w:pPr>
    </w:p>
    <w:p w:rsidR="00C34A9E" w:rsidRDefault="004769AE" w:rsidP="0044639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Firstly, the </w:t>
      </w:r>
      <w:r w:rsidR="002420B5">
        <w:rPr>
          <w:rFonts w:ascii="Times New Roman" w:hAnsi="Times New Roman" w:cs="Times New Roman"/>
          <w:sz w:val="24"/>
          <w:szCs w:val="24"/>
        </w:rPr>
        <w:t xml:space="preserve">appropriate </w:t>
      </w:r>
      <w:r>
        <w:rPr>
          <w:rFonts w:ascii="Times New Roman" w:hAnsi="Times New Roman" w:cs="Times New Roman"/>
          <w:sz w:val="24"/>
          <w:szCs w:val="24"/>
        </w:rPr>
        <w:t xml:space="preserve">estimate of </w:t>
      </w:r>
      <w:r w:rsidR="00E7153B">
        <w:rPr>
          <w:rFonts w:ascii="Times New Roman" w:hAnsi="Times New Roman" w:cs="Times New Roman"/>
          <w:sz w:val="24"/>
          <w:szCs w:val="24"/>
        </w:rPr>
        <w:t xml:space="preserve">the utilization rate </w:t>
      </w:r>
      <w:r>
        <w:rPr>
          <w:rFonts w:ascii="Times New Roman" w:hAnsi="Times New Roman" w:cs="Times New Roman"/>
          <w:sz w:val="24"/>
          <w:szCs w:val="24"/>
        </w:rPr>
        <w:t xml:space="preserve">in these studies is not the coefficient on the credits but the coefficient on the credits divided by that on the cash dividends.  </w:t>
      </w:r>
      <w:r w:rsidR="002420B5">
        <w:rPr>
          <w:rFonts w:ascii="Times New Roman" w:hAnsi="Times New Roman" w:cs="Times New Roman"/>
          <w:sz w:val="24"/>
          <w:szCs w:val="24"/>
        </w:rPr>
        <w:t xml:space="preserve">Frontier (2016b, paras 91-95) offers arguments in defense of using the coefficient on the credits but these are addressed in section 4 of the current paper.  </w:t>
      </w:r>
      <w:r>
        <w:rPr>
          <w:rFonts w:ascii="Times New Roman" w:hAnsi="Times New Roman" w:cs="Times New Roman"/>
          <w:sz w:val="24"/>
          <w:szCs w:val="24"/>
        </w:rPr>
        <w:t xml:space="preserve">Secondly, other studies using market prices generate a very wide range in </w:t>
      </w:r>
      <w:r w:rsidR="00FD4600">
        <w:rPr>
          <w:rFonts w:ascii="Times New Roman" w:hAnsi="Times New Roman" w:cs="Times New Roman"/>
          <w:sz w:val="24"/>
          <w:szCs w:val="24"/>
        </w:rPr>
        <w:t xml:space="preserve">the </w:t>
      </w:r>
      <w:r>
        <w:rPr>
          <w:rFonts w:ascii="Times New Roman" w:hAnsi="Times New Roman" w:cs="Times New Roman"/>
          <w:sz w:val="24"/>
          <w:szCs w:val="24"/>
        </w:rPr>
        <w:t xml:space="preserve">estimates of </w:t>
      </w:r>
      <w:r w:rsidR="00E7153B">
        <w:rPr>
          <w:rFonts w:ascii="Times New Roman" w:hAnsi="Times New Roman" w:cs="Times New Roman"/>
          <w:sz w:val="24"/>
          <w:szCs w:val="24"/>
        </w:rPr>
        <w:t>the utilization rate</w:t>
      </w:r>
      <w:r>
        <w:rPr>
          <w:rFonts w:ascii="Times New Roman" w:hAnsi="Times New Roman" w:cs="Times New Roman"/>
          <w:sz w:val="24"/>
          <w:szCs w:val="24"/>
        </w:rPr>
        <w:t xml:space="preserve">, even over the same time period, and this damages the </w:t>
      </w:r>
      <w:r w:rsidR="0044639A">
        <w:rPr>
          <w:rFonts w:ascii="Times New Roman" w:hAnsi="Times New Roman" w:cs="Times New Roman"/>
          <w:sz w:val="24"/>
          <w:szCs w:val="24"/>
        </w:rPr>
        <w:t>credibility of all such estimates</w:t>
      </w:r>
      <w:r w:rsidR="00740CA9">
        <w:rPr>
          <w:rFonts w:ascii="Times New Roman" w:hAnsi="Times New Roman" w:cs="Times New Roman"/>
          <w:sz w:val="24"/>
          <w:szCs w:val="24"/>
        </w:rPr>
        <w:t xml:space="preserve"> unless it can be demonstrated that one such methodology is clearly superior (which has not been done)</w:t>
      </w:r>
      <w:r w:rsidR="0044639A">
        <w:rPr>
          <w:rFonts w:ascii="Times New Roman" w:hAnsi="Times New Roman" w:cs="Times New Roman"/>
          <w:sz w:val="24"/>
          <w:szCs w:val="24"/>
        </w:rPr>
        <w:t xml:space="preserve">.  </w:t>
      </w:r>
      <w:r w:rsidR="00847F88">
        <w:rPr>
          <w:rFonts w:ascii="Times New Roman" w:hAnsi="Times New Roman" w:cs="Times New Roman"/>
          <w:sz w:val="24"/>
          <w:szCs w:val="24"/>
        </w:rPr>
        <w:t xml:space="preserve">Thirdly, </w:t>
      </w:r>
      <w:r w:rsidR="0044639A">
        <w:rPr>
          <w:rFonts w:ascii="Times New Roman" w:hAnsi="Times New Roman" w:cs="Times New Roman"/>
          <w:sz w:val="24"/>
          <w:szCs w:val="24"/>
        </w:rPr>
        <w:t xml:space="preserve">the variation over time in results from the same methodology </w:t>
      </w:r>
      <w:r w:rsidR="00740CA9">
        <w:rPr>
          <w:rFonts w:ascii="Times New Roman" w:hAnsi="Times New Roman" w:cs="Times New Roman"/>
          <w:sz w:val="24"/>
          <w:szCs w:val="24"/>
        </w:rPr>
        <w:t xml:space="preserve">does not exhibit a pattern that is consistent with changes in the tax regime, and this also </w:t>
      </w:r>
      <w:r w:rsidR="0044639A">
        <w:rPr>
          <w:rFonts w:ascii="Times New Roman" w:hAnsi="Times New Roman" w:cs="Times New Roman"/>
          <w:sz w:val="24"/>
          <w:szCs w:val="24"/>
        </w:rPr>
        <w:t xml:space="preserve">damages the credibility of all such estimates.  </w:t>
      </w:r>
      <w:r w:rsidR="00847F88">
        <w:rPr>
          <w:rFonts w:ascii="Times New Roman" w:hAnsi="Times New Roman" w:cs="Times New Roman"/>
          <w:sz w:val="24"/>
          <w:szCs w:val="24"/>
        </w:rPr>
        <w:t xml:space="preserve">Fourthly, despite the </w:t>
      </w:r>
      <w:r w:rsidR="00740CA9">
        <w:rPr>
          <w:rFonts w:ascii="Times New Roman" w:hAnsi="Times New Roman" w:cs="Times New Roman"/>
          <w:sz w:val="24"/>
          <w:szCs w:val="24"/>
        </w:rPr>
        <w:t xml:space="preserve">very large sample </w:t>
      </w:r>
      <w:r w:rsidR="002420B5">
        <w:rPr>
          <w:rFonts w:ascii="Times New Roman" w:hAnsi="Times New Roman" w:cs="Times New Roman"/>
          <w:sz w:val="24"/>
          <w:szCs w:val="24"/>
        </w:rPr>
        <w:t xml:space="preserve">size in Frontier’s analysis, </w:t>
      </w:r>
      <w:r w:rsidR="00740CA9">
        <w:rPr>
          <w:rFonts w:ascii="Times New Roman" w:hAnsi="Times New Roman" w:cs="Times New Roman"/>
          <w:sz w:val="24"/>
          <w:szCs w:val="24"/>
        </w:rPr>
        <w:t xml:space="preserve">there is considerable statistical </w:t>
      </w:r>
      <w:r w:rsidR="0044639A">
        <w:rPr>
          <w:rFonts w:ascii="Times New Roman" w:hAnsi="Times New Roman" w:cs="Times New Roman"/>
          <w:sz w:val="24"/>
          <w:szCs w:val="24"/>
        </w:rPr>
        <w:t xml:space="preserve">uncertainty </w:t>
      </w:r>
      <w:r w:rsidR="00740CA9">
        <w:rPr>
          <w:rFonts w:ascii="Times New Roman" w:hAnsi="Times New Roman" w:cs="Times New Roman"/>
          <w:sz w:val="24"/>
          <w:szCs w:val="24"/>
        </w:rPr>
        <w:t xml:space="preserve">in the results, arising </w:t>
      </w:r>
      <w:r w:rsidR="0044639A">
        <w:rPr>
          <w:rFonts w:ascii="Times New Roman" w:hAnsi="Times New Roman" w:cs="Times New Roman"/>
          <w:sz w:val="24"/>
          <w:szCs w:val="24"/>
        </w:rPr>
        <w:t xml:space="preserve">from ‘noise’ in the data (due to bid-ask bounce and to unrelated price movements over the cum to ex-day interval, aggravated by the high correlation between </w:t>
      </w:r>
      <w:r w:rsidR="0069677F">
        <w:rPr>
          <w:rFonts w:ascii="Times New Roman" w:hAnsi="Times New Roman" w:cs="Times New Roman"/>
          <w:sz w:val="24"/>
          <w:szCs w:val="24"/>
        </w:rPr>
        <w:t xml:space="preserve">the imputation </w:t>
      </w:r>
      <w:r w:rsidR="0044639A">
        <w:rPr>
          <w:rFonts w:ascii="Times New Roman" w:hAnsi="Times New Roman" w:cs="Times New Roman"/>
          <w:sz w:val="24"/>
          <w:szCs w:val="24"/>
        </w:rPr>
        <w:t>credits and the cash dividend which makes it difficult to identify the impact of only the credits on market prices even if t</w:t>
      </w:r>
      <w:r w:rsidR="00740CA9">
        <w:rPr>
          <w:rFonts w:ascii="Times New Roman" w:hAnsi="Times New Roman" w:cs="Times New Roman"/>
          <w:sz w:val="24"/>
          <w:szCs w:val="24"/>
        </w:rPr>
        <w:t xml:space="preserve">he aggregate effect </w:t>
      </w:r>
      <w:r w:rsidR="0069677F">
        <w:rPr>
          <w:rFonts w:ascii="Times New Roman" w:hAnsi="Times New Roman" w:cs="Times New Roman"/>
          <w:sz w:val="24"/>
          <w:szCs w:val="24"/>
        </w:rPr>
        <w:t xml:space="preserve">from the cash </w:t>
      </w:r>
      <w:r w:rsidR="009A7B4C">
        <w:rPr>
          <w:rFonts w:ascii="Times New Roman" w:hAnsi="Times New Roman" w:cs="Times New Roman"/>
          <w:sz w:val="24"/>
          <w:szCs w:val="24"/>
        </w:rPr>
        <w:t xml:space="preserve">dividend </w:t>
      </w:r>
      <w:r w:rsidR="0069677F">
        <w:rPr>
          <w:rFonts w:ascii="Times New Roman" w:hAnsi="Times New Roman" w:cs="Times New Roman"/>
          <w:sz w:val="24"/>
          <w:szCs w:val="24"/>
        </w:rPr>
        <w:t xml:space="preserve">and the credits </w:t>
      </w:r>
      <w:r w:rsidR="00740CA9">
        <w:rPr>
          <w:rFonts w:ascii="Times New Roman" w:hAnsi="Times New Roman" w:cs="Times New Roman"/>
          <w:sz w:val="24"/>
          <w:szCs w:val="24"/>
        </w:rPr>
        <w:t>were clear)</w:t>
      </w:r>
      <w:r w:rsidR="009274C2">
        <w:rPr>
          <w:rFonts w:ascii="Times New Roman" w:hAnsi="Times New Roman" w:cs="Times New Roman"/>
          <w:sz w:val="24"/>
          <w:szCs w:val="24"/>
        </w:rPr>
        <w:t xml:space="preserve">.  </w:t>
      </w:r>
    </w:p>
    <w:p w:rsidR="00C34A9E" w:rsidRDefault="00C34A9E" w:rsidP="0044639A">
      <w:pPr>
        <w:spacing w:after="0" w:line="360" w:lineRule="auto"/>
        <w:jc w:val="both"/>
        <w:rPr>
          <w:rFonts w:ascii="Times New Roman" w:hAnsi="Times New Roman" w:cs="Times New Roman"/>
          <w:sz w:val="24"/>
          <w:szCs w:val="24"/>
        </w:rPr>
      </w:pPr>
    </w:p>
    <w:p w:rsidR="0044639A" w:rsidRDefault="00936A32" w:rsidP="0044639A">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Fifthly, </w:t>
      </w:r>
      <w:r w:rsidR="0044639A">
        <w:rPr>
          <w:rFonts w:ascii="Times New Roman" w:hAnsi="Times New Roman" w:cs="Times New Roman"/>
          <w:sz w:val="24"/>
          <w:szCs w:val="24"/>
        </w:rPr>
        <w:t xml:space="preserve">despite </w:t>
      </w:r>
      <w:r w:rsidR="009274C2">
        <w:rPr>
          <w:rFonts w:ascii="Times New Roman" w:hAnsi="Times New Roman" w:cs="Times New Roman"/>
          <w:sz w:val="24"/>
          <w:szCs w:val="24"/>
        </w:rPr>
        <w:t xml:space="preserve">applying </w:t>
      </w:r>
      <w:r w:rsidR="0044639A">
        <w:rPr>
          <w:rFonts w:ascii="Times New Roman" w:hAnsi="Times New Roman" w:cs="Times New Roman"/>
          <w:sz w:val="24"/>
          <w:szCs w:val="24"/>
        </w:rPr>
        <w:t xml:space="preserve">the same methodology and data filtering rules </w:t>
      </w:r>
      <w:r w:rsidR="009274C2">
        <w:rPr>
          <w:rFonts w:ascii="Times New Roman" w:hAnsi="Times New Roman" w:cs="Times New Roman"/>
          <w:sz w:val="24"/>
          <w:szCs w:val="24"/>
        </w:rPr>
        <w:t xml:space="preserve">to </w:t>
      </w:r>
      <w:r w:rsidR="0044639A">
        <w:rPr>
          <w:rFonts w:ascii="Times New Roman" w:hAnsi="Times New Roman" w:cs="Times New Roman"/>
          <w:sz w:val="24"/>
          <w:szCs w:val="24"/>
        </w:rPr>
        <w:t xml:space="preserve">data from an almost identical period </w:t>
      </w:r>
      <w:r w:rsidR="002420B5">
        <w:rPr>
          <w:rFonts w:ascii="Times New Roman" w:hAnsi="Times New Roman" w:cs="Times New Roman"/>
          <w:sz w:val="24"/>
          <w:szCs w:val="24"/>
        </w:rPr>
        <w:t xml:space="preserve">to that in SFG (2013), being </w:t>
      </w:r>
      <w:r w:rsidR="0044639A">
        <w:rPr>
          <w:rFonts w:ascii="Times New Roman" w:hAnsi="Times New Roman" w:cs="Times New Roman"/>
          <w:sz w:val="24"/>
          <w:szCs w:val="24"/>
        </w:rPr>
        <w:t xml:space="preserve">July 2001 to July 2012 versus July 2001 </w:t>
      </w:r>
      <w:r w:rsidR="002420B5">
        <w:rPr>
          <w:rFonts w:ascii="Times New Roman" w:hAnsi="Times New Roman" w:cs="Times New Roman"/>
          <w:sz w:val="24"/>
          <w:szCs w:val="24"/>
        </w:rPr>
        <w:t>to October 2012</w:t>
      </w:r>
      <w:r w:rsidR="0044639A">
        <w:rPr>
          <w:rFonts w:ascii="Times New Roman" w:hAnsi="Times New Roman" w:cs="Times New Roman"/>
          <w:sz w:val="24"/>
          <w:szCs w:val="24"/>
        </w:rPr>
        <w:t xml:space="preserve">, Vo et al </w:t>
      </w:r>
      <w:r w:rsidR="009274C2">
        <w:rPr>
          <w:rFonts w:ascii="Times New Roman" w:hAnsi="Times New Roman" w:cs="Times New Roman"/>
          <w:sz w:val="24"/>
          <w:szCs w:val="24"/>
        </w:rPr>
        <w:t>(2013) and SFG (2013</w:t>
      </w:r>
      <w:r w:rsidR="0044639A">
        <w:rPr>
          <w:rFonts w:ascii="Times New Roman" w:hAnsi="Times New Roman" w:cs="Times New Roman"/>
          <w:sz w:val="24"/>
          <w:szCs w:val="24"/>
        </w:rPr>
        <w:t xml:space="preserve">) generate some quite </w:t>
      </w:r>
      <w:r w:rsidR="00D05A42">
        <w:rPr>
          <w:rFonts w:ascii="Times New Roman" w:hAnsi="Times New Roman" w:cs="Times New Roman"/>
          <w:sz w:val="24"/>
          <w:szCs w:val="24"/>
        </w:rPr>
        <w:t xml:space="preserve">significant </w:t>
      </w:r>
      <w:r w:rsidR="0044639A">
        <w:rPr>
          <w:rFonts w:ascii="Times New Roman" w:hAnsi="Times New Roman" w:cs="Times New Roman"/>
          <w:sz w:val="24"/>
          <w:szCs w:val="24"/>
        </w:rPr>
        <w:t xml:space="preserve">differences in </w:t>
      </w:r>
      <w:r w:rsidR="002420B5">
        <w:rPr>
          <w:rFonts w:ascii="Times New Roman" w:hAnsi="Times New Roman" w:cs="Times New Roman"/>
          <w:sz w:val="24"/>
          <w:szCs w:val="24"/>
        </w:rPr>
        <w:t>both the point estimates for the coefficients on the credits and their standard errors</w:t>
      </w:r>
      <w:r w:rsidR="0044639A">
        <w:rPr>
          <w:rFonts w:ascii="Times New Roman" w:hAnsi="Times New Roman" w:cs="Times New Roman"/>
          <w:sz w:val="24"/>
          <w:szCs w:val="24"/>
        </w:rPr>
        <w:t xml:space="preserve">.  </w:t>
      </w:r>
      <w:r w:rsidR="002420B5">
        <w:rPr>
          <w:rFonts w:ascii="Times New Roman" w:hAnsi="Times New Roman" w:cs="Times New Roman"/>
          <w:sz w:val="24"/>
          <w:szCs w:val="24"/>
        </w:rPr>
        <w:t xml:space="preserve">This damages the credibility of both sets of estimates.  </w:t>
      </w:r>
      <w:r>
        <w:rPr>
          <w:rFonts w:ascii="Times New Roman" w:hAnsi="Times New Roman" w:cs="Times New Roman"/>
          <w:sz w:val="24"/>
          <w:szCs w:val="24"/>
        </w:rPr>
        <w:t xml:space="preserve">Sixthly, </w:t>
      </w:r>
      <w:r w:rsidR="009274C2">
        <w:rPr>
          <w:rFonts w:ascii="Times New Roman" w:hAnsi="Times New Roman" w:cs="Times New Roman"/>
          <w:sz w:val="24"/>
          <w:szCs w:val="24"/>
        </w:rPr>
        <w:t xml:space="preserve">Frontier’s method of assessing the impact of outliers on the result (by progressively </w:t>
      </w:r>
      <w:r w:rsidR="00453DA7">
        <w:rPr>
          <w:rFonts w:ascii="Times New Roman" w:hAnsi="Times New Roman" w:cs="Times New Roman"/>
          <w:sz w:val="24"/>
          <w:szCs w:val="24"/>
        </w:rPr>
        <w:t xml:space="preserve">removing the 20 most </w:t>
      </w:r>
      <w:r w:rsidR="009274C2">
        <w:rPr>
          <w:rFonts w:ascii="Times New Roman" w:hAnsi="Times New Roman" w:cs="Times New Roman"/>
          <w:sz w:val="24"/>
          <w:szCs w:val="24"/>
        </w:rPr>
        <w:t xml:space="preserve">extreme pairs of observations comprising the one that exerts the most upward effect on the </w:t>
      </w:r>
      <w:r w:rsidR="006769A8">
        <w:rPr>
          <w:rFonts w:ascii="Times New Roman" w:hAnsi="Times New Roman" w:cs="Times New Roman"/>
          <w:sz w:val="24"/>
          <w:szCs w:val="24"/>
        </w:rPr>
        <w:t xml:space="preserve">estimated </w:t>
      </w:r>
      <w:r w:rsidR="009274C2">
        <w:rPr>
          <w:rFonts w:ascii="Times New Roman" w:hAnsi="Times New Roman" w:cs="Times New Roman"/>
          <w:sz w:val="24"/>
          <w:szCs w:val="24"/>
        </w:rPr>
        <w:t>franking credit coefficient and the one exerting the most downward effect</w:t>
      </w:r>
      <w:r w:rsidR="00847F88">
        <w:rPr>
          <w:rFonts w:ascii="Times New Roman" w:hAnsi="Times New Roman" w:cs="Times New Roman"/>
          <w:sz w:val="24"/>
          <w:szCs w:val="24"/>
        </w:rPr>
        <w:t xml:space="preserve">, and rerunning the model after each pair </w:t>
      </w:r>
      <w:r w:rsidR="00D05A42">
        <w:rPr>
          <w:rFonts w:ascii="Times New Roman" w:hAnsi="Times New Roman" w:cs="Times New Roman"/>
          <w:sz w:val="24"/>
          <w:szCs w:val="24"/>
        </w:rPr>
        <w:t xml:space="preserve">is </w:t>
      </w:r>
      <w:r w:rsidR="00847F88">
        <w:rPr>
          <w:rFonts w:ascii="Times New Roman" w:hAnsi="Times New Roman" w:cs="Times New Roman"/>
          <w:sz w:val="24"/>
          <w:szCs w:val="24"/>
        </w:rPr>
        <w:t>deleted</w:t>
      </w:r>
      <w:r w:rsidR="009274C2">
        <w:rPr>
          <w:rFonts w:ascii="Times New Roman" w:hAnsi="Times New Roman" w:cs="Times New Roman"/>
          <w:sz w:val="24"/>
          <w:szCs w:val="24"/>
        </w:rPr>
        <w:t xml:space="preserve">) is unconventional and </w:t>
      </w:r>
      <w:r w:rsidR="006769A8">
        <w:rPr>
          <w:rFonts w:ascii="Times New Roman" w:hAnsi="Times New Roman" w:cs="Times New Roman"/>
          <w:sz w:val="24"/>
          <w:szCs w:val="24"/>
        </w:rPr>
        <w:t xml:space="preserve">would have the effect of suppressing </w:t>
      </w:r>
      <w:r w:rsidR="00D05A42">
        <w:rPr>
          <w:rFonts w:ascii="Times New Roman" w:hAnsi="Times New Roman" w:cs="Times New Roman"/>
          <w:sz w:val="24"/>
          <w:szCs w:val="24"/>
        </w:rPr>
        <w:t xml:space="preserve">the apparent </w:t>
      </w:r>
      <w:r w:rsidR="006769A8">
        <w:rPr>
          <w:rFonts w:ascii="Times New Roman" w:hAnsi="Times New Roman" w:cs="Times New Roman"/>
          <w:sz w:val="24"/>
          <w:szCs w:val="24"/>
        </w:rPr>
        <w:t xml:space="preserve">impact </w:t>
      </w:r>
      <w:r w:rsidR="00D05A42">
        <w:rPr>
          <w:rFonts w:ascii="Times New Roman" w:hAnsi="Times New Roman" w:cs="Times New Roman"/>
          <w:sz w:val="24"/>
          <w:szCs w:val="24"/>
        </w:rPr>
        <w:t xml:space="preserve">of outliers </w:t>
      </w:r>
      <w:r w:rsidR="006769A8">
        <w:rPr>
          <w:rFonts w:ascii="Times New Roman" w:hAnsi="Times New Roman" w:cs="Times New Roman"/>
          <w:sz w:val="24"/>
          <w:szCs w:val="24"/>
        </w:rPr>
        <w:t>upon the estima</w:t>
      </w:r>
      <w:r w:rsidR="00A915C8">
        <w:rPr>
          <w:rFonts w:ascii="Times New Roman" w:hAnsi="Times New Roman" w:cs="Times New Roman"/>
          <w:sz w:val="24"/>
          <w:szCs w:val="24"/>
        </w:rPr>
        <w:t>ted franking credit coefficient.  Consistent</w:t>
      </w:r>
      <w:r w:rsidR="000C7D3A">
        <w:rPr>
          <w:rFonts w:ascii="Times New Roman" w:hAnsi="Times New Roman" w:cs="Times New Roman"/>
          <w:sz w:val="24"/>
          <w:szCs w:val="24"/>
        </w:rPr>
        <w:t xml:space="preserve"> with this, Vo et al’s</w:t>
      </w:r>
      <w:r w:rsidR="00847F88">
        <w:rPr>
          <w:rFonts w:ascii="Times New Roman" w:hAnsi="Times New Roman" w:cs="Times New Roman"/>
          <w:sz w:val="24"/>
          <w:szCs w:val="24"/>
        </w:rPr>
        <w:t xml:space="preserve"> </w:t>
      </w:r>
      <w:r w:rsidR="00A10C76">
        <w:rPr>
          <w:rFonts w:ascii="Times New Roman" w:hAnsi="Times New Roman" w:cs="Times New Roman"/>
          <w:sz w:val="24"/>
          <w:szCs w:val="24"/>
        </w:rPr>
        <w:t xml:space="preserve">(2013) </w:t>
      </w:r>
      <w:r w:rsidR="00847F88">
        <w:rPr>
          <w:rFonts w:ascii="Times New Roman" w:hAnsi="Times New Roman" w:cs="Times New Roman"/>
          <w:sz w:val="24"/>
          <w:szCs w:val="24"/>
        </w:rPr>
        <w:t>more conventional approach (of progressively removing the 30 most extreme observations in absolute terms, and rerunning the model after each deletion) shows more variation in the</w:t>
      </w:r>
      <w:r>
        <w:rPr>
          <w:rFonts w:ascii="Times New Roman" w:hAnsi="Times New Roman" w:cs="Times New Roman"/>
          <w:sz w:val="24"/>
          <w:szCs w:val="24"/>
        </w:rPr>
        <w:t xml:space="preserve"> results.</w:t>
      </w:r>
      <w:r w:rsidR="00A10C76">
        <w:rPr>
          <w:rStyle w:val="FootnoteReference"/>
          <w:rFonts w:ascii="Times New Roman" w:hAnsi="Times New Roman" w:cs="Times New Roman"/>
          <w:sz w:val="24"/>
          <w:szCs w:val="24"/>
        </w:rPr>
        <w:footnoteReference w:id="1"/>
      </w:r>
      <w:r>
        <w:rPr>
          <w:rFonts w:ascii="Times New Roman" w:hAnsi="Times New Roman" w:cs="Times New Roman"/>
          <w:sz w:val="24"/>
          <w:szCs w:val="24"/>
        </w:rPr>
        <w:t xml:space="preserve">  Seventhly, </w:t>
      </w:r>
      <w:r w:rsidR="0044639A">
        <w:rPr>
          <w:rFonts w:ascii="Times New Roman" w:hAnsi="Times New Roman" w:cs="Times New Roman"/>
          <w:sz w:val="24"/>
          <w:szCs w:val="24"/>
        </w:rPr>
        <w:t xml:space="preserve">and in respect of the robust regression models used by both </w:t>
      </w:r>
      <w:r w:rsidR="00622C70">
        <w:rPr>
          <w:rFonts w:ascii="Times New Roman" w:hAnsi="Times New Roman" w:cs="Times New Roman"/>
          <w:sz w:val="24"/>
          <w:szCs w:val="24"/>
        </w:rPr>
        <w:t xml:space="preserve">Frontier (2016a) </w:t>
      </w:r>
      <w:r w:rsidR="0044639A">
        <w:rPr>
          <w:rFonts w:ascii="Times New Roman" w:hAnsi="Times New Roman" w:cs="Times New Roman"/>
          <w:sz w:val="24"/>
          <w:szCs w:val="24"/>
        </w:rPr>
        <w:t>and Vo et al</w:t>
      </w:r>
      <w:r>
        <w:rPr>
          <w:rFonts w:ascii="Times New Roman" w:hAnsi="Times New Roman" w:cs="Times New Roman"/>
          <w:sz w:val="24"/>
          <w:szCs w:val="24"/>
        </w:rPr>
        <w:t xml:space="preserve"> (2013)</w:t>
      </w:r>
      <w:r w:rsidR="0044639A">
        <w:rPr>
          <w:rFonts w:ascii="Times New Roman" w:hAnsi="Times New Roman" w:cs="Times New Roman"/>
          <w:sz w:val="24"/>
          <w:szCs w:val="24"/>
        </w:rPr>
        <w:t xml:space="preserve">, </w:t>
      </w:r>
      <w:r w:rsidR="00622C70">
        <w:rPr>
          <w:rFonts w:ascii="Times New Roman" w:hAnsi="Times New Roman" w:cs="Times New Roman"/>
          <w:sz w:val="24"/>
          <w:szCs w:val="24"/>
        </w:rPr>
        <w:t xml:space="preserve">Frontier </w:t>
      </w:r>
      <w:r w:rsidR="00D05A42">
        <w:rPr>
          <w:rFonts w:ascii="Times New Roman" w:hAnsi="Times New Roman" w:cs="Times New Roman"/>
          <w:sz w:val="24"/>
          <w:szCs w:val="24"/>
        </w:rPr>
        <w:t xml:space="preserve">adopts the default option value for the “tuning coefficient” in the models whilst Vo et al </w:t>
      </w:r>
      <w:r w:rsidR="007C6571">
        <w:rPr>
          <w:rFonts w:ascii="Times New Roman" w:hAnsi="Times New Roman" w:cs="Times New Roman"/>
          <w:sz w:val="24"/>
          <w:szCs w:val="24"/>
        </w:rPr>
        <w:t xml:space="preserve">considers </w:t>
      </w:r>
      <w:r w:rsidR="0044639A">
        <w:rPr>
          <w:rFonts w:ascii="Times New Roman" w:hAnsi="Times New Roman" w:cs="Times New Roman"/>
          <w:sz w:val="24"/>
          <w:szCs w:val="24"/>
        </w:rPr>
        <w:t xml:space="preserve">various values of </w:t>
      </w:r>
      <w:r w:rsidR="00D05A42">
        <w:rPr>
          <w:rFonts w:ascii="Times New Roman" w:hAnsi="Times New Roman" w:cs="Times New Roman"/>
          <w:sz w:val="24"/>
          <w:szCs w:val="24"/>
        </w:rPr>
        <w:t xml:space="preserve">this </w:t>
      </w:r>
      <w:r w:rsidR="0044639A">
        <w:rPr>
          <w:rFonts w:ascii="Times New Roman" w:hAnsi="Times New Roman" w:cs="Times New Roman"/>
          <w:sz w:val="24"/>
          <w:szCs w:val="24"/>
        </w:rPr>
        <w:t xml:space="preserve">“tuning </w:t>
      </w:r>
      <w:r w:rsidR="00D05A42">
        <w:rPr>
          <w:rFonts w:ascii="Times New Roman" w:hAnsi="Times New Roman" w:cs="Times New Roman"/>
          <w:sz w:val="24"/>
          <w:szCs w:val="24"/>
        </w:rPr>
        <w:t xml:space="preserve">coefficient” and </w:t>
      </w:r>
      <w:r w:rsidR="00622C70">
        <w:rPr>
          <w:rFonts w:ascii="Times New Roman" w:hAnsi="Times New Roman" w:cs="Times New Roman"/>
          <w:sz w:val="24"/>
          <w:szCs w:val="24"/>
        </w:rPr>
        <w:t xml:space="preserve">obtains </w:t>
      </w:r>
      <w:r w:rsidR="0044639A">
        <w:rPr>
          <w:rFonts w:ascii="Times New Roman" w:hAnsi="Times New Roman" w:cs="Times New Roman"/>
          <w:sz w:val="24"/>
          <w:szCs w:val="24"/>
        </w:rPr>
        <w:t xml:space="preserve">significantly different estimates of the coefficient on franking credits </w:t>
      </w:r>
      <w:r w:rsidR="00622C70">
        <w:rPr>
          <w:rFonts w:ascii="Times New Roman" w:hAnsi="Times New Roman" w:cs="Times New Roman"/>
          <w:sz w:val="24"/>
          <w:szCs w:val="24"/>
        </w:rPr>
        <w:t xml:space="preserve">to that of SFG (2013), </w:t>
      </w:r>
      <w:r w:rsidR="0044639A">
        <w:rPr>
          <w:rFonts w:ascii="Times New Roman" w:hAnsi="Times New Roman" w:cs="Times New Roman"/>
          <w:sz w:val="24"/>
          <w:szCs w:val="24"/>
        </w:rPr>
        <w:t>across the range of values for</w:t>
      </w:r>
      <w:r w:rsidR="00622C70">
        <w:rPr>
          <w:rFonts w:ascii="Times New Roman" w:hAnsi="Times New Roman" w:cs="Times New Roman"/>
          <w:sz w:val="24"/>
          <w:szCs w:val="24"/>
        </w:rPr>
        <w:t xml:space="preserve"> the tuning coefficient and </w:t>
      </w:r>
      <w:r w:rsidR="00D4065F">
        <w:rPr>
          <w:rFonts w:ascii="Times New Roman" w:hAnsi="Times New Roman" w:cs="Times New Roman"/>
          <w:sz w:val="24"/>
          <w:szCs w:val="24"/>
        </w:rPr>
        <w:t xml:space="preserve">for each of SFG’s four models.  </w:t>
      </w:r>
      <w:r>
        <w:rPr>
          <w:rFonts w:ascii="Times New Roman" w:hAnsi="Times New Roman" w:cs="Times New Roman"/>
          <w:sz w:val="24"/>
          <w:szCs w:val="24"/>
        </w:rPr>
        <w:t xml:space="preserve">Eighthly, Frontier do not </w:t>
      </w:r>
      <w:r w:rsidR="0044639A">
        <w:rPr>
          <w:rFonts w:ascii="Times New Roman" w:hAnsi="Times New Roman" w:cs="Times New Roman"/>
          <w:sz w:val="24"/>
          <w:szCs w:val="24"/>
        </w:rPr>
        <w:t>include a constant in their regression model</w:t>
      </w:r>
      <w:r>
        <w:rPr>
          <w:rFonts w:ascii="Times New Roman" w:hAnsi="Times New Roman" w:cs="Times New Roman"/>
          <w:sz w:val="24"/>
          <w:szCs w:val="24"/>
        </w:rPr>
        <w:t xml:space="preserve">, the </w:t>
      </w:r>
      <w:r w:rsidR="0044639A" w:rsidRPr="00921692">
        <w:rPr>
          <w:rFonts w:ascii="Times New Roman" w:hAnsi="Times New Roman" w:cs="Times New Roman"/>
          <w:sz w:val="24"/>
          <w:szCs w:val="24"/>
        </w:rPr>
        <w:t xml:space="preserve">case for doing so is </w:t>
      </w:r>
      <w:r w:rsidR="0044639A">
        <w:rPr>
          <w:rFonts w:ascii="Times New Roman" w:hAnsi="Times New Roman" w:cs="Times New Roman"/>
          <w:sz w:val="24"/>
          <w:szCs w:val="24"/>
        </w:rPr>
        <w:t>not clear cut</w:t>
      </w:r>
      <w:r w:rsidR="00032060">
        <w:rPr>
          <w:rFonts w:ascii="Times New Roman" w:hAnsi="Times New Roman" w:cs="Times New Roman"/>
          <w:sz w:val="24"/>
          <w:szCs w:val="24"/>
        </w:rPr>
        <w:t xml:space="preserve">, and </w:t>
      </w:r>
      <w:r w:rsidR="0044639A">
        <w:rPr>
          <w:rFonts w:ascii="Times New Roman" w:hAnsi="Times New Roman" w:cs="Times New Roman"/>
          <w:sz w:val="24"/>
          <w:szCs w:val="24"/>
        </w:rPr>
        <w:t xml:space="preserve">omission of the constant could materially alter the estimate for the </w:t>
      </w:r>
      <w:r w:rsidR="00E7153B">
        <w:rPr>
          <w:rFonts w:ascii="Times New Roman" w:hAnsi="Times New Roman" w:cs="Times New Roman"/>
          <w:sz w:val="24"/>
          <w:szCs w:val="24"/>
        </w:rPr>
        <w:t>coefficient on the franking credits</w:t>
      </w:r>
      <w:r w:rsidR="0044639A">
        <w:rPr>
          <w:rFonts w:ascii="Times New Roman" w:hAnsi="Times New Roman" w:cs="Times New Roman"/>
          <w:sz w:val="24"/>
          <w:szCs w:val="24"/>
        </w:rPr>
        <w:t xml:space="preserve">.  </w:t>
      </w:r>
    </w:p>
    <w:p w:rsidR="0044639A" w:rsidRDefault="0044639A" w:rsidP="0044639A">
      <w:pPr>
        <w:spacing w:after="0" w:line="360" w:lineRule="auto"/>
        <w:jc w:val="both"/>
        <w:rPr>
          <w:rFonts w:ascii="Times New Roman" w:hAnsi="Times New Roman" w:cs="Times New Roman"/>
          <w:sz w:val="24"/>
          <w:szCs w:val="24"/>
        </w:rPr>
      </w:pPr>
    </w:p>
    <w:p w:rsidR="0044639A" w:rsidRDefault="00936A32" w:rsidP="0073716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Ninthly, </w:t>
      </w:r>
      <w:r w:rsidR="00C34A9E">
        <w:rPr>
          <w:rFonts w:ascii="Times New Roman" w:hAnsi="Times New Roman" w:cs="Times New Roman"/>
          <w:sz w:val="24"/>
          <w:szCs w:val="24"/>
        </w:rPr>
        <w:t xml:space="preserve">Frontier (2016a) </w:t>
      </w:r>
      <w:r w:rsidR="00095D3C">
        <w:rPr>
          <w:rFonts w:ascii="Times New Roman" w:hAnsi="Times New Roman" w:cs="Times New Roman"/>
          <w:sz w:val="24"/>
          <w:szCs w:val="24"/>
        </w:rPr>
        <w:t xml:space="preserve">deletes </w:t>
      </w:r>
      <w:r w:rsidR="0044639A">
        <w:rPr>
          <w:rFonts w:ascii="Times New Roman" w:hAnsi="Times New Roman" w:cs="Times New Roman"/>
          <w:sz w:val="24"/>
          <w:szCs w:val="24"/>
        </w:rPr>
        <w:t xml:space="preserve">observations from companies with a market cap below 0.03% of the market index.  Since </w:t>
      </w:r>
      <w:r w:rsidR="00622C70">
        <w:rPr>
          <w:rFonts w:ascii="Times New Roman" w:hAnsi="Times New Roman" w:cs="Times New Roman"/>
          <w:sz w:val="24"/>
          <w:szCs w:val="24"/>
        </w:rPr>
        <w:t xml:space="preserve">they also (sensibly) delete </w:t>
      </w:r>
      <w:r w:rsidR="0044639A">
        <w:rPr>
          <w:rFonts w:ascii="Times New Roman" w:hAnsi="Times New Roman" w:cs="Times New Roman"/>
          <w:sz w:val="24"/>
          <w:szCs w:val="24"/>
        </w:rPr>
        <w:t xml:space="preserve">observations </w:t>
      </w:r>
      <w:r w:rsidR="00622C70">
        <w:rPr>
          <w:rFonts w:ascii="Times New Roman" w:hAnsi="Times New Roman" w:cs="Times New Roman"/>
          <w:sz w:val="24"/>
          <w:szCs w:val="24"/>
        </w:rPr>
        <w:t xml:space="preserve">if </w:t>
      </w:r>
      <w:r w:rsidR="0044639A">
        <w:rPr>
          <w:rFonts w:ascii="Times New Roman" w:hAnsi="Times New Roman" w:cs="Times New Roman"/>
          <w:sz w:val="24"/>
          <w:szCs w:val="24"/>
        </w:rPr>
        <w:t xml:space="preserve">trades are not present on both the cum and ex-dividend dates, this company size rule has no </w:t>
      </w:r>
      <w:r w:rsidR="00622C70">
        <w:rPr>
          <w:rFonts w:ascii="Times New Roman" w:hAnsi="Times New Roman" w:cs="Times New Roman"/>
          <w:sz w:val="24"/>
          <w:szCs w:val="24"/>
        </w:rPr>
        <w:t>apparent merit</w:t>
      </w:r>
      <w:r w:rsidR="0044639A">
        <w:rPr>
          <w:rFonts w:ascii="Times New Roman" w:hAnsi="Times New Roman" w:cs="Times New Roman"/>
          <w:sz w:val="24"/>
          <w:szCs w:val="24"/>
        </w:rPr>
        <w:t xml:space="preserve">.  Furthermore, the choice of 0.03% is highly </w:t>
      </w:r>
      <w:r w:rsidR="0044639A" w:rsidRPr="00921692">
        <w:rPr>
          <w:rFonts w:ascii="Times New Roman" w:hAnsi="Times New Roman" w:cs="Times New Roman"/>
          <w:sz w:val="24"/>
          <w:szCs w:val="24"/>
        </w:rPr>
        <w:t>arbitrary</w:t>
      </w:r>
      <w:r w:rsidR="00095D3C">
        <w:rPr>
          <w:rFonts w:ascii="Times New Roman" w:hAnsi="Times New Roman" w:cs="Times New Roman"/>
          <w:sz w:val="24"/>
          <w:szCs w:val="24"/>
        </w:rPr>
        <w:t>,</w:t>
      </w:r>
      <w:r w:rsidR="0044639A">
        <w:rPr>
          <w:rFonts w:ascii="Times New Roman" w:hAnsi="Times New Roman" w:cs="Times New Roman"/>
          <w:sz w:val="24"/>
          <w:szCs w:val="24"/>
        </w:rPr>
        <w:t xml:space="preserve"> the rule tends to exclude observations that are least likely to be contaminated by tax arbitrage (the </w:t>
      </w:r>
      <w:r w:rsidR="0044639A" w:rsidRPr="00921692">
        <w:rPr>
          <w:rFonts w:ascii="Times New Roman" w:hAnsi="Times New Roman" w:cs="Times New Roman"/>
          <w:sz w:val="24"/>
          <w:szCs w:val="24"/>
        </w:rPr>
        <w:t>best</w:t>
      </w:r>
      <w:r w:rsidR="0044639A">
        <w:rPr>
          <w:rFonts w:ascii="Times New Roman" w:hAnsi="Times New Roman" w:cs="Times New Roman"/>
          <w:sz w:val="24"/>
          <w:szCs w:val="24"/>
        </w:rPr>
        <w:t xml:space="preserve"> ones), and the rule may have significantly </w:t>
      </w:r>
      <w:r w:rsidR="0044639A" w:rsidRPr="00921692">
        <w:rPr>
          <w:rFonts w:ascii="Times New Roman" w:hAnsi="Times New Roman" w:cs="Times New Roman"/>
          <w:sz w:val="24"/>
          <w:szCs w:val="24"/>
        </w:rPr>
        <w:t>biased</w:t>
      </w:r>
      <w:r w:rsidR="00220DA0">
        <w:rPr>
          <w:rFonts w:ascii="Times New Roman" w:hAnsi="Times New Roman" w:cs="Times New Roman"/>
          <w:sz w:val="24"/>
          <w:szCs w:val="24"/>
        </w:rPr>
        <w:t xml:space="preserve"> </w:t>
      </w:r>
      <w:r w:rsidR="00095D3C">
        <w:rPr>
          <w:rFonts w:ascii="Times New Roman" w:hAnsi="Times New Roman" w:cs="Times New Roman"/>
          <w:sz w:val="24"/>
          <w:szCs w:val="24"/>
        </w:rPr>
        <w:t xml:space="preserve">Frontier’s </w:t>
      </w:r>
      <w:r w:rsidR="00220DA0">
        <w:rPr>
          <w:rFonts w:ascii="Times New Roman" w:hAnsi="Times New Roman" w:cs="Times New Roman"/>
          <w:sz w:val="24"/>
          <w:szCs w:val="24"/>
        </w:rPr>
        <w:t xml:space="preserve">results.  </w:t>
      </w:r>
      <w:r w:rsidR="00E05455">
        <w:rPr>
          <w:rFonts w:ascii="Times New Roman" w:hAnsi="Times New Roman" w:cs="Times New Roman"/>
          <w:sz w:val="24"/>
          <w:szCs w:val="24"/>
        </w:rPr>
        <w:t xml:space="preserve">Tenthly, </w:t>
      </w:r>
      <w:r w:rsidR="00023C39">
        <w:rPr>
          <w:rFonts w:ascii="Times New Roman" w:hAnsi="Times New Roman" w:cs="Times New Roman"/>
          <w:sz w:val="24"/>
          <w:szCs w:val="24"/>
        </w:rPr>
        <w:t xml:space="preserve">Frontier (2016a) favours results from Model 4, but </w:t>
      </w:r>
      <w:r w:rsidR="00D05A42">
        <w:rPr>
          <w:rFonts w:ascii="Times New Roman" w:hAnsi="Times New Roman" w:cs="Times New Roman"/>
          <w:sz w:val="24"/>
          <w:szCs w:val="24"/>
        </w:rPr>
        <w:t xml:space="preserve">their </w:t>
      </w:r>
      <w:r w:rsidR="00023C39">
        <w:rPr>
          <w:rFonts w:ascii="Times New Roman" w:hAnsi="Times New Roman" w:cs="Times New Roman"/>
          <w:sz w:val="24"/>
          <w:szCs w:val="24"/>
        </w:rPr>
        <w:t xml:space="preserve">basis for doing so </w:t>
      </w:r>
      <w:r w:rsidR="00F56CE5">
        <w:rPr>
          <w:rFonts w:ascii="Times New Roman" w:hAnsi="Times New Roman" w:cs="Times New Roman"/>
          <w:sz w:val="24"/>
          <w:szCs w:val="24"/>
        </w:rPr>
        <w:t xml:space="preserve">(as described in SFG, 2011) </w:t>
      </w:r>
      <w:r w:rsidR="00023C39">
        <w:rPr>
          <w:rFonts w:ascii="Times New Roman" w:hAnsi="Times New Roman" w:cs="Times New Roman"/>
          <w:sz w:val="24"/>
          <w:szCs w:val="24"/>
        </w:rPr>
        <w:t xml:space="preserve">is inadequate in failing to use </w:t>
      </w:r>
      <w:r w:rsidR="00023C39">
        <w:rPr>
          <w:rFonts w:ascii="Times New Roman" w:hAnsi="Times New Roman" w:cs="Times New Roman"/>
          <w:sz w:val="24"/>
          <w:szCs w:val="24"/>
        </w:rPr>
        <w:lastRenderedPageBreak/>
        <w:t>formal tests and in using the wrong type of graphical analysis</w:t>
      </w:r>
      <w:r w:rsidR="00220DA0">
        <w:rPr>
          <w:rFonts w:ascii="Times New Roman" w:hAnsi="Times New Roman" w:cs="Times New Roman"/>
          <w:sz w:val="24"/>
          <w:szCs w:val="24"/>
        </w:rPr>
        <w:t>.</w:t>
      </w:r>
      <w:r w:rsidR="00032060">
        <w:rPr>
          <w:rStyle w:val="FootnoteReference"/>
          <w:rFonts w:ascii="Times New Roman" w:hAnsi="Times New Roman" w:cs="Times New Roman"/>
          <w:sz w:val="24"/>
          <w:szCs w:val="24"/>
        </w:rPr>
        <w:footnoteReference w:id="2"/>
      </w:r>
      <w:r w:rsidR="00220DA0">
        <w:rPr>
          <w:rFonts w:ascii="Times New Roman" w:hAnsi="Times New Roman" w:cs="Times New Roman"/>
          <w:sz w:val="24"/>
          <w:szCs w:val="24"/>
        </w:rPr>
        <w:t xml:space="preserve">  </w:t>
      </w:r>
      <w:r w:rsidR="007C7F19">
        <w:rPr>
          <w:rFonts w:ascii="Times New Roman" w:hAnsi="Times New Roman" w:cs="Times New Roman"/>
          <w:sz w:val="24"/>
          <w:szCs w:val="24"/>
        </w:rPr>
        <w:t xml:space="preserve">Eleventhly, </w:t>
      </w:r>
      <w:r w:rsidR="0044639A">
        <w:rPr>
          <w:rFonts w:ascii="Times New Roman" w:hAnsi="Times New Roman" w:cs="Times New Roman"/>
          <w:sz w:val="24"/>
          <w:szCs w:val="24"/>
        </w:rPr>
        <w:t xml:space="preserve">although the utilisation rate is a value-weighted average over all investors in the market, the use of </w:t>
      </w:r>
      <w:r w:rsidR="00622C70">
        <w:rPr>
          <w:rFonts w:ascii="Times New Roman" w:hAnsi="Times New Roman" w:cs="Times New Roman"/>
          <w:sz w:val="24"/>
          <w:szCs w:val="24"/>
        </w:rPr>
        <w:t xml:space="preserve">DDO studies </w:t>
      </w:r>
      <w:r w:rsidR="0044639A">
        <w:rPr>
          <w:rFonts w:ascii="Times New Roman" w:hAnsi="Times New Roman" w:cs="Times New Roman"/>
          <w:sz w:val="24"/>
          <w:szCs w:val="24"/>
        </w:rPr>
        <w:t xml:space="preserve">will </w:t>
      </w:r>
      <w:r w:rsidR="0044639A" w:rsidRPr="00E73E49">
        <w:rPr>
          <w:rFonts w:ascii="Times New Roman" w:hAnsi="Times New Roman" w:cs="Times New Roman"/>
          <w:sz w:val="24"/>
          <w:szCs w:val="24"/>
        </w:rPr>
        <w:t xml:space="preserve">produce an estimate </w:t>
      </w:r>
      <w:r w:rsidR="00E7153B" w:rsidRPr="00E73E49">
        <w:rPr>
          <w:rFonts w:ascii="Times New Roman" w:hAnsi="Times New Roman" w:cs="Times New Roman"/>
          <w:sz w:val="24"/>
          <w:szCs w:val="24"/>
        </w:rPr>
        <w:t xml:space="preserve">of it </w:t>
      </w:r>
      <w:r w:rsidR="0044639A" w:rsidRPr="00E73E49">
        <w:rPr>
          <w:rFonts w:ascii="Times New Roman" w:hAnsi="Times New Roman" w:cs="Times New Roman"/>
          <w:sz w:val="24"/>
          <w:szCs w:val="24"/>
        </w:rPr>
        <w:t xml:space="preserve">that reflects the </w:t>
      </w:r>
      <w:r w:rsidR="00C82C63" w:rsidRPr="00E73E49">
        <w:rPr>
          <w:rFonts w:ascii="Times New Roman" w:hAnsi="Times New Roman" w:cs="Times New Roman"/>
          <w:sz w:val="24"/>
          <w:szCs w:val="24"/>
        </w:rPr>
        <w:t>actions of tax arbitrageurs</w:t>
      </w:r>
      <w:r w:rsidR="00C82C63">
        <w:rPr>
          <w:rFonts w:ascii="Times New Roman" w:hAnsi="Times New Roman" w:cs="Times New Roman"/>
          <w:sz w:val="24"/>
          <w:szCs w:val="24"/>
        </w:rPr>
        <w:t>,</w:t>
      </w:r>
      <w:r w:rsidR="0044639A">
        <w:rPr>
          <w:rFonts w:ascii="Times New Roman" w:hAnsi="Times New Roman" w:cs="Times New Roman"/>
          <w:sz w:val="24"/>
          <w:szCs w:val="24"/>
        </w:rPr>
        <w:t xml:space="preserve"> and these investors may be quite unrepresentative of the entire market.  Lastly, many </w:t>
      </w:r>
      <w:r w:rsidR="00622C70">
        <w:rPr>
          <w:rFonts w:ascii="Times New Roman" w:hAnsi="Times New Roman" w:cs="Times New Roman"/>
          <w:sz w:val="24"/>
          <w:szCs w:val="24"/>
        </w:rPr>
        <w:t xml:space="preserve">DDO </w:t>
      </w:r>
      <w:r w:rsidR="0044639A">
        <w:rPr>
          <w:rFonts w:ascii="Times New Roman" w:hAnsi="Times New Roman" w:cs="Times New Roman"/>
          <w:sz w:val="24"/>
          <w:szCs w:val="24"/>
        </w:rPr>
        <w:t>studies have identified various anomalies that cannot be attributed to any kind of tax explanation</w:t>
      </w:r>
      <w:r w:rsidR="0073716F">
        <w:rPr>
          <w:rFonts w:ascii="Times New Roman" w:hAnsi="Times New Roman" w:cs="Times New Roman"/>
          <w:sz w:val="24"/>
          <w:szCs w:val="24"/>
        </w:rPr>
        <w:t xml:space="preserve">, </w:t>
      </w:r>
      <w:r w:rsidR="0044639A">
        <w:rPr>
          <w:rFonts w:ascii="Times New Roman" w:hAnsi="Times New Roman" w:cs="Times New Roman"/>
          <w:sz w:val="24"/>
          <w:szCs w:val="24"/>
        </w:rPr>
        <w:t>this raises the possi</w:t>
      </w:r>
      <w:r w:rsidR="00622C70">
        <w:rPr>
          <w:rFonts w:ascii="Times New Roman" w:hAnsi="Times New Roman" w:cs="Times New Roman"/>
          <w:sz w:val="24"/>
          <w:szCs w:val="24"/>
        </w:rPr>
        <w:t xml:space="preserve">bility that ex-day behaviour is also affected by factors other than taxes, </w:t>
      </w:r>
      <w:r w:rsidR="0073716F">
        <w:rPr>
          <w:rFonts w:ascii="Times New Roman" w:hAnsi="Times New Roman" w:cs="Times New Roman"/>
          <w:sz w:val="24"/>
          <w:szCs w:val="24"/>
        </w:rPr>
        <w:t>and this concern has been raised by a number of researchers in this area (including Professor Gray</w:t>
      </w:r>
      <w:r w:rsidR="00D05A42">
        <w:rPr>
          <w:rFonts w:ascii="Times New Roman" w:hAnsi="Times New Roman" w:cs="Times New Roman"/>
          <w:sz w:val="24"/>
          <w:szCs w:val="24"/>
        </w:rPr>
        <w:t xml:space="preserve"> himself</w:t>
      </w:r>
      <w:r w:rsidR="0073716F">
        <w:rPr>
          <w:rFonts w:ascii="Times New Roman" w:hAnsi="Times New Roman" w:cs="Times New Roman"/>
          <w:sz w:val="24"/>
          <w:szCs w:val="24"/>
        </w:rPr>
        <w:t xml:space="preserve">).  </w:t>
      </w:r>
    </w:p>
    <w:p w:rsidR="00032060" w:rsidRDefault="00032060" w:rsidP="0073716F">
      <w:pPr>
        <w:spacing w:after="0" w:line="360" w:lineRule="auto"/>
        <w:jc w:val="both"/>
        <w:rPr>
          <w:rFonts w:ascii="Times New Roman" w:hAnsi="Times New Roman" w:cs="Times New Roman"/>
          <w:sz w:val="24"/>
          <w:szCs w:val="24"/>
        </w:rPr>
      </w:pPr>
    </w:p>
    <w:p w:rsidR="00C54A71" w:rsidRPr="00C54A71" w:rsidRDefault="00C54A71" w:rsidP="00C54A71">
      <w:pPr>
        <w:pStyle w:val="ListParagraph"/>
        <w:numPr>
          <w:ilvl w:val="0"/>
          <w:numId w:val="1"/>
        </w:numPr>
        <w:spacing w:after="0" w:line="360" w:lineRule="auto"/>
        <w:ind w:left="360"/>
        <w:jc w:val="both"/>
        <w:rPr>
          <w:rFonts w:ascii="Times New Roman" w:hAnsi="Times New Roman" w:cs="Times New Roman"/>
          <w:b/>
          <w:sz w:val="24"/>
          <w:szCs w:val="24"/>
        </w:rPr>
      </w:pPr>
      <w:r>
        <w:rPr>
          <w:rFonts w:ascii="Times New Roman" w:hAnsi="Times New Roman" w:cs="Times New Roman"/>
          <w:b/>
          <w:sz w:val="24"/>
          <w:szCs w:val="24"/>
        </w:rPr>
        <w:t>Questions from the AER</w:t>
      </w:r>
    </w:p>
    <w:p w:rsidR="00C54A71" w:rsidRDefault="00C54A71" w:rsidP="00122250">
      <w:pPr>
        <w:spacing w:after="0" w:line="360" w:lineRule="auto"/>
        <w:jc w:val="both"/>
        <w:rPr>
          <w:rFonts w:ascii="Times New Roman" w:hAnsi="Times New Roman" w:cs="Times New Roman"/>
          <w:sz w:val="24"/>
          <w:szCs w:val="24"/>
        </w:rPr>
      </w:pPr>
    </w:p>
    <w:p w:rsidR="00C54A71" w:rsidRDefault="00C54A71" w:rsidP="00C54A71">
      <w:pPr>
        <w:pStyle w:val="ListParagraph"/>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The AER has posed a number of questions about the Frontier (2016a) paper, and these are now addressed.</w:t>
      </w:r>
    </w:p>
    <w:p w:rsidR="00C54A71" w:rsidRDefault="00C54A71" w:rsidP="00C54A71">
      <w:pPr>
        <w:pStyle w:val="ListParagraph"/>
        <w:spacing w:after="0" w:line="360" w:lineRule="auto"/>
        <w:ind w:left="0"/>
        <w:jc w:val="both"/>
        <w:rPr>
          <w:rFonts w:ascii="Times New Roman" w:hAnsi="Times New Roman" w:cs="Times New Roman"/>
          <w:sz w:val="24"/>
          <w:szCs w:val="24"/>
        </w:rPr>
      </w:pPr>
    </w:p>
    <w:p w:rsidR="00150CD5" w:rsidRDefault="00C54A71" w:rsidP="00150CD5">
      <w:pPr>
        <w:pStyle w:val="ListParagraph"/>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Firstly, the AER has asked whether DDO studies generally, and this Frontier study in particular, are estimating a “post-tax” value of imputation credits as required under the NGR and NER.</w:t>
      </w:r>
      <w:r w:rsidR="001E2A08">
        <w:rPr>
          <w:rStyle w:val="FootnoteReference"/>
          <w:rFonts w:ascii="Times New Roman" w:hAnsi="Times New Roman" w:cs="Times New Roman"/>
          <w:sz w:val="24"/>
          <w:szCs w:val="24"/>
        </w:rPr>
        <w:footnoteReference w:id="3"/>
      </w:r>
      <w:r>
        <w:rPr>
          <w:rFonts w:ascii="Times New Roman" w:hAnsi="Times New Roman" w:cs="Times New Roman"/>
          <w:sz w:val="24"/>
          <w:szCs w:val="24"/>
        </w:rPr>
        <w:t xml:space="preserve">  </w:t>
      </w:r>
      <w:r w:rsidR="000F3441">
        <w:rPr>
          <w:rFonts w:ascii="Times New Roman" w:hAnsi="Times New Roman" w:cs="Times New Roman"/>
          <w:sz w:val="24"/>
          <w:szCs w:val="24"/>
        </w:rPr>
        <w:t xml:space="preserve">These rules </w:t>
      </w:r>
      <w:r w:rsidR="008B4A2B">
        <w:rPr>
          <w:rFonts w:ascii="Times New Roman" w:hAnsi="Times New Roman" w:cs="Times New Roman"/>
          <w:sz w:val="24"/>
          <w:szCs w:val="24"/>
        </w:rPr>
        <w:t xml:space="preserve">are not </w:t>
      </w:r>
      <w:r w:rsidR="000F3441">
        <w:rPr>
          <w:rFonts w:ascii="Times New Roman" w:hAnsi="Times New Roman" w:cs="Times New Roman"/>
          <w:sz w:val="24"/>
          <w:szCs w:val="24"/>
        </w:rPr>
        <w:t xml:space="preserve">very specific on </w:t>
      </w:r>
      <w:r w:rsidR="00851130">
        <w:rPr>
          <w:rFonts w:ascii="Times New Roman" w:hAnsi="Times New Roman" w:cs="Times New Roman"/>
          <w:sz w:val="24"/>
          <w:szCs w:val="24"/>
        </w:rPr>
        <w:t>the cost of capital</w:t>
      </w:r>
      <w:r w:rsidR="000F3441">
        <w:rPr>
          <w:rFonts w:ascii="Times New Roman" w:hAnsi="Times New Roman" w:cs="Times New Roman"/>
          <w:sz w:val="24"/>
          <w:szCs w:val="24"/>
        </w:rPr>
        <w:t>, and grant considerable discretion to the r</w:t>
      </w:r>
      <w:r w:rsidR="008B4A2B">
        <w:rPr>
          <w:rFonts w:ascii="Times New Roman" w:hAnsi="Times New Roman" w:cs="Times New Roman"/>
          <w:sz w:val="24"/>
          <w:szCs w:val="24"/>
        </w:rPr>
        <w:t>egulator; in respect of the NER, the relevant rules are in clause 6.5.2 (AEMC, 2016).</w:t>
      </w:r>
      <w:r w:rsidR="000F3441">
        <w:rPr>
          <w:rFonts w:ascii="Times New Roman" w:hAnsi="Times New Roman" w:cs="Times New Roman"/>
          <w:sz w:val="24"/>
          <w:szCs w:val="24"/>
        </w:rPr>
        <w:t xml:space="preserve">  However, clause 6.5.3 </w:t>
      </w:r>
      <w:r w:rsidR="008B4A2B">
        <w:rPr>
          <w:rFonts w:ascii="Times New Roman" w:hAnsi="Times New Roman" w:cs="Times New Roman"/>
          <w:sz w:val="24"/>
          <w:szCs w:val="24"/>
        </w:rPr>
        <w:t xml:space="preserve">of the NER </w:t>
      </w:r>
      <w:r w:rsidR="000F3441">
        <w:rPr>
          <w:rFonts w:ascii="Times New Roman" w:hAnsi="Times New Roman" w:cs="Times New Roman"/>
          <w:sz w:val="24"/>
          <w:szCs w:val="24"/>
        </w:rPr>
        <w:t xml:space="preserve">requires allowance for the “value of imputation credits” and in such a way as to point to use of the Officer (1994) model, which all Australian regulators use.  This model is post-company </w:t>
      </w:r>
      <w:r w:rsidR="00B17F90">
        <w:rPr>
          <w:rFonts w:ascii="Times New Roman" w:hAnsi="Times New Roman" w:cs="Times New Roman"/>
          <w:sz w:val="24"/>
          <w:szCs w:val="24"/>
        </w:rPr>
        <w:t xml:space="preserve">(and pre-investor) tax, </w:t>
      </w:r>
      <w:r w:rsidR="00F56CE5">
        <w:rPr>
          <w:rFonts w:ascii="Times New Roman" w:hAnsi="Times New Roman" w:cs="Times New Roman"/>
          <w:sz w:val="24"/>
          <w:szCs w:val="24"/>
        </w:rPr>
        <w:t xml:space="preserve">and </w:t>
      </w:r>
      <w:r w:rsidR="000F3441">
        <w:rPr>
          <w:rFonts w:ascii="Times New Roman" w:hAnsi="Times New Roman" w:cs="Times New Roman"/>
          <w:sz w:val="24"/>
          <w:szCs w:val="24"/>
        </w:rPr>
        <w:t xml:space="preserve">DDO studies provide an estimate of </w:t>
      </w:r>
      <w:r w:rsidR="009E1E82">
        <w:rPr>
          <w:rFonts w:ascii="Times New Roman" w:hAnsi="Times New Roman" w:cs="Times New Roman"/>
          <w:sz w:val="24"/>
          <w:szCs w:val="24"/>
        </w:rPr>
        <w:t xml:space="preserve">the utilization rate </w:t>
      </w:r>
      <w:r w:rsidR="000F3441">
        <w:rPr>
          <w:rFonts w:ascii="Times New Roman" w:hAnsi="Times New Roman" w:cs="Times New Roman"/>
          <w:sz w:val="24"/>
          <w:szCs w:val="24"/>
        </w:rPr>
        <w:t xml:space="preserve">that is </w:t>
      </w:r>
      <w:r w:rsidR="00945713">
        <w:rPr>
          <w:rFonts w:ascii="Times New Roman" w:hAnsi="Times New Roman" w:cs="Times New Roman"/>
          <w:sz w:val="24"/>
          <w:szCs w:val="24"/>
        </w:rPr>
        <w:t>consistent with this.  To illustrate this, suppose that all investors c</w:t>
      </w:r>
      <w:r w:rsidR="00150CD5">
        <w:rPr>
          <w:rFonts w:ascii="Times New Roman" w:hAnsi="Times New Roman" w:cs="Times New Roman"/>
          <w:sz w:val="24"/>
          <w:szCs w:val="24"/>
        </w:rPr>
        <w:t xml:space="preserve">an use the imputation credits (so </w:t>
      </w:r>
      <w:r w:rsidR="00150CD5" w:rsidRPr="00150CD5">
        <w:rPr>
          <w:rFonts w:ascii="Times New Roman" w:hAnsi="Times New Roman" w:cs="Times New Roman"/>
          <w:i/>
          <w:sz w:val="24"/>
          <w:szCs w:val="24"/>
        </w:rPr>
        <w:t>U</w:t>
      </w:r>
      <w:r w:rsidR="00150CD5">
        <w:rPr>
          <w:rFonts w:ascii="Times New Roman" w:hAnsi="Times New Roman" w:cs="Times New Roman"/>
          <w:sz w:val="24"/>
          <w:szCs w:val="24"/>
        </w:rPr>
        <w:t xml:space="preserve"> = 1) and capital gains are taxed at the same rate as dividends.</w:t>
      </w:r>
      <w:r w:rsidR="00E25E33">
        <w:rPr>
          <w:rStyle w:val="FootnoteReference"/>
          <w:rFonts w:ascii="Times New Roman" w:hAnsi="Times New Roman" w:cs="Times New Roman"/>
          <w:sz w:val="24"/>
          <w:szCs w:val="24"/>
        </w:rPr>
        <w:footnoteReference w:id="4"/>
      </w:r>
      <w:r w:rsidR="00150CD5">
        <w:rPr>
          <w:rFonts w:ascii="Times New Roman" w:hAnsi="Times New Roman" w:cs="Times New Roman"/>
          <w:sz w:val="24"/>
          <w:szCs w:val="24"/>
        </w:rPr>
        <w:t xml:space="preserve">  </w:t>
      </w:r>
      <w:r w:rsidR="007C6571">
        <w:rPr>
          <w:rFonts w:ascii="Times New Roman" w:hAnsi="Times New Roman" w:cs="Times New Roman"/>
          <w:sz w:val="24"/>
          <w:szCs w:val="24"/>
        </w:rPr>
        <w:t xml:space="preserve">Thus, the </w:t>
      </w:r>
      <w:r w:rsidR="00150CD5">
        <w:rPr>
          <w:rFonts w:ascii="Times New Roman" w:hAnsi="Times New Roman" w:cs="Times New Roman"/>
          <w:sz w:val="24"/>
          <w:szCs w:val="24"/>
        </w:rPr>
        <w:t xml:space="preserve">expected price change around ex-day net of capital gains tax (at rate </w:t>
      </w:r>
      <w:r w:rsidR="00150CD5" w:rsidRPr="00FE4642">
        <w:rPr>
          <w:rFonts w:ascii="Times New Roman" w:hAnsi="Times New Roman" w:cs="Times New Roman"/>
          <w:i/>
          <w:sz w:val="24"/>
          <w:szCs w:val="24"/>
        </w:rPr>
        <w:t>T</w:t>
      </w:r>
      <w:r w:rsidR="00150CD5">
        <w:rPr>
          <w:rFonts w:ascii="Times New Roman" w:hAnsi="Times New Roman" w:cs="Times New Roman"/>
          <w:sz w:val="24"/>
          <w:szCs w:val="24"/>
        </w:rPr>
        <w:t xml:space="preserve">) </w:t>
      </w:r>
      <w:r w:rsidR="004C2358">
        <w:rPr>
          <w:rFonts w:ascii="Times New Roman" w:hAnsi="Times New Roman" w:cs="Times New Roman"/>
          <w:sz w:val="24"/>
          <w:szCs w:val="24"/>
        </w:rPr>
        <w:t xml:space="preserve">would be equal to the </w:t>
      </w:r>
      <w:r w:rsidR="00150CD5">
        <w:rPr>
          <w:rFonts w:ascii="Times New Roman" w:hAnsi="Times New Roman" w:cs="Times New Roman"/>
          <w:sz w:val="24"/>
          <w:szCs w:val="24"/>
        </w:rPr>
        <w:t xml:space="preserve">gross dividend (cash </w:t>
      </w:r>
      <w:r w:rsidR="00150CD5" w:rsidRPr="00B060B0">
        <w:rPr>
          <w:rFonts w:ascii="Times New Roman" w:hAnsi="Times New Roman" w:cs="Times New Roman"/>
          <w:i/>
          <w:sz w:val="24"/>
          <w:szCs w:val="24"/>
        </w:rPr>
        <w:t>D</w:t>
      </w:r>
      <w:r w:rsidR="00150CD5">
        <w:rPr>
          <w:rFonts w:ascii="Times New Roman" w:hAnsi="Times New Roman" w:cs="Times New Roman"/>
          <w:sz w:val="24"/>
          <w:szCs w:val="24"/>
        </w:rPr>
        <w:t xml:space="preserve"> plus imputation credits </w:t>
      </w:r>
      <w:r w:rsidR="00150CD5" w:rsidRPr="00B060B0">
        <w:rPr>
          <w:rFonts w:ascii="Times New Roman" w:hAnsi="Times New Roman" w:cs="Times New Roman"/>
          <w:i/>
          <w:sz w:val="24"/>
          <w:szCs w:val="24"/>
        </w:rPr>
        <w:t>IC</w:t>
      </w:r>
      <w:r w:rsidR="00150CD5">
        <w:rPr>
          <w:rFonts w:ascii="Times New Roman" w:hAnsi="Times New Roman" w:cs="Times New Roman"/>
          <w:sz w:val="24"/>
          <w:szCs w:val="24"/>
        </w:rPr>
        <w:t xml:space="preserve">) net of dividend tax (at rate </w:t>
      </w:r>
      <w:r w:rsidR="00150CD5">
        <w:rPr>
          <w:rFonts w:ascii="Times New Roman" w:hAnsi="Times New Roman" w:cs="Times New Roman"/>
          <w:i/>
          <w:sz w:val="24"/>
          <w:szCs w:val="24"/>
        </w:rPr>
        <w:t>T</w:t>
      </w:r>
      <w:r w:rsidR="00B17F90">
        <w:rPr>
          <w:rFonts w:ascii="Times New Roman" w:hAnsi="Times New Roman" w:cs="Times New Roman"/>
          <w:sz w:val="24"/>
          <w:szCs w:val="24"/>
        </w:rPr>
        <w:t>):</w:t>
      </w:r>
    </w:p>
    <w:p w:rsidR="00B17F90" w:rsidRDefault="00B17F90" w:rsidP="00150CD5">
      <w:pPr>
        <w:pStyle w:val="ListParagraph"/>
        <w:spacing w:after="0" w:line="360" w:lineRule="auto"/>
        <w:ind w:left="0"/>
        <w:jc w:val="both"/>
        <w:rPr>
          <w:rFonts w:ascii="Times New Roman" w:hAnsi="Times New Roman" w:cs="Times New Roman"/>
          <w:sz w:val="24"/>
          <w:szCs w:val="24"/>
        </w:rPr>
      </w:pPr>
    </w:p>
    <w:p w:rsidR="00150CD5" w:rsidRDefault="00150CD5" w:rsidP="00150CD5">
      <w:pPr>
        <w:pStyle w:val="ListParagraph"/>
        <w:spacing w:after="0" w:line="360" w:lineRule="auto"/>
        <w:ind w:left="0"/>
        <w:jc w:val="center"/>
        <w:rPr>
          <w:rFonts w:ascii="Times New Roman" w:hAnsi="Times New Roman" w:cs="Times New Roman"/>
          <w:sz w:val="24"/>
          <w:szCs w:val="24"/>
        </w:rPr>
      </w:pPr>
      <w:r w:rsidRPr="00150CD5">
        <w:rPr>
          <w:rFonts w:ascii="Times New Roman" w:hAnsi="Times New Roman" w:cs="Times New Roman"/>
          <w:position w:val="-10"/>
          <w:sz w:val="24"/>
          <w:szCs w:val="24"/>
        </w:rPr>
        <w:object w:dxaOrig="312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6.15pt;height:16.65pt" o:ole="">
            <v:imagedata r:id="rId9" o:title=""/>
          </v:shape>
          <o:OLEObject Type="Embed" ProgID="Equation.3" ShapeID="_x0000_i1025" DrawAspect="Content" ObjectID="_1554554731" r:id="rId10"/>
        </w:object>
      </w:r>
    </w:p>
    <w:p w:rsidR="00150CD5" w:rsidRDefault="00150CD5" w:rsidP="00150CD5">
      <w:pPr>
        <w:pStyle w:val="ListParagraph"/>
        <w:spacing w:after="0" w:line="360" w:lineRule="auto"/>
        <w:ind w:left="0"/>
        <w:jc w:val="both"/>
        <w:rPr>
          <w:rFonts w:ascii="Times New Roman" w:hAnsi="Times New Roman" w:cs="Times New Roman"/>
          <w:sz w:val="24"/>
          <w:szCs w:val="24"/>
        </w:rPr>
      </w:pPr>
    </w:p>
    <w:p w:rsidR="00150CD5" w:rsidRDefault="00150CD5" w:rsidP="00150CD5">
      <w:pPr>
        <w:pStyle w:val="ListParagraph"/>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Removing the expectation, and therefore recognizing a noise term (</w:t>
      </w:r>
      <w:r w:rsidRPr="00264B70">
        <w:rPr>
          <w:rFonts w:ascii="Times New Roman" w:hAnsi="Times New Roman" w:cs="Times New Roman"/>
          <w:i/>
          <w:sz w:val="24"/>
          <w:szCs w:val="24"/>
        </w:rPr>
        <w:t>e</w:t>
      </w:r>
      <w:r>
        <w:rPr>
          <w:rFonts w:ascii="Times New Roman" w:hAnsi="Times New Roman" w:cs="Times New Roman"/>
          <w:sz w:val="24"/>
          <w:szCs w:val="24"/>
        </w:rPr>
        <w:t>), followed by dividing through by (1 –</w:t>
      </w:r>
      <w:r>
        <w:rPr>
          <w:rFonts w:ascii="Times New Roman" w:hAnsi="Times New Roman" w:cs="Times New Roman"/>
          <w:i/>
          <w:sz w:val="24"/>
          <w:szCs w:val="24"/>
        </w:rPr>
        <w:t>T</w:t>
      </w:r>
      <w:r>
        <w:rPr>
          <w:rFonts w:ascii="Times New Roman" w:hAnsi="Times New Roman" w:cs="Times New Roman"/>
          <w:sz w:val="24"/>
          <w:szCs w:val="24"/>
        </w:rPr>
        <w:t>) yields the following regression model:</w:t>
      </w:r>
    </w:p>
    <w:p w:rsidR="00150CD5" w:rsidRDefault="00150CD5" w:rsidP="00150CD5">
      <w:pPr>
        <w:pStyle w:val="ListParagraph"/>
        <w:spacing w:after="0" w:line="360" w:lineRule="auto"/>
        <w:ind w:left="0"/>
        <w:jc w:val="both"/>
        <w:rPr>
          <w:rFonts w:ascii="Times New Roman" w:hAnsi="Times New Roman" w:cs="Times New Roman"/>
          <w:sz w:val="24"/>
          <w:szCs w:val="24"/>
        </w:rPr>
      </w:pPr>
    </w:p>
    <w:p w:rsidR="00150CD5" w:rsidRDefault="00150CD5" w:rsidP="00150CD5">
      <w:pPr>
        <w:pStyle w:val="ListParagraph"/>
        <w:spacing w:after="0" w:line="360" w:lineRule="auto"/>
        <w:ind w:left="0"/>
        <w:jc w:val="center"/>
        <w:rPr>
          <w:rFonts w:ascii="Times New Roman" w:hAnsi="Times New Roman" w:cs="Times New Roman"/>
          <w:sz w:val="24"/>
          <w:szCs w:val="24"/>
        </w:rPr>
      </w:pPr>
      <w:r w:rsidRPr="00150CD5">
        <w:rPr>
          <w:rFonts w:ascii="Times New Roman" w:hAnsi="Times New Roman" w:cs="Times New Roman"/>
          <w:position w:val="-6"/>
          <w:sz w:val="24"/>
          <w:szCs w:val="24"/>
        </w:rPr>
        <w:object w:dxaOrig="1660" w:dyaOrig="279">
          <v:shape id="_x0000_i1026" type="#_x0000_t75" style="width:82.6pt;height:13.65pt" o:ole="">
            <v:imagedata r:id="rId11" o:title=""/>
          </v:shape>
          <o:OLEObject Type="Embed" ProgID="Equation.3" ShapeID="_x0000_i1026" DrawAspect="Content" ObjectID="_1554554732" r:id="rId12"/>
        </w:object>
      </w:r>
    </w:p>
    <w:p w:rsidR="00150CD5" w:rsidRDefault="00150CD5" w:rsidP="00150CD5">
      <w:pPr>
        <w:pStyle w:val="ListParagraph"/>
        <w:spacing w:after="0" w:line="360" w:lineRule="auto"/>
        <w:ind w:left="0"/>
        <w:jc w:val="center"/>
        <w:rPr>
          <w:rFonts w:ascii="Times New Roman" w:hAnsi="Times New Roman" w:cs="Times New Roman"/>
          <w:sz w:val="24"/>
          <w:szCs w:val="24"/>
        </w:rPr>
      </w:pPr>
    </w:p>
    <w:p w:rsidR="00C54A71" w:rsidRDefault="00150CD5" w:rsidP="00150CD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This is a regression of </w:t>
      </w:r>
      <w:r w:rsidRPr="00B060B0">
        <w:rPr>
          <w:rFonts w:ascii="Times New Roman" w:hAnsi="Times New Roman" w:cs="Times New Roman"/>
          <w:i/>
          <w:sz w:val="24"/>
          <w:szCs w:val="24"/>
        </w:rPr>
        <w:t>ΔP</w:t>
      </w:r>
      <w:r>
        <w:rPr>
          <w:rFonts w:ascii="Times New Roman" w:hAnsi="Times New Roman" w:cs="Times New Roman"/>
          <w:sz w:val="24"/>
          <w:szCs w:val="24"/>
        </w:rPr>
        <w:t xml:space="preserve"> on </w:t>
      </w:r>
      <w:r w:rsidRPr="00B060B0">
        <w:rPr>
          <w:rFonts w:ascii="Times New Roman" w:hAnsi="Times New Roman" w:cs="Times New Roman"/>
          <w:i/>
          <w:sz w:val="24"/>
          <w:szCs w:val="24"/>
        </w:rPr>
        <w:t>D</w:t>
      </w:r>
      <w:r>
        <w:rPr>
          <w:rFonts w:ascii="Times New Roman" w:hAnsi="Times New Roman" w:cs="Times New Roman"/>
          <w:sz w:val="24"/>
          <w:szCs w:val="24"/>
        </w:rPr>
        <w:t xml:space="preserve"> and </w:t>
      </w:r>
      <w:r w:rsidRPr="00B060B0">
        <w:rPr>
          <w:rFonts w:ascii="Times New Roman" w:hAnsi="Times New Roman" w:cs="Times New Roman"/>
          <w:i/>
          <w:sz w:val="24"/>
          <w:szCs w:val="24"/>
        </w:rPr>
        <w:t>IC</w:t>
      </w:r>
      <w:r>
        <w:rPr>
          <w:rFonts w:ascii="Times New Roman" w:hAnsi="Times New Roman" w:cs="Times New Roman"/>
          <w:sz w:val="24"/>
          <w:szCs w:val="24"/>
        </w:rPr>
        <w:t xml:space="preserve">, which is one form of a DDO study (the others are variants of this).  The coefficient on </w:t>
      </w:r>
      <w:r w:rsidRPr="00150CD5">
        <w:rPr>
          <w:rFonts w:ascii="Times New Roman" w:hAnsi="Times New Roman" w:cs="Times New Roman"/>
          <w:i/>
          <w:sz w:val="24"/>
          <w:szCs w:val="24"/>
        </w:rPr>
        <w:t>IC</w:t>
      </w:r>
      <w:r>
        <w:rPr>
          <w:rFonts w:ascii="Times New Roman" w:hAnsi="Times New Roman" w:cs="Times New Roman"/>
          <w:sz w:val="24"/>
          <w:szCs w:val="24"/>
        </w:rPr>
        <w:t xml:space="preserve"> is </w:t>
      </w:r>
      <w:r w:rsidR="004C2358">
        <w:rPr>
          <w:rFonts w:ascii="Times New Roman" w:hAnsi="Times New Roman" w:cs="Times New Roman"/>
          <w:sz w:val="24"/>
          <w:szCs w:val="24"/>
        </w:rPr>
        <w:t xml:space="preserve">then </w:t>
      </w:r>
      <w:r>
        <w:rPr>
          <w:rFonts w:ascii="Times New Roman" w:hAnsi="Times New Roman" w:cs="Times New Roman"/>
          <w:sz w:val="24"/>
          <w:szCs w:val="24"/>
        </w:rPr>
        <w:t xml:space="preserve">1, which matches the utilization rate </w:t>
      </w:r>
      <w:r w:rsidRPr="00150CD5">
        <w:rPr>
          <w:rFonts w:ascii="Times New Roman" w:hAnsi="Times New Roman" w:cs="Times New Roman"/>
          <w:i/>
          <w:sz w:val="24"/>
          <w:szCs w:val="24"/>
        </w:rPr>
        <w:t>U</w:t>
      </w:r>
      <w:r>
        <w:rPr>
          <w:rFonts w:ascii="Times New Roman" w:hAnsi="Times New Roman" w:cs="Times New Roman"/>
          <w:sz w:val="24"/>
          <w:szCs w:val="24"/>
        </w:rPr>
        <w:t xml:space="preserve">.  </w:t>
      </w:r>
      <w:r w:rsidR="004C2358">
        <w:rPr>
          <w:rFonts w:ascii="Times New Roman" w:hAnsi="Times New Roman" w:cs="Times New Roman"/>
          <w:sz w:val="24"/>
          <w:szCs w:val="24"/>
        </w:rPr>
        <w:t xml:space="preserve">So, DDO studies provide an estimate of </w:t>
      </w:r>
      <w:r w:rsidR="004C2358" w:rsidRPr="00470225">
        <w:rPr>
          <w:rFonts w:ascii="Times New Roman" w:hAnsi="Times New Roman" w:cs="Times New Roman"/>
          <w:i/>
          <w:sz w:val="24"/>
          <w:szCs w:val="24"/>
        </w:rPr>
        <w:t>U</w:t>
      </w:r>
      <w:r w:rsidR="004C2358">
        <w:rPr>
          <w:rFonts w:ascii="Times New Roman" w:hAnsi="Times New Roman" w:cs="Times New Roman"/>
          <w:sz w:val="24"/>
          <w:szCs w:val="24"/>
        </w:rPr>
        <w:t xml:space="preserve"> that is consistent with the </w:t>
      </w:r>
      <w:r w:rsidR="00470225">
        <w:rPr>
          <w:rFonts w:ascii="Times New Roman" w:hAnsi="Times New Roman" w:cs="Times New Roman"/>
          <w:sz w:val="24"/>
          <w:szCs w:val="24"/>
        </w:rPr>
        <w:t xml:space="preserve">post-company </w:t>
      </w:r>
      <w:r w:rsidR="00B17F90">
        <w:rPr>
          <w:rFonts w:ascii="Times New Roman" w:hAnsi="Times New Roman" w:cs="Times New Roman"/>
          <w:sz w:val="24"/>
          <w:szCs w:val="24"/>
        </w:rPr>
        <w:t xml:space="preserve">(and pre-investor) </w:t>
      </w:r>
      <w:r w:rsidR="004C2358">
        <w:rPr>
          <w:rFonts w:ascii="Times New Roman" w:hAnsi="Times New Roman" w:cs="Times New Roman"/>
          <w:sz w:val="24"/>
          <w:szCs w:val="24"/>
        </w:rPr>
        <w:t xml:space="preserve">tax nature of the </w:t>
      </w:r>
      <w:r w:rsidR="00E1682B">
        <w:rPr>
          <w:rFonts w:ascii="Times New Roman" w:hAnsi="Times New Roman" w:cs="Times New Roman"/>
          <w:sz w:val="24"/>
          <w:szCs w:val="24"/>
        </w:rPr>
        <w:t>model used to estimate the cost of equity.</w:t>
      </w:r>
    </w:p>
    <w:p w:rsidR="00453DA7" w:rsidRDefault="00453DA7" w:rsidP="00C54A71">
      <w:pPr>
        <w:spacing w:after="0" w:line="360" w:lineRule="auto"/>
        <w:jc w:val="both"/>
        <w:rPr>
          <w:rFonts w:ascii="Times New Roman" w:hAnsi="Times New Roman" w:cs="Times New Roman"/>
          <w:sz w:val="24"/>
          <w:szCs w:val="24"/>
        </w:rPr>
      </w:pPr>
    </w:p>
    <w:p w:rsidR="00453DA7" w:rsidRDefault="00453DA7" w:rsidP="00C54A7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Secondly, the AER has asked whether the DDO methodology used in th</w:t>
      </w:r>
      <w:r w:rsidR="008C25FA">
        <w:rPr>
          <w:rFonts w:ascii="Times New Roman" w:hAnsi="Times New Roman" w:cs="Times New Roman"/>
          <w:sz w:val="24"/>
          <w:szCs w:val="24"/>
        </w:rPr>
        <w:t xml:space="preserve">e Frontier study is appropriate.  The previous section details my </w:t>
      </w:r>
      <w:r w:rsidR="008F03B0">
        <w:rPr>
          <w:rFonts w:ascii="Times New Roman" w:hAnsi="Times New Roman" w:cs="Times New Roman"/>
          <w:sz w:val="24"/>
          <w:szCs w:val="24"/>
        </w:rPr>
        <w:t xml:space="preserve">numerous </w:t>
      </w:r>
      <w:r w:rsidR="008C25FA">
        <w:rPr>
          <w:rFonts w:ascii="Times New Roman" w:hAnsi="Times New Roman" w:cs="Times New Roman"/>
          <w:sz w:val="24"/>
          <w:szCs w:val="24"/>
        </w:rPr>
        <w:t>concerns about Frontier’s analysis.  Many of these points are inherent in the approach, and cannot be overcome</w:t>
      </w:r>
      <w:r w:rsidR="008F03B0">
        <w:rPr>
          <w:rFonts w:ascii="Times New Roman" w:hAnsi="Times New Roman" w:cs="Times New Roman"/>
          <w:sz w:val="24"/>
          <w:szCs w:val="24"/>
        </w:rPr>
        <w:t xml:space="preserve"> by an alternative DDO methodology</w:t>
      </w:r>
      <w:r w:rsidR="008C25FA">
        <w:rPr>
          <w:rFonts w:ascii="Times New Roman" w:hAnsi="Times New Roman" w:cs="Times New Roman"/>
          <w:sz w:val="24"/>
          <w:szCs w:val="24"/>
        </w:rPr>
        <w:t xml:space="preserve">.  The points that can be overcome are the first, sixth, seventh, </w:t>
      </w:r>
      <w:r w:rsidR="00702176">
        <w:rPr>
          <w:rFonts w:ascii="Times New Roman" w:hAnsi="Times New Roman" w:cs="Times New Roman"/>
          <w:sz w:val="24"/>
          <w:szCs w:val="24"/>
        </w:rPr>
        <w:t xml:space="preserve">eighth, </w:t>
      </w:r>
      <w:r w:rsidR="00851130">
        <w:rPr>
          <w:rFonts w:ascii="Times New Roman" w:hAnsi="Times New Roman" w:cs="Times New Roman"/>
          <w:sz w:val="24"/>
          <w:szCs w:val="24"/>
        </w:rPr>
        <w:t>and ninth, involving dividing the estimated coefficient on the credits by that on cash dividends, assessing the effect of outliers individually</w:t>
      </w:r>
      <w:r w:rsidR="007C6571">
        <w:rPr>
          <w:rFonts w:ascii="Times New Roman" w:hAnsi="Times New Roman" w:cs="Times New Roman"/>
          <w:sz w:val="24"/>
          <w:szCs w:val="24"/>
        </w:rPr>
        <w:t xml:space="preserve"> rather than in pairs</w:t>
      </w:r>
      <w:r w:rsidR="00851130">
        <w:rPr>
          <w:rFonts w:ascii="Times New Roman" w:hAnsi="Times New Roman" w:cs="Times New Roman"/>
          <w:sz w:val="24"/>
          <w:szCs w:val="24"/>
        </w:rPr>
        <w:t xml:space="preserve">, presenting results for a range of values for the tuning coefficient in robust regression, </w:t>
      </w:r>
      <w:r w:rsidR="007C6571">
        <w:rPr>
          <w:rFonts w:ascii="Times New Roman" w:hAnsi="Times New Roman" w:cs="Times New Roman"/>
          <w:sz w:val="24"/>
          <w:szCs w:val="24"/>
        </w:rPr>
        <w:t xml:space="preserve">additionally </w:t>
      </w:r>
      <w:r w:rsidR="00851130">
        <w:rPr>
          <w:rFonts w:ascii="Times New Roman" w:hAnsi="Times New Roman" w:cs="Times New Roman"/>
          <w:sz w:val="24"/>
          <w:szCs w:val="24"/>
        </w:rPr>
        <w:t>presenting results with a constant in the regression models, and desisting from deleting observations from small companies.</w:t>
      </w:r>
    </w:p>
    <w:p w:rsidR="00095D3C" w:rsidRDefault="00095D3C" w:rsidP="00C54A71">
      <w:pPr>
        <w:spacing w:after="0" w:line="360" w:lineRule="auto"/>
        <w:jc w:val="both"/>
        <w:rPr>
          <w:rFonts w:ascii="Times New Roman" w:hAnsi="Times New Roman" w:cs="Times New Roman"/>
          <w:sz w:val="24"/>
          <w:szCs w:val="24"/>
        </w:rPr>
      </w:pPr>
    </w:p>
    <w:p w:rsidR="00095D3C" w:rsidRDefault="00095D3C" w:rsidP="00C54A7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Thirdly, the AER has asked whether the manner in which the primary data set was compiled by Frontier was appropriate.  As noted in the previous section, Frontier (2016a) has deleted observations from companies with a market cap below 0.03% of the market index.  Since observations are also (sensibly) eliminated if trades</w:t>
      </w:r>
      <w:r w:rsidR="007F7F6D">
        <w:rPr>
          <w:rFonts w:ascii="Times New Roman" w:hAnsi="Times New Roman" w:cs="Times New Roman"/>
          <w:sz w:val="24"/>
          <w:szCs w:val="24"/>
        </w:rPr>
        <w:t xml:space="preserve"> are not present on both the cum-dividend</w:t>
      </w:r>
      <w:r>
        <w:rPr>
          <w:rFonts w:ascii="Times New Roman" w:hAnsi="Times New Roman" w:cs="Times New Roman"/>
          <w:sz w:val="24"/>
          <w:szCs w:val="24"/>
        </w:rPr>
        <w:t xml:space="preserve"> and ex-dividend dates, this company size rule has no </w:t>
      </w:r>
      <w:r w:rsidR="008F03B0">
        <w:rPr>
          <w:rFonts w:ascii="Times New Roman" w:hAnsi="Times New Roman" w:cs="Times New Roman"/>
          <w:sz w:val="24"/>
          <w:szCs w:val="24"/>
        </w:rPr>
        <w:t xml:space="preserve">apparent merit.  </w:t>
      </w:r>
      <w:r>
        <w:rPr>
          <w:rFonts w:ascii="Times New Roman" w:hAnsi="Times New Roman" w:cs="Times New Roman"/>
          <w:sz w:val="24"/>
          <w:szCs w:val="24"/>
        </w:rPr>
        <w:t xml:space="preserve">Furthermore, the choice of 0.03% is highly </w:t>
      </w:r>
      <w:r w:rsidRPr="00921692">
        <w:rPr>
          <w:rFonts w:ascii="Times New Roman" w:hAnsi="Times New Roman" w:cs="Times New Roman"/>
          <w:sz w:val="24"/>
          <w:szCs w:val="24"/>
        </w:rPr>
        <w:t>arbitrary</w:t>
      </w:r>
      <w:r>
        <w:rPr>
          <w:rFonts w:ascii="Times New Roman" w:hAnsi="Times New Roman" w:cs="Times New Roman"/>
          <w:sz w:val="24"/>
          <w:szCs w:val="24"/>
        </w:rPr>
        <w:t>, the rule tends to exclude observations that are least likely to be contaminated by tax arbitrage (</w:t>
      </w:r>
      <w:r w:rsidR="0026363E" w:rsidRPr="00CE05D7">
        <w:rPr>
          <w:rFonts w:ascii="Times New Roman" w:hAnsi="Times New Roman" w:cs="Times New Roman"/>
          <w:sz w:val="24"/>
          <w:szCs w:val="24"/>
        </w:rPr>
        <w:t xml:space="preserve">and which are </w:t>
      </w:r>
      <w:r w:rsidR="0001259A" w:rsidRPr="00CE05D7">
        <w:rPr>
          <w:rFonts w:ascii="Times New Roman" w:hAnsi="Times New Roman" w:cs="Times New Roman"/>
          <w:sz w:val="24"/>
          <w:szCs w:val="24"/>
        </w:rPr>
        <w:t xml:space="preserve">very </w:t>
      </w:r>
      <w:r w:rsidR="0026363E" w:rsidRPr="00CE05D7">
        <w:rPr>
          <w:rFonts w:ascii="Times New Roman" w:hAnsi="Times New Roman" w:cs="Times New Roman"/>
          <w:sz w:val="24"/>
          <w:szCs w:val="24"/>
        </w:rPr>
        <w:t>desirable because of that fact</w:t>
      </w:r>
      <w:r>
        <w:rPr>
          <w:rFonts w:ascii="Times New Roman" w:hAnsi="Times New Roman" w:cs="Times New Roman"/>
          <w:sz w:val="24"/>
          <w:szCs w:val="24"/>
        </w:rPr>
        <w:t xml:space="preserve">), and the rule may have significantly </w:t>
      </w:r>
      <w:r w:rsidRPr="00921692">
        <w:rPr>
          <w:rFonts w:ascii="Times New Roman" w:hAnsi="Times New Roman" w:cs="Times New Roman"/>
          <w:sz w:val="24"/>
          <w:szCs w:val="24"/>
        </w:rPr>
        <w:t>biased</w:t>
      </w:r>
      <w:r>
        <w:rPr>
          <w:rFonts w:ascii="Times New Roman" w:hAnsi="Times New Roman" w:cs="Times New Roman"/>
          <w:sz w:val="24"/>
          <w:szCs w:val="24"/>
        </w:rPr>
        <w:t xml:space="preserve"> Frontier’s results.</w:t>
      </w:r>
    </w:p>
    <w:p w:rsidR="00095D3C" w:rsidRDefault="00095D3C" w:rsidP="00C54A71">
      <w:pPr>
        <w:spacing w:after="0" w:line="360" w:lineRule="auto"/>
        <w:jc w:val="both"/>
        <w:rPr>
          <w:rFonts w:ascii="Times New Roman" w:hAnsi="Times New Roman" w:cs="Times New Roman"/>
          <w:sz w:val="24"/>
          <w:szCs w:val="24"/>
        </w:rPr>
      </w:pPr>
    </w:p>
    <w:p w:rsidR="00095D3C" w:rsidRDefault="00095D3C" w:rsidP="00C54A71">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Fourthly, the AER notes that Frontier uses the updated </w:t>
      </w:r>
      <w:r w:rsidR="00081FDD">
        <w:rPr>
          <w:rFonts w:ascii="Times New Roman" w:hAnsi="Times New Roman" w:cs="Times New Roman"/>
          <w:sz w:val="24"/>
          <w:szCs w:val="24"/>
        </w:rPr>
        <w:t xml:space="preserve">theta </w:t>
      </w:r>
      <w:r>
        <w:rPr>
          <w:rFonts w:ascii="Times New Roman" w:hAnsi="Times New Roman" w:cs="Times New Roman"/>
          <w:sz w:val="24"/>
          <w:szCs w:val="24"/>
        </w:rPr>
        <w:t xml:space="preserve">estimates </w:t>
      </w:r>
      <w:r w:rsidR="00081FDD">
        <w:rPr>
          <w:rFonts w:ascii="Times New Roman" w:hAnsi="Times New Roman" w:cs="Times New Roman"/>
          <w:sz w:val="24"/>
          <w:szCs w:val="24"/>
        </w:rPr>
        <w:t xml:space="preserve">to </w:t>
      </w:r>
      <w:r>
        <w:rPr>
          <w:rFonts w:ascii="Times New Roman" w:hAnsi="Times New Roman" w:cs="Times New Roman"/>
          <w:sz w:val="24"/>
          <w:szCs w:val="24"/>
        </w:rPr>
        <w:t xml:space="preserve">test whether the estimate of 0.35 from SFG (2011) is still an appropriate estimate, and asks whether this sensitivity analysis is appropriate </w:t>
      </w:r>
      <w:r w:rsidR="00081FDD">
        <w:rPr>
          <w:rFonts w:ascii="Times New Roman" w:hAnsi="Times New Roman" w:cs="Times New Roman"/>
          <w:sz w:val="24"/>
          <w:szCs w:val="24"/>
        </w:rPr>
        <w:t xml:space="preserve">or </w:t>
      </w:r>
      <w:r>
        <w:rPr>
          <w:rFonts w:ascii="Times New Roman" w:hAnsi="Times New Roman" w:cs="Times New Roman"/>
          <w:sz w:val="24"/>
          <w:szCs w:val="24"/>
        </w:rPr>
        <w:t>whether the updated data should be used to generat</w:t>
      </w:r>
      <w:r w:rsidR="002E2AE7">
        <w:rPr>
          <w:rFonts w:ascii="Times New Roman" w:hAnsi="Times New Roman" w:cs="Times New Roman"/>
          <w:sz w:val="24"/>
          <w:szCs w:val="24"/>
        </w:rPr>
        <w:t xml:space="preserve">e a new point estimate of theta.  </w:t>
      </w:r>
      <w:r w:rsidR="007F7F6D">
        <w:rPr>
          <w:rFonts w:ascii="Times New Roman" w:hAnsi="Times New Roman" w:cs="Times New Roman"/>
          <w:sz w:val="24"/>
          <w:szCs w:val="24"/>
        </w:rPr>
        <w:t xml:space="preserve">The analysis in </w:t>
      </w:r>
      <w:r w:rsidR="002E2AE7">
        <w:rPr>
          <w:rFonts w:ascii="Times New Roman" w:hAnsi="Times New Roman" w:cs="Times New Roman"/>
          <w:sz w:val="24"/>
          <w:szCs w:val="24"/>
        </w:rPr>
        <w:t xml:space="preserve">Frontier (2016a, section 4.6) </w:t>
      </w:r>
      <w:r w:rsidR="003870CC">
        <w:rPr>
          <w:rFonts w:ascii="Times New Roman" w:hAnsi="Times New Roman" w:cs="Times New Roman"/>
          <w:sz w:val="24"/>
          <w:szCs w:val="24"/>
        </w:rPr>
        <w:t xml:space="preserve">has the rather odd feature that the rationale for the preferred estimate </w:t>
      </w:r>
      <w:r w:rsidR="00833914">
        <w:rPr>
          <w:rFonts w:ascii="Times New Roman" w:hAnsi="Times New Roman" w:cs="Times New Roman"/>
          <w:sz w:val="24"/>
          <w:szCs w:val="24"/>
        </w:rPr>
        <w:t xml:space="preserve">for the coefficient on the credits </w:t>
      </w:r>
      <w:r w:rsidR="003870CC">
        <w:rPr>
          <w:rFonts w:ascii="Times New Roman" w:hAnsi="Times New Roman" w:cs="Times New Roman"/>
          <w:sz w:val="24"/>
          <w:szCs w:val="24"/>
        </w:rPr>
        <w:t xml:space="preserve">of 0.35 does not appear until the last sentence in the paper.  This suggests that the </w:t>
      </w:r>
      <w:r w:rsidR="00833914">
        <w:rPr>
          <w:rFonts w:ascii="Times New Roman" w:hAnsi="Times New Roman" w:cs="Times New Roman"/>
          <w:sz w:val="24"/>
          <w:szCs w:val="24"/>
        </w:rPr>
        <w:t xml:space="preserve">figure of </w:t>
      </w:r>
      <w:r w:rsidR="002E2AE7">
        <w:rPr>
          <w:rFonts w:ascii="Times New Roman" w:hAnsi="Times New Roman" w:cs="Times New Roman"/>
          <w:sz w:val="24"/>
          <w:szCs w:val="24"/>
        </w:rPr>
        <w:t xml:space="preserve">0.35 is simply drawn from SFG (2011) and the only purpose of Frontier (2016a) is to </w:t>
      </w:r>
      <w:r w:rsidR="0001453A">
        <w:rPr>
          <w:rFonts w:ascii="Times New Roman" w:hAnsi="Times New Roman" w:cs="Times New Roman"/>
          <w:sz w:val="24"/>
          <w:szCs w:val="24"/>
        </w:rPr>
        <w:t xml:space="preserve">further advocate for that figure.  </w:t>
      </w:r>
      <w:r w:rsidR="002E2AE7">
        <w:rPr>
          <w:rFonts w:ascii="Times New Roman" w:hAnsi="Times New Roman" w:cs="Times New Roman"/>
          <w:sz w:val="24"/>
          <w:szCs w:val="24"/>
        </w:rPr>
        <w:t xml:space="preserve">However, the </w:t>
      </w:r>
      <w:r w:rsidR="00B35BCA">
        <w:rPr>
          <w:rFonts w:ascii="Times New Roman" w:hAnsi="Times New Roman" w:cs="Times New Roman"/>
          <w:sz w:val="24"/>
          <w:szCs w:val="24"/>
        </w:rPr>
        <w:t xml:space="preserve">important </w:t>
      </w:r>
      <w:r w:rsidR="002E2AE7">
        <w:rPr>
          <w:rFonts w:ascii="Times New Roman" w:hAnsi="Times New Roman" w:cs="Times New Roman"/>
          <w:sz w:val="24"/>
          <w:szCs w:val="24"/>
        </w:rPr>
        <w:t xml:space="preserve">issue here is </w:t>
      </w:r>
      <w:r w:rsidR="00B35BCA">
        <w:rPr>
          <w:rFonts w:ascii="Times New Roman" w:hAnsi="Times New Roman" w:cs="Times New Roman"/>
          <w:sz w:val="24"/>
          <w:szCs w:val="24"/>
        </w:rPr>
        <w:t xml:space="preserve">what conclusion should be reached about this parameter based upon the </w:t>
      </w:r>
      <w:r w:rsidR="00D2744C">
        <w:rPr>
          <w:rFonts w:ascii="Times New Roman" w:hAnsi="Times New Roman" w:cs="Times New Roman"/>
          <w:sz w:val="24"/>
          <w:szCs w:val="24"/>
        </w:rPr>
        <w:t>results in Fron</w:t>
      </w:r>
      <w:r w:rsidR="00B35BCA">
        <w:rPr>
          <w:rFonts w:ascii="Times New Roman" w:hAnsi="Times New Roman" w:cs="Times New Roman"/>
          <w:sz w:val="24"/>
          <w:szCs w:val="24"/>
        </w:rPr>
        <w:t>tier (2016a, Table 2, Table 3)</w:t>
      </w:r>
      <w:r w:rsidR="00D2744C">
        <w:rPr>
          <w:rFonts w:ascii="Times New Roman" w:hAnsi="Times New Roman" w:cs="Times New Roman"/>
          <w:sz w:val="24"/>
          <w:szCs w:val="24"/>
        </w:rPr>
        <w:t xml:space="preserve">.  </w:t>
      </w:r>
      <w:r w:rsidR="00B35BCA">
        <w:rPr>
          <w:rFonts w:ascii="Times New Roman" w:hAnsi="Times New Roman" w:cs="Times New Roman"/>
          <w:sz w:val="24"/>
          <w:szCs w:val="24"/>
        </w:rPr>
        <w:t xml:space="preserve">These results average 0.32, </w:t>
      </w:r>
      <w:r w:rsidR="009A2800">
        <w:rPr>
          <w:rFonts w:ascii="Times New Roman" w:hAnsi="Times New Roman" w:cs="Times New Roman"/>
          <w:sz w:val="24"/>
          <w:szCs w:val="24"/>
        </w:rPr>
        <w:t xml:space="preserve">and </w:t>
      </w:r>
      <w:r w:rsidR="00B35BCA">
        <w:rPr>
          <w:rFonts w:ascii="Times New Roman" w:hAnsi="Times New Roman" w:cs="Times New Roman"/>
          <w:sz w:val="24"/>
          <w:szCs w:val="24"/>
        </w:rPr>
        <w:t xml:space="preserve">0.38 if only </w:t>
      </w:r>
      <w:r w:rsidR="009A2800">
        <w:rPr>
          <w:rFonts w:ascii="Times New Roman" w:hAnsi="Times New Roman" w:cs="Times New Roman"/>
          <w:sz w:val="24"/>
          <w:szCs w:val="24"/>
        </w:rPr>
        <w:t xml:space="preserve">the </w:t>
      </w:r>
      <w:r w:rsidR="00B35BCA">
        <w:rPr>
          <w:rFonts w:ascii="Times New Roman" w:hAnsi="Times New Roman" w:cs="Times New Roman"/>
          <w:sz w:val="24"/>
          <w:szCs w:val="24"/>
        </w:rPr>
        <w:t xml:space="preserve">Model 4 </w:t>
      </w:r>
      <w:r w:rsidR="009A2800">
        <w:rPr>
          <w:rFonts w:ascii="Times New Roman" w:hAnsi="Times New Roman" w:cs="Times New Roman"/>
          <w:sz w:val="24"/>
          <w:szCs w:val="24"/>
        </w:rPr>
        <w:t xml:space="preserve">results are </w:t>
      </w:r>
      <w:r w:rsidR="00B35BCA">
        <w:rPr>
          <w:rFonts w:ascii="Times New Roman" w:hAnsi="Times New Roman" w:cs="Times New Roman"/>
          <w:sz w:val="24"/>
          <w:szCs w:val="24"/>
        </w:rPr>
        <w:t xml:space="preserve">considered.  </w:t>
      </w:r>
      <w:r w:rsidR="00D2744C">
        <w:rPr>
          <w:rFonts w:ascii="Times New Roman" w:hAnsi="Times New Roman" w:cs="Times New Roman"/>
          <w:sz w:val="24"/>
          <w:szCs w:val="24"/>
        </w:rPr>
        <w:t xml:space="preserve">Frontier (ibid, para 100) </w:t>
      </w:r>
      <w:r w:rsidR="00B35BCA">
        <w:rPr>
          <w:rFonts w:ascii="Times New Roman" w:hAnsi="Times New Roman" w:cs="Times New Roman"/>
          <w:sz w:val="24"/>
          <w:szCs w:val="24"/>
        </w:rPr>
        <w:t xml:space="preserve">favours </w:t>
      </w:r>
      <w:r w:rsidR="00D2744C">
        <w:rPr>
          <w:rFonts w:ascii="Times New Roman" w:hAnsi="Times New Roman" w:cs="Times New Roman"/>
          <w:sz w:val="24"/>
          <w:szCs w:val="24"/>
        </w:rPr>
        <w:t>more weight on the Model 4 results</w:t>
      </w:r>
      <w:r w:rsidR="00B35BCA">
        <w:rPr>
          <w:rFonts w:ascii="Times New Roman" w:hAnsi="Times New Roman" w:cs="Times New Roman"/>
          <w:sz w:val="24"/>
          <w:szCs w:val="24"/>
        </w:rPr>
        <w:t>, and favours an estimate of 0.35</w:t>
      </w:r>
      <w:r w:rsidR="00D2744C">
        <w:rPr>
          <w:rFonts w:ascii="Times New Roman" w:hAnsi="Times New Roman" w:cs="Times New Roman"/>
          <w:sz w:val="24"/>
          <w:szCs w:val="24"/>
        </w:rPr>
        <w:t xml:space="preserve">.  </w:t>
      </w:r>
      <w:r w:rsidR="009A2800">
        <w:rPr>
          <w:rFonts w:ascii="Times New Roman" w:hAnsi="Times New Roman" w:cs="Times New Roman"/>
          <w:sz w:val="24"/>
          <w:szCs w:val="24"/>
        </w:rPr>
        <w:t xml:space="preserve">Given the preference for Model 4, such </w:t>
      </w:r>
      <w:r w:rsidR="00B35BCA">
        <w:rPr>
          <w:rFonts w:ascii="Times New Roman" w:hAnsi="Times New Roman" w:cs="Times New Roman"/>
          <w:sz w:val="24"/>
          <w:szCs w:val="24"/>
        </w:rPr>
        <w:t>a conclusion is reasonable.  SFG (2011) also favoured the results from robust regression, and these now average 0.34 (Frontier, 2016a, Table 3).</w:t>
      </w:r>
      <w:r w:rsidR="009A2800">
        <w:rPr>
          <w:rFonts w:ascii="Times New Roman" w:hAnsi="Times New Roman" w:cs="Times New Roman"/>
          <w:sz w:val="24"/>
          <w:szCs w:val="24"/>
        </w:rPr>
        <w:t xml:space="preserve">  So, even if Frontier (2016a) had exhibited the same preferences as SFG (2011), </w:t>
      </w:r>
      <w:r w:rsidR="00DA6937">
        <w:rPr>
          <w:rFonts w:ascii="Times New Roman" w:hAnsi="Times New Roman" w:cs="Times New Roman"/>
          <w:sz w:val="24"/>
          <w:szCs w:val="24"/>
        </w:rPr>
        <w:t xml:space="preserve">for both Model 4 and robust regression results, </w:t>
      </w:r>
      <w:r w:rsidR="009A2800">
        <w:rPr>
          <w:rFonts w:ascii="Times New Roman" w:hAnsi="Times New Roman" w:cs="Times New Roman"/>
          <w:sz w:val="24"/>
          <w:szCs w:val="24"/>
        </w:rPr>
        <w:t>a figure of</w:t>
      </w:r>
      <w:r w:rsidR="00C97728">
        <w:rPr>
          <w:rFonts w:ascii="Times New Roman" w:hAnsi="Times New Roman" w:cs="Times New Roman"/>
          <w:sz w:val="24"/>
          <w:szCs w:val="24"/>
        </w:rPr>
        <w:t xml:space="preserve"> 0.35 would still be reasonable.  </w:t>
      </w:r>
      <w:r w:rsidR="00E7154D">
        <w:rPr>
          <w:rFonts w:ascii="Times New Roman" w:hAnsi="Times New Roman" w:cs="Times New Roman"/>
          <w:sz w:val="24"/>
          <w:szCs w:val="24"/>
        </w:rPr>
        <w:t xml:space="preserve">Thus, </w:t>
      </w:r>
      <w:r w:rsidR="00C97728">
        <w:rPr>
          <w:rFonts w:ascii="Times New Roman" w:hAnsi="Times New Roman" w:cs="Times New Roman"/>
          <w:sz w:val="24"/>
          <w:szCs w:val="24"/>
        </w:rPr>
        <w:t xml:space="preserve">given Frontier’s methodology </w:t>
      </w:r>
      <w:r w:rsidR="00DA6937">
        <w:rPr>
          <w:rFonts w:ascii="Times New Roman" w:hAnsi="Times New Roman" w:cs="Times New Roman"/>
          <w:sz w:val="24"/>
          <w:szCs w:val="24"/>
        </w:rPr>
        <w:t xml:space="preserve">and </w:t>
      </w:r>
      <w:r w:rsidR="00C97728">
        <w:rPr>
          <w:rFonts w:ascii="Times New Roman" w:hAnsi="Times New Roman" w:cs="Times New Roman"/>
          <w:sz w:val="24"/>
          <w:szCs w:val="24"/>
        </w:rPr>
        <w:t xml:space="preserve">results, and applying greater weight to either the Model 4 results or both the Model 4 results and the robust regression results, an estimated coefficient on the credits of 0.35 is appropriate.  However, all of </w:t>
      </w:r>
      <w:r w:rsidR="007C6571">
        <w:rPr>
          <w:rFonts w:ascii="Times New Roman" w:hAnsi="Times New Roman" w:cs="Times New Roman"/>
          <w:sz w:val="24"/>
          <w:szCs w:val="24"/>
        </w:rPr>
        <w:t>my</w:t>
      </w:r>
      <w:r w:rsidR="00C97728">
        <w:rPr>
          <w:rFonts w:ascii="Times New Roman" w:hAnsi="Times New Roman" w:cs="Times New Roman"/>
          <w:sz w:val="24"/>
          <w:szCs w:val="24"/>
        </w:rPr>
        <w:t xml:space="preserve"> concerns </w:t>
      </w:r>
      <w:r w:rsidR="007C6571">
        <w:rPr>
          <w:rFonts w:ascii="Times New Roman" w:hAnsi="Times New Roman" w:cs="Times New Roman"/>
          <w:sz w:val="24"/>
          <w:szCs w:val="24"/>
        </w:rPr>
        <w:t xml:space="preserve">about this methodology that have been </w:t>
      </w:r>
      <w:r w:rsidR="00C97728">
        <w:rPr>
          <w:rFonts w:ascii="Times New Roman" w:hAnsi="Times New Roman" w:cs="Times New Roman"/>
          <w:sz w:val="24"/>
          <w:szCs w:val="24"/>
        </w:rPr>
        <w:t xml:space="preserve">expressed in the previous section </w:t>
      </w:r>
      <w:r w:rsidR="00DA6937">
        <w:rPr>
          <w:rFonts w:ascii="Times New Roman" w:hAnsi="Times New Roman" w:cs="Times New Roman"/>
          <w:sz w:val="24"/>
          <w:szCs w:val="24"/>
        </w:rPr>
        <w:t xml:space="preserve">still </w:t>
      </w:r>
      <w:r w:rsidR="00C97728">
        <w:rPr>
          <w:rFonts w:ascii="Times New Roman" w:hAnsi="Times New Roman" w:cs="Times New Roman"/>
          <w:sz w:val="24"/>
          <w:szCs w:val="24"/>
        </w:rPr>
        <w:t>remain.</w:t>
      </w:r>
    </w:p>
    <w:p w:rsidR="00B55056" w:rsidRDefault="00B55056" w:rsidP="00C54A71">
      <w:pPr>
        <w:spacing w:after="0" w:line="360" w:lineRule="auto"/>
        <w:jc w:val="both"/>
        <w:rPr>
          <w:rFonts w:ascii="Times New Roman" w:hAnsi="Times New Roman" w:cs="Times New Roman"/>
          <w:sz w:val="24"/>
          <w:szCs w:val="24"/>
        </w:rPr>
      </w:pPr>
    </w:p>
    <w:p w:rsidR="00B55056" w:rsidRDefault="00B55056" w:rsidP="00C54A7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Fifthly, the AER asks whether the manner in which the robust regression </w:t>
      </w:r>
      <w:r w:rsidR="005167CC">
        <w:rPr>
          <w:rFonts w:ascii="Times New Roman" w:hAnsi="Times New Roman" w:cs="Times New Roman"/>
          <w:sz w:val="24"/>
          <w:szCs w:val="24"/>
        </w:rPr>
        <w:t xml:space="preserve">analysis </w:t>
      </w:r>
      <w:r>
        <w:rPr>
          <w:rFonts w:ascii="Times New Roman" w:hAnsi="Times New Roman" w:cs="Times New Roman"/>
          <w:sz w:val="24"/>
          <w:szCs w:val="24"/>
        </w:rPr>
        <w:t xml:space="preserve">has been conducted is appropriate.  As noted in the previous section, </w:t>
      </w:r>
      <w:r w:rsidR="008F03B0">
        <w:rPr>
          <w:rFonts w:ascii="Times New Roman" w:hAnsi="Times New Roman" w:cs="Times New Roman"/>
          <w:sz w:val="24"/>
          <w:szCs w:val="24"/>
        </w:rPr>
        <w:t xml:space="preserve">SFG (2013) and Frontier (2016a) present results using only the default option values for the tuning coefficient whilst </w:t>
      </w:r>
      <w:r>
        <w:rPr>
          <w:rFonts w:ascii="Times New Roman" w:hAnsi="Times New Roman" w:cs="Times New Roman"/>
          <w:sz w:val="24"/>
          <w:szCs w:val="24"/>
        </w:rPr>
        <w:t xml:space="preserve">Vo et al (2013) </w:t>
      </w:r>
      <w:r w:rsidR="008F03B0">
        <w:rPr>
          <w:rFonts w:ascii="Times New Roman" w:hAnsi="Times New Roman" w:cs="Times New Roman"/>
          <w:sz w:val="24"/>
          <w:szCs w:val="24"/>
        </w:rPr>
        <w:t xml:space="preserve">presents results </w:t>
      </w:r>
      <w:r>
        <w:rPr>
          <w:rFonts w:ascii="Times New Roman" w:hAnsi="Times New Roman" w:cs="Times New Roman"/>
          <w:sz w:val="24"/>
          <w:szCs w:val="24"/>
        </w:rPr>
        <w:t xml:space="preserve">with </w:t>
      </w:r>
      <w:r w:rsidR="000717FB">
        <w:rPr>
          <w:rFonts w:ascii="Times New Roman" w:hAnsi="Times New Roman" w:cs="Times New Roman"/>
          <w:sz w:val="24"/>
          <w:szCs w:val="24"/>
        </w:rPr>
        <w:t xml:space="preserve">a range of </w:t>
      </w:r>
      <w:r>
        <w:rPr>
          <w:rFonts w:ascii="Times New Roman" w:hAnsi="Times New Roman" w:cs="Times New Roman"/>
          <w:sz w:val="24"/>
          <w:szCs w:val="24"/>
        </w:rPr>
        <w:t xml:space="preserve">values </w:t>
      </w:r>
      <w:r w:rsidR="000717FB">
        <w:rPr>
          <w:rFonts w:ascii="Times New Roman" w:hAnsi="Times New Roman" w:cs="Times New Roman"/>
          <w:sz w:val="24"/>
          <w:szCs w:val="24"/>
        </w:rPr>
        <w:t xml:space="preserve">for the </w:t>
      </w:r>
      <w:r w:rsidR="00613858">
        <w:rPr>
          <w:rFonts w:ascii="Times New Roman" w:hAnsi="Times New Roman" w:cs="Times New Roman"/>
          <w:sz w:val="24"/>
          <w:szCs w:val="24"/>
        </w:rPr>
        <w:t xml:space="preserve">tuning coefficient </w:t>
      </w:r>
      <w:r>
        <w:rPr>
          <w:rFonts w:ascii="Times New Roman" w:hAnsi="Times New Roman" w:cs="Times New Roman"/>
          <w:sz w:val="24"/>
          <w:szCs w:val="24"/>
        </w:rPr>
        <w:t xml:space="preserve">in the model, and obtain significantly different estimates of the </w:t>
      </w:r>
      <w:r w:rsidR="008F03B0">
        <w:rPr>
          <w:rFonts w:ascii="Times New Roman" w:hAnsi="Times New Roman" w:cs="Times New Roman"/>
          <w:sz w:val="24"/>
          <w:szCs w:val="24"/>
        </w:rPr>
        <w:t xml:space="preserve">coefficient on franking credits.  </w:t>
      </w:r>
      <w:r w:rsidR="00C4671C">
        <w:rPr>
          <w:rFonts w:ascii="Times New Roman" w:hAnsi="Times New Roman" w:cs="Times New Roman"/>
          <w:sz w:val="24"/>
          <w:szCs w:val="24"/>
        </w:rPr>
        <w:t xml:space="preserve">So, Frontier’s failure to disclose the sensitivity of </w:t>
      </w:r>
      <w:r w:rsidR="00DA6937">
        <w:rPr>
          <w:rFonts w:ascii="Times New Roman" w:hAnsi="Times New Roman" w:cs="Times New Roman"/>
          <w:sz w:val="24"/>
          <w:szCs w:val="24"/>
        </w:rPr>
        <w:t xml:space="preserve">their </w:t>
      </w:r>
      <w:r w:rsidR="00C4671C">
        <w:rPr>
          <w:rFonts w:ascii="Times New Roman" w:hAnsi="Times New Roman" w:cs="Times New Roman"/>
          <w:sz w:val="24"/>
          <w:szCs w:val="24"/>
        </w:rPr>
        <w:t>results to this parameter is</w:t>
      </w:r>
      <w:r w:rsidR="00C97728">
        <w:rPr>
          <w:rFonts w:ascii="Times New Roman" w:hAnsi="Times New Roman" w:cs="Times New Roman"/>
          <w:sz w:val="24"/>
          <w:szCs w:val="24"/>
        </w:rPr>
        <w:t xml:space="preserve"> a deficiency in their analysis.  For example, in respect of Model 4, the estimated coefficient </w:t>
      </w:r>
      <w:r w:rsidR="00613858">
        <w:rPr>
          <w:rFonts w:ascii="Times New Roman" w:hAnsi="Times New Roman" w:cs="Times New Roman"/>
          <w:sz w:val="24"/>
          <w:szCs w:val="24"/>
        </w:rPr>
        <w:t xml:space="preserve">on the credits </w:t>
      </w:r>
      <w:r w:rsidR="00DA6937">
        <w:rPr>
          <w:rFonts w:ascii="Times New Roman" w:hAnsi="Times New Roman" w:cs="Times New Roman"/>
          <w:sz w:val="24"/>
          <w:szCs w:val="24"/>
        </w:rPr>
        <w:t xml:space="preserve">varied </w:t>
      </w:r>
      <w:r w:rsidR="00C97728">
        <w:rPr>
          <w:rFonts w:ascii="Times New Roman" w:hAnsi="Times New Roman" w:cs="Times New Roman"/>
          <w:sz w:val="24"/>
          <w:szCs w:val="24"/>
        </w:rPr>
        <w:t xml:space="preserve">from 0.32 to 0.64 </w:t>
      </w:r>
      <w:r w:rsidR="00613858">
        <w:rPr>
          <w:rFonts w:ascii="Times New Roman" w:hAnsi="Times New Roman" w:cs="Times New Roman"/>
          <w:sz w:val="24"/>
          <w:szCs w:val="24"/>
        </w:rPr>
        <w:t xml:space="preserve">as the tuning coefficient </w:t>
      </w:r>
      <w:r w:rsidR="00774E36">
        <w:rPr>
          <w:rFonts w:ascii="Times New Roman" w:hAnsi="Times New Roman" w:cs="Times New Roman"/>
          <w:sz w:val="24"/>
          <w:szCs w:val="24"/>
        </w:rPr>
        <w:t xml:space="preserve">was </w:t>
      </w:r>
      <w:r w:rsidR="00613858">
        <w:rPr>
          <w:rFonts w:ascii="Times New Roman" w:hAnsi="Times New Roman" w:cs="Times New Roman"/>
          <w:sz w:val="24"/>
          <w:szCs w:val="24"/>
        </w:rPr>
        <w:t xml:space="preserve">varied </w:t>
      </w:r>
      <w:r w:rsidR="00C97728">
        <w:rPr>
          <w:rFonts w:ascii="Times New Roman" w:hAnsi="Times New Roman" w:cs="Times New Roman"/>
          <w:sz w:val="24"/>
          <w:szCs w:val="24"/>
        </w:rPr>
        <w:t>(Vo et al, 2013, Table 11 and Figure 19).</w:t>
      </w:r>
      <w:r w:rsidR="00C97728">
        <w:rPr>
          <w:rStyle w:val="FootnoteReference"/>
          <w:rFonts w:ascii="Times New Roman" w:hAnsi="Times New Roman" w:cs="Times New Roman"/>
          <w:sz w:val="24"/>
          <w:szCs w:val="24"/>
        </w:rPr>
        <w:footnoteReference w:id="5"/>
      </w:r>
      <w:r w:rsidR="00C97728">
        <w:rPr>
          <w:rFonts w:ascii="Times New Roman" w:hAnsi="Times New Roman" w:cs="Times New Roman"/>
          <w:sz w:val="24"/>
          <w:szCs w:val="24"/>
        </w:rPr>
        <w:t xml:space="preserve">  Furthermore, </w:t>
      </w:r>
      <w:r w:rsidR="00613858">
        <w:rPr>
          <w:rFonts w:ascii="Times New Roman" w:hAnsi="Times New Roman" w:cs="Times New Roman"/>
          <w:sz w:val="24"/>
          <w:szCs w:val="24"/>
        </w:rPr>
        <w:t xml:space="preserve">although the </w:t>
      </w:r>
      <w:r w:rsidR="00C97728">
        <w:rPr>
          <w:rFonts w:ascii="Times New Roman" w:hAnsi="Times New Roman" w:cs="Times New Roman"/>
          <w:sz w:val="24"/>
          <w:szCs w:val="24"/>
        </w:rPr>
        <w:t>associated coefficients on cash dividends are not given</w:t>
      </w:r>
      <w:r w:rsidR="00613858">
        <w:rPr>
          <w:rFonts w:ascii="Times New Roman" w:hAnsi="Times New Roman" w:cs="Times New Roman"/>
          <w:sz w:val="24"/>
          <w:szCs w:val="24"/>
        </w:rPr>
        <w:t xml:space="preserve"> and therefore the result of dividing this into the coefficient on credits to obtain an estimate of the utilization rate is not possible, </w:t>
      </w:r>
      <w:r w:rsidR="00C97728">
        <w:rPr>
          <w:rFonts w:ascii="Times New Roman" w:hAnsi="Times New Roman" w:cs="Times New Roman"/>
          <w:sz w:val="24"/>
          <w:szCs w:val="24"/>
        </w:rPr>
        <w:t xml:space="preserve">it could be presumed that the range in estimates for </w:t>
      </w:r>
      <w:r w:rsidR="00C97728" w:rsidRPr="00560582">
        <w:rPr>
          <w:rFonts w:ascii="Times New Roman" w:hAnsi="Times New Roman" w:cs="Times New Roman"/>
          <w:i/>
          <w:sz w:val="24"/>
          <w:szCs w:val="24"/>
        </w:rPr>
        <w:t>U</w:t>
      </w:r>
      <w:r w:rsidR="00C97728">
        <w:rPr>
          <w:rFonts w:ascii="Times New Roman" w:hAnsi="Times New Roman" w:cs="Times New Roman"/>
          <w:sz w:val="24"/>
          <w:szCs w:val="24"/>
        </w:rPr>
        <w:t xml:space="preserve"> would be at least as great as that for the </w:t>
      </w:r>
      <w:r w:rsidR="00613858">
        <w:rPr>
          <w:rFonts w:ascii="Times New Roman" w:hAnsi="Times New Roman" w:cs="Times New Roman"/>
          <w:sz w:val="24"/>
          <w:szCs w:val="24"/>
        </w:rPr>
        <w:t xml:space="preserve">coefficient on franking credits.  Faced with such variation, </w:t>
      </w:r>
      <w:r w:rsidR="00613858">
        <w:rPr>
          <w:rFonts w:ascii="Times New Roman" w:hAnsi="Times New Roman" w:cs="Times New Roman"/>
          <w:sz w:val="24"/>
          <w:szCs w:val="24"/>
        </w:rPr>
        <w:lastRenderedPageBreak/>
        <w:t xml:space="preserve">and no argument from Frontier </w:t>
      </w:r>
      <w:r w:rsidR="00774E36">
        <w:rPr>
          <w:rFonts w:ascii="Times New Roman" w:hAnsi="Times New Roman" w:cs="Times New Roman"/>
          <w:sz w:val="24"/>
          <w:szCs w:val="24"/>
        </w:rPr>
        <w:t xml:space="preserve">(2016a) </w:t>
      </w:r>
      <w:r w:rsidR="00613858">
        <w:rPr>
          <w:rFonts w:ascii="Times New Roman" w:hAnsi="Times New Roman" w:cs="Times New Roman"/>
          <w:sz w:val="24"/>
          <w:szCs w:val="24"/>
        </w:rPr>
        <w:t>in support of using the default option value for the tuning coefficient, the merits of th</w:t>
      </w:r>
      <w:r w:rsidR="00774E36">
        <w:rPr>
          <w:rFonts w:ascii="Times New Roman" w:hAnsi="Times New Roman" w:cs="Times New Roman"/>
          <w:sz w:val="24"/>
          <w:szCs w:val="24"/>
        </w:rPr>
        <w:t>is DDO methodology are undercut.</w:t>
      </w:r>
    </w:p>
    <w:p w:rsidR="00774E36" w:rsidRDefault="00774E36" w:rsidP="00C54A71">
      <w:pPr>
        <w:spacing w:after="0" w:line="360" w:lineRule="auto"/>
        <w:jc w:val="both"/>
        <w:rPr>
          <w:rFonts w:ascii="Times New Roman" w:hAnsi="Times New Roman" w:cs="Times New Roman"/>
          <w:sz w:val="24"/>
          <w:szCs w:val="24"/>
        </w:rPr>
      </w:pPr>
    </w:p>
    <w:p w:rsidR="00774E36" w:rsidRDefault="00774E36" w:rsidP="00C54A7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Sixthly, the AER asks whether other DDO studies are available to estimate </w:t>
      </w:r>
      <w:r w:rsidR="000E35AE">
        <w:rPr>
          <w:rFonts w:ascii="Times New Roman" w:hAnsi="Times New Roman" w:cs="Times New Roman"/>
          <w:sz w:val="24"/>
          <w:szCs w:val="24"/>
        </w:rPr>
        <w:t>the value of distributed imputation credits</w:t>
      </w:r>
      <w:r>
        <w:rPr>
          <w:rFonts w:ascii="Times New Roman" w:hAnsi="Times New Roman" w:cs="Times New Roman"/>
          <w:sz w:val="24"/>
          <w:szCs w:val="24"/>
        </w:rPr>
        <w:t xml:space="preserve">.  The previous section has referred to two further studies: Vo et </w:t>
      </w:r>
      <w:r w:rsidR="00FD0D0C">
        <w:rPr>
          <w:rFonts w:ascii="Times New Roman" w:hAnsi="Times New Roman" w:cs="Times New Roman"/>
          <w:sz w:val="24"/>
          <w:szCs w:val="24"/>
        </w:rPr>
        <w:t xml:space="preserve">al (2013) and Mero et al (2016).  These studies reinforce the fifth, sixth and seventh concerns </w:t>
      </w:r>
      <w:r w:rsidR="00334AFE">
        <w:rPr>
          <w:rFonts w:ascii="Times New Roman" w:hAnsi="Times New Roman" w:cs="Times New Roman"/>
          <w:sz w:val="24"/>
          <w:szCs w:val="24"/>
        </w:rPr>
        <w:t xml:space="preserve">about the DDO methodology </w:t>
      </w:r>
      <w:r w:rsidR="00FD0D0C">
        <w:rPr>
          <w:rFonts w:ascii="Times New Roman" w:hAnsi="Times New Roman" w:cs="Times New Roman"/>
          <w:sz w:val="24"/>
          <w:szCs w:val="24"/>
        </w:rPr>
        <w:t>des</w:t>
      </w:r>
      <w:r w:rsidR="00334AFE">
        <w:rPr>
          <w:rFonts w:ascii="Times New Roman" w:hAnsi="Times New Roman" w:cs="Times New Roman"/>
          <w:sz w:val="24"/>
          <w:szCs w:val="24"/>
        </w:rPr>
        <w:t xml:space="preserve">cribed in the previous section: the </w:t>
      </w:r>
      <w:r w:rsidR="00F4345E">
        <w:rPr>
          <w:rFonts w:ascii="Times New Roman" w:hAnsi="Times New Roman" w:cs="Times New Roman"/>
          <w:sz w:val="24"/>
          <w:szCs w:val="24"/>
        </w:rPr>
        <w:t xml:space="preserve">failure to reproduce </w:t>
      </w:r>
      <w:r w:rsidR="00963253">
        <w:rPr>
          <w:rFonts w:ascii="Times New Roman" w:hAnsi="Times New Roman" w:cs="Times New Roman"/>
          <w:sz w:val="24"/>
          <w:szCs w:val="24"/>
        </w:rPr>
        <w:t xml:space="preserve">SFG’s </w:t>
      </w:r>
      <w:r w:rsidR="00F4345E">
        <w:rPr>
          <w:rFonts w:ascii="Times New Roman" w:hAnsi="Times New Roman" w:cs="Times New Roman"/>
          <w:sz w:val="24"/>
          <w:szCs w:val="24"/>
        </w:rPr>
        <w:t xml:space="preserve">results, </w:t>
      </w:r>
      <w:r w:rsidR="00334AFE">
        <w:rPr>
          <w:rFonts w:ascii="Times New Roman" w:hAnsi="Times New Roman" w:cs="Times New Roman"/>
          <w:sz w:val="24"/>
          <w:szCs w:val="24"/>
        </w:rPr>
        <w:t xml:space="preserve">the </w:t>
      </w:r>
      <w:r w:rsidR="00F4345E">
        <w:rPr>
          <w:rFonts w:ascii="Times New Roman" w:hAnsi="Times New Roman" w:cs="Times New Roman"/>
          <w:sz w:val="24"/>
          <w:szCs w:val="24"/>
        </w:rPr>
        <w:t xml:space="preserve">significant </w:t>
      </w:r>
      <w:r w:rsidR="00334AFE">
        <w:rPr>
          <w:rFonts w:ascii="Times New Roman" w:hAnsi="Times New Roman" w:cs="Times New Roman"/>
          <w:sz w:val="24"/>
          <w:szCs w:val="24"/>
        </w:rPr>
        <w:t xml:space="preserve">impact of outliers on the estimate of </w:t>
      </w:r>
      <w:r w:rsidR="00963253">
        <w:rPr>
          <w:rFonts w:ascii="Times New Roman" w:hAnsi="Times New Roman" w:cs="Times New Roman"/>
          <w:sz w:val="24"/>
          <w:szCs w:val="24"/>
        </w:rPr>
        <w:t xml:space="preserve">estimate of the coefficient on the credits </w:t>
      </w:r>
      <w:r w:rsidR="00334AFE">
        <w:rPr>
          <w:rFonts w:ascii="Times New Roman" w:hAnsi="Times New Roman" w:cs="Times New Roman"/>
          <w:sz w:val="24"/>
          <w:szCs w:val="24"/>
        </w:rPr>
        <w:t xml:space="preserve">(when considered in a conventional fashion), and the </w:t>
      </w:r>
      <w:r w:rsidR="00F4345E">
        <w:rPr>
          <w:rFonts w:ascii="Times New Roman" w:hAnsi="Times New Roman" w:cs="Times New Roman"/>
          <w:sz w:val="24"/>
          <w:szCs w:val="24"/>
        </w:rPr>
        <w:t xml:space="preserve">significant </w:t>
      </w:r>
      <w:r w:rsidR="00334AFE">
        <w:rPr>
          <w:rFonts w:ascii="Times New Roman" w:hAnsi="Times New Roman" w:cs="Times New Roman"/>
          <w:sz w:val="24"/>
          <w:szCs w:val="24"/>
        </w:rPr>
        <w:t>impact of the choice of the tuning coefficient in robust regression.</w:t>
      </w:r>
    </w:p>
    <w:p w:rsidR="00C54A71" w:rsidRDefault="00C54A71" w:rsidP="00122250">
      <w:pPr>
        <w:spacing w:after="0" w:line="360" w:lineRule="auto"/>
        <w:jc w:val="both"/>
        <w:rPr>
          <w:rFonts w:ascii="Times New Roman" w:hAnsi="Times New Roman" w:cs="Times New Roman"/>
          <w:sz w:val="24"/>
          <w:szCs w:val="24"/>
        </w:rPr>
      </w:pPr>
    </w:p>
    <w:p w:rsidR="00122250" w:rsidRPr="005C1F88" w:rsidRDefault="00735882" w:rsidP="001E2EC4">
      <w:pPr>
        <w:pStyle w:val="ListParagraph"/>
        <w:numPr>
          <w:ilvl w:val="0"/>
          <w:numId w:val="1"/>
        </w:numPr>
        <w:spacing w:after="0" w:line="360" w:lineRule="auto"/>
        <w:ind w:left="360"/>
        <w:jc w:val="both"/>
        <w:rPr>
          <w:rFonts w:ascii="Times New Roman" w:hAnsi="Times New Roman" w:cs="Times New Roman"/>
          <w:b/>
          <w:sz w:val="24"/>
          <w:szCs w:val="24"/>
        </w:rPr>
      </w:pPr>
      <w:r>
        <w:rPr>
          <w:rFonts w:ascii="Times New Roman" w:hAnsi="Times New Roman" w:cs="Times New Roman"/>
          <w:b/>
          <w:sz w:val="24"/>
          <w:szCs w:val="24"/>
        </w:rPr>
        <w:t>Issues in the Estimation of Gamma</w:t>
      </w:r>
    </w:p>
    <w:p w:rsidR="00122250" w:rsidRPr="00203203" w:rsidRDefault="00122250" w:rsidP="00122250">
      <w:pPr>
        <w:spacing w:after="0" w:line="360" w:lineRule="auto"/>
        <w:rPr>
          <w:rFonts w:ascii="Times New Roman" w:hAnsi="Times New Roman" w:cs="Times New Roman"/>
          <w:sz w:val="24"/>
          <w:szCs w:val="24"/>
        </w:rPr>
      </w:pPr>
    </w:p>
    <w:p w:rsidR="00735882" w:rsidRDefault="008D392A" w:rsidP="0012225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Frontier (2016b) raises a number of points concerning gamma.  </w:t>
      </w:r>
      <w:r w:rsidR="0057208B">
        <w:rPr>
          <w:rFonts w:ascii="Times New Roman" w:hAnsi="Times New Roman" w:cs="Times New Roman"/>
          <w:sz w:val="24"/>
          <w:szCs w:val="24"/>
        </w:rPr>
        <w:t xml:space="preserve">In </w:t>
      </w:r>
      <w:r w:rsidR="001B6926">
        <w:rPr>
          <w:rFonts w:ascii="Times New Roman" w:hAnsi="Times New Roman" w:cs="Times New Roman"/>
          <w:sz w:val="24"/>
          <w:szCs w:val="24"/>
        </w:rPr>
        <w:t xml:space="preserve">response to </w:t>
      </w:r>
      <w:r w:rsidR="0057208B">
        <w:rPr>
          <w:rFonts w:ascii="Times New Roman" w:hAnsi="Times New Roman" w:cs="Times New Roman"/>
          <w:sz w:val="24"/>
          <w:szCs w:val="24"/>
        </w:rPr>
        <w:t xml:space="preserve">the estimate of 0.84 for the distribution rate of the 20 largest ASX companies in Lally </w:t>
      </w:r>
      <w:r w:rsidR="003E7584">
        <w:rPr>
          <w:rFonts w:ascii="Times New Roman" w:hAnsi="Times New Roman" w:cs="Times New Roman"/>
          <w:sz w:val="24"/>
          <w:szCs w:val="24"/>
        </w:rPr>
        <w:t xml:space="preserve">(2014), </w:t>
      </w:r>
      <w:r w:rsidR="00D04848">
        <w:rPr>
          <w:rFonts w:ascii="Times New Roman" w:hAnsi="Times New Roman" w:cs="Times New Roman"/>
          <w:sz w:val="24"/>
          <w:szCs w:val="24"/>
        </w:rPr>
        <w:t>Frontier (2016b</w:t>
      </w:r>
      <w:r w:rsidR="00735882">
        <w:rPr>
          <w:rFonts w:ascii="Times New Roman" w:hAnsi="Times New Roman" w:cs="Times New Roman"/>
          <w:sz w:val="24"/>
          <w:szCs w:val="24"/>
        </w:rPr>
        <w:t xml:space="preserve">, </w:t>
      </w:r>
      <w:r w:rsidR="008977E0">
        <w:rPr>
          <w:rFonts w:ascii="Times New Roman" w:hAnsi="Times New Roman" w:cs="Times New Roman"/>
          <w:sz w:val="24"/>
          <w:szCs w:val="24"/>
        </w:rPr>
        <w:t>paras 22-31</w:t>
      </w:r>
      <w:r w:rsidR="00735882">
        <w:rPr>
          <w:rFonts w:ascii="Times New Roman" w:hAnsi="Times New Roman" w:cs="Times New Roman"/>
          <w:sz w:val="24"/>
          <w:szCs w:val="24"/>
        </w:rPr>
        <w:t>)</w:t>
      </w:r>
      <w:r w:rsidR="003E7584">
        <w:rPr>
          <w:rFonts w:ascii="Times New Roman" w:hAnsi="Times New Roman" w:cs="Times New Roman"/>
          <w:sz w:val="24"/>
          <w:szCs w:val="24"/>
        </w:rPr>
        <w:t xml:space="preserve"> notes that these companies have material levels of foreign income, that such income permits the distribution rate to be raised, and therefore use of these companies overestimates the distribution rate of the BEE (which has no foreign income).  Frontier </w:t>
      </w:r>
      <w:r w:rsidR="001B6926">
        <w:rPr>
          <w:rFonts w:ascii="Times New Roman" w:hAnsi="Times New Roman" w:cs="Times New Roman"/>
          <w:sz w:val="24"/>
          <w:szCs w:val="24"/>
        </w:rPr>
        <w:t xml:space="preserve">also </w:t>
      </w:r>
      <w:r w:rsidR="003E7584">
        <w:rPr>
          <w:rFonts w:ascii="Times New Roman" w:hAnsi="Times New Roman" w:cs="Times New Roman"/>
          <w:sz w:val="24"/>
          <w:szCs w:val="24"/>
        </w:rPr>
        <w:t xml:space="preserve">notes that </w:t>
      </w:r>
      <w:r w:rsidR="00E74AE3">
        <w:rPr>
          <w:rFonts w:ascii="Times New Roman" w:hAnsi="Times New Roman" w:cs="Times New Roman"/>
          <w:sz w:val="24"/>
          <w:szCs w:val="24"/>
        </w:rPr>
        <w:t>Lally</w:t>
      </w:r>
      <w:r w:rsidR="003B3EA2">
        <w:rPr>
          <w:rFonts w:ascii="Times New Roman" w:hAnsi="Times New Roman" w:cs="Times New Roman"/>
          <w:sz w:val="24"/>
          <w:szCs w:val="24"/>
        </w:rPr>
        <w:t xml:space="preserve"> (2016a</w:t>
      </w:r>
      <w:r w:rsidR="00E74AE3">
        <w:rPr>
          <w:rFonts w:ascii="Times New Roman" w:hAnsi="Times New Roman" w:cs="Times New Roman"/>
          <w:sz w:val="24"/>
          <w:szCs w:val="24"/>
        </w:rPr>
        <w:t xml:space="preserve">, section 3.5) has examined seven of these firms (those with the largest tax payments to the ATO), shown that the distribution rate for credits decreases as the proportion of income from foreign operations rises (contrary to Frontier’s claim), and </w:t>
      </w:r>
      <w:r w:rsidR="005A204E">
        <w:rPr>
          <w:rFonts w:ascii="Times New Roman" w:hAnsi="Times New Roman" w:cs="Times New Roman"/>
          <w:sz w:val="24"/>
          <w:szCs w:val="24"/>
        </w:rPr>
        <w:t xml:space="preserve">that Lally </w:t>
      </w:r>
      <w:r w:rsidR="00E74AE3">
        <w:rPr>
          <w:rFonts w:ascii="Times New Roman" w:hAnsi="Times New Roman" w:cs="Times New Roman"/>
          <w:sz w:val="24"/>
          <w:szCs w:val="24"/>
        </w:rPr>
        <w:t xml:space="preserve">provides </w:t>
      </w:r>
      <w:r w:rsidR="003E4C0B">
        <w:rPr>
          <w:rFonts w:ascii="Times New Roman" w:hAnsi="Times New Roman" w:cs="Times New Roman"/>
          <w:sz w:val="24"/>
          <w:szCs w:val="24"/>
        </w:rPr>
        <w:t>an explanation for this pattern.  In response, Frontier argues that the correct comparison is between firms without foreign income and those with it rather than amongst firms that all have some foreign income.</w:t>
      </w:r>
      <w:r w:rsidR="00F23AA5">
        <w:rPr>
          <w:rFonts w:ascii="Times New Roman" w:hAnsi="Times New Roman" w:cs="Times New Roman"/>
          <w:sz w:val="24"/>
          <w:szCs w:val="24"/>
        </w:rPr>
        <w:t xml:space="preserve">  So, if the available firms comprised those without foreign income (type 1), those with a tiny proportion of foreign income (type 2), and those with a very large proportion of foreign income (type 3), Frontier would </w:t>
      </w:r>
      <w:r w:rsidR="005A204E">
        <w:rPr>
          <w:rFonts w:ascii="Times New Roman" w:hAnsi="Times New Roman" w:cs="Times New Roman"/>
          <w:sz w:val="24"/>
          <w:szCs w:val="24"/>
        </w:rPr>
        <w:t xml:space="preserve">presumably </w:t>
      </w:r>
      <w:r w:rsidR="00F23AA5">
        <w:rPr>
          <w:rFonts w:ascii="Times New Roman" w:hAnsi="Times New Roman" w:cs="Times New Roman"/>
          <w:sz w:val="24"/>
          <w:szCs w:val="24"/>
        </w:rPr>
        <w:t xml:space="preserve">aggregate the type 2 and type 3 firms and compare them with the type 1 firms.  If the type 2 firms were much more numerous than the type 3 firms, the result might be a </w:t>
      </w:r>
      <w:r w:rsidR="001854FE">
        <w:rPr>
          <w:rFonts w:ascii="Times New Roman" w:hAnsi="Times New Roman" w:cs="Times New Roman"/>
          <w:sz w:val="24"/>
          <w:szCs w:val="24"/>
        </w:rPr>
        <w:t xml:space="preserve">trivial (and </w:t>
      </w:r>
      <w:r w:rsidR="00F23AA5">
        <w:rPr>
          <w:rFonts w:ascii="Times New Roman" w:hAnsi="Times New Roman" w:cs="Times New Roman"/>
          <w:sz w:val="24"/>
          <w:szCs w:val="24"/>
        </w:rPr>
        <w:t>statistically insignificant</w:t>
      </w:r>
      <w:r w:rsidR="001854FE">
        <w:rPr>
          <w:rFonts w:ascii="Times New Roman" w:hAnsi="Times New Roman" w:cs="Times New Roman"/>
          <w:sz w:val="24"/>
          <w:szCs w:val="24"/>
        </w:rPr>
        <w:t>)</w:t>
      </w:r>
      <w:r w:rsidR="00F23AA5">
        <w:rPr>
          <w:rFonts w:ascii="Times New Roman" w:hAnsi="Times New Roman" w:cs="Times New Roman"/>
          <w:sz w:val="24"/>
          <w:szCs w:val="24"/>
        </w:rPr>
        <w:t xml:space="preserve"> difference between the distribution rates of firms without foreign income and those with it.  The far superior approach would be to </w:t>
      </w:r>
      <w:r w:rsidR="001854FE">
        <w:rPr>
          <w:rFonts w:ascii="Times New Roman" w:hAnsi="Times New Roman" w:cs="Times New Roman"/>
          <w:sz w:val="24"/>
          <w:szCs w:val="24"/>
        </w:rPr>
        <w:t xml:space="preserve">examine the entire </w:t>
      </w:r>
      <w:r w:rsidR="00F23AA5">
        <w:rPr>
          <w:rFonts w:ascii="Times New Roman" w:hAnsi="Times New Roman" w:cs="Times New Roman"/>
          <w:sz w:val="24"/>
          <w:szCs w:val="24"/>
        </w:rPr>
        <w:t xml:space="preserve">distribution </w:t>
      </w:r>
      <w:r w:rsidR="001854FE">
        <w:rPr>
          <w:rFonts w:ascii="Times New Roman" w:hAnsi="Times New Roman" w:cs="Times New Roman"/>
          <w:sz w:val="24"/>
          <w:szCs w:val="24"/>
        </w:rPr>
        <w:t>of firms</w:t>
      </w:r>
      <w:r w:rsidR="00F23AA5">
        <w:rPr>
          <w:rFonts w:ascii="Times New Roman" w:hAnsi="Times New Roman" w:cs="Times New Roman"/>
          <w:sz w:val="24"/>
          <w:szCs w:val="24"/>
        </w:rPr>
        <w:t xml:space="preserve">, </w:t>
      </w:r>
      <w:r w:rsidR="003B3EA2">
        <w:rPr>
          <w:rFonts w:ascii="Times New Roman" w:hAnsi="Times New Roman" w:cs="Times New Roman"/>
          <w:sz w:val="24"/>
          <w:szCs w:val="24"/>
        </w:rPr>
        <w:t>as Lally (2016a</w:t>
      </w:r>
      <w:r w:rsidR="00F23AA5">
        <w:rPr>
          <w:rFonts w:ascii="Times New Roman" w:hAnsi="Times New Roman" w:cs="Times New Roman"/>
          <w:sz w:val="24"/>
          <w:szCs w:val="24"/>
        </w:rPr>
        <w:t>, section 3.5) has done.  One could still object to this if none of the firms examined had</w:t>
      </w:r>
      <w:r w:rsidR="00A745D4">
        <w:rPr>
          <w:rFonts w:ascii="Times New Roman" w:hAnsi="Times New Roman" w:cs="Times New Roman"/>
          <w:sz w:val="24"/>
          <w:szCs w:val="24"/>
        </w:rPr>
        <w:t xml:space="preserve"> a foreign income proportion that was close to zero, because one would then </w:t>
      </w:r>
      <w:r w:rsidR="005A204E">
        <w:rPr>
          <w:rFonts w:ascii="Times New Roman" w:hAnsi="Times New Roman" w:cs="Times New Roman"/>
          <w:sz w:val="24"/>
          <w:szCs w:val="24"/>
        </w:rPr>
        <w:t xml:space="preserve">have to engage in significant </w:t>
      </w:r>
      <w:r w:rsidR="001854FE">
        <w:rPr>
          <w:rFonts w:ascii="Times New Roman" w:hAnsi="Times New Roman" w:cs="Times New Roman"/>
          <w:sz w:val="24"/>
          <w:szCs w:val="24"/>
        </w:rPr>
        <w:t xml:space="preserve">extrapolation in </w:t>
      </w:r>
      <w:r w:rsidR="00A745D4">
        <w:rPr>
          <w:rFonts w:ascii="Times New Roman" w:hAnsi="Times New Roman" w:cs="Times New Roman"/>
          <w:sz w:val="24"/>
          <w:szCs w:val="24"/>
        </w:rPr>
        <w:t>order to estimate the distribution rate of a firm with no foreign income.  However, the seven firms examined have foreign income</w:t>
      </w:r>
      <w:r w:rsidR="008977E0">
        <w:rPr>
          <w:rFonts w:ascii="Times New Roman" w:hAnsi="Times New Roman" w:cs="Times New Roman"/>
          <w:sz w:val="24"/>
          <w:szCs w:val="24"/>
        </w:rPr>
        <w:t xml:space="preserve"> </w:t>
      </w:r>
      <w:r w:rsidR="008977E0">
        <w:rPr>
          <w:rFonts w:ascii="Times New Roman" w:hAnsi="Times New Roman" w:cs="Times New Roman"/>
          <w:sz w:val="24"/>
          <w:szCs w:val="24"/>
        </w:rPr>
        <w:lastRenderedPageBreak/>
        <w:t>proportions ranging from 6% to</w:t>
      </w:r>
      <w:r w:rsidR="003B3EA2">
        <w:rPr>
          <w:rFonts w:ascii="Times New Roman" w:hAnsi="Times New Roman" w:cs="Times New Roman"/>
          <w:sz w:val="24"/>
          <w:szCs w:val="24"/>
        </w:rPr>
        <w:t xml:space="preserve"> 60% (Lally, 2016a</w:t>
      </w:r>
      <w:r w:rsidR="008977E0">
        <w:rPr>
          <w:rFonts w:ascii="Times New Roman" w:hAnsi="Times New Roman" w:cs="Times New Roman"/>
          <w:sz w:val="24"/>
          <w:szCs w:val="24"/>
        </w:rPr>
        <w:t>, Table 1)</w:t>
      </w:r>
      <w:r w:rsidR="002B0CBE">
        <w:rPr>
          <w:rFonts w:ascii="Times New Roman" w:hAnsi="Times New Roman" w:cs="Times New Roman"/>
          <w:sz w:val="24"/>
          <w:szCs w:val="24"/>
        </w:rPr>
        <w:t>, and therefore the degree of extrapolation is minor</w:t>
      </w:r>
      <w:r w:rsidR="008977E0">
        <w:rPr>
          <w:rFonts w:ascii="Times New Roman" w:hAnsi="Times New Roman" w:cs="Times New Roman"/>
          <w:sz w:val="24"/>
          <w:szCs w:val="24"/>
        </w:rPr>
        <w:t xml:space="preserve">.  One could still claim that it would be desirable to include firms with no foreign income.  </w:t>
      </w:r>
      <w:r w:rsidR="002365BD">
        <w:rPr>
          <w:rFonts w:ascii="Times New Roman" w:hAnsi="Times New Roman" w:cs="Times New Roman"/>
          <w:sz w:val="24"/>
          <w:szCs w:val="24"/>
        </w:rPr>
        <w:t xml:space="preserve">This is true but, since the purpose of the exercise is to estimate the distribution rate of the market </w:t>
      </w:r>
      <w:r w:rsidR="002B0CBE">
        <w:rPr>
          <w:rFonts w:ascii="Times New Roman" w:hAnsi="Times New Roman" w:cs="Times New Roman"/>
          <w:sz w:val="24"/>
          <w:szCs w:val="24"/>
        </w:rPr>
        <w:t xml:space="preserve">in the absence of </w:t>
      </w:r>
      <w:r w:rsidR="002365BD">
        <w:rPr>
          <w:rFonts w:ascii="Times New Roman" w:hAnsi="Times New Roman" w:cs="Times New Roman"/>
          <w:sz w:val="24"/>
          <w:szCs w:val="24"/>
        </w:rPr>
        <w:t xml:space="preserve">foreign activities, the </w:t>
      </w:r>
      <w:r w:rsidR="008977E0">
        <w:rPr>
          <w:rFonts w:ascii="Times New Roman" w:hAnsi="Times New Roman" w:cs="Times New Roman"/>
          <w:sz w:val="24"/>
          <w:szCs w:val="24"/>
        </w:rPr>
        <w:t>most important requirement is that the firms examined have large company tax payments to the ATO, so as to obtain the best estimate of the distribution rate for the market in aggregate.  Doing so does not produce any firms without foreign income, but it does produce some with low proportions and this is sufficient.</w:t>
      </w:r>
      <w:r>
        <w:rPr>
          <w:rFonts w:ascii="Times New Roman" w:hAnsi="Times New Roman" w:cs="Times New Roman"/>
          <w:sz w:val="24"/>
          <w:szCs w:val="24"/>
        </w:rPr>
        <w:t xml:space="preserve">  By contrast, examining a set of firms that had no foreign activities but constituted 10% of the value of the market would be very unsatisfactory.</w:t>
      </w:r>
    </w:p>
    <w:p w:rsidR="008957C1" w:rsidRDefault="008957C1" w:rsidP="00122250">
      <w:pPr>
        <w:pStyle w:val="ListParagraph"/>
        <w:spacing w:after="0" w:line="360" w:lineRule="auto"/>
        <w:ind w:left="0"/>
        <w:jc w:val="both"/>
        <w:rPr>
          <w:rFonts w:ascii="Times New Roman" w:hAnsi="Times New Roman" w:cs="Times New Roman"/>
          <w:sz w:val="24"/>
          <w:szCs w:val="24"/>
        </w:rPr>
      </w:pPr>
    </w:p>
    <w:p w:rsidR="00454D21" w:rsidRDefault="00D04848" w:rsidP="00122250">
      <w:pPr>
        <w:pStyle w:val="ListParagraph"/>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Frontier (2016b</w:t>
      </w:r>
      <w:r w:rsidR="00454D21">
        <w:rPr>
          <w:rFonts w:ascii="Times New Roman" w:hAnsi="Times New Roman" w:cs="Times New Roman"/>
          <w:sz w:val="24"/>
          <w:szCs w:val="24"/>
        </w:rPr>
        <w:t xml:space="preserve">, paras 32-34) also claims that the average Australian company has a distribution rate of about 70%, compared to the 84% for the 20 largest ASX firms, </w:t>
      </w:r>
      <w:r w:rsidR="002B0CBE">
        <w:rPr>
          <w:rFonts w:ascii="Times New Roman" w:hAnsi="Times New Roman" w:cs="Times New Roman"/>
          <w:sz w:val="24"/>
          <w:szCs w:val="24"/>
        </w:rPr>
        <w:t xml:space="preserve">that </w:t>
      </w:r>
      <w:r w:rsidR="00454D21">
        <w:rPr>
          <w:rFonts w:ascii="Times New Roman" w:hAnsi="Times New Roman" w:cs="Times New Roman"/>
          <w:sz w:val="24"/>
          <w:szCs w:val="24"/>
        </w:rPr>
        <w:t>the latter firms have foreign income, and therefore are not suitable for estimating the distribution rate of the BEE.</w:t>
      </w:r>
      <w:r w:rsidR="00C5692B">
        <w:rPr>
          <w:rFonts w:ascii="Times New Roman" w:hAnsi="Times New Roman" w:cs="Times New Roman"/>
          <w:sz w:val="24"/>
          <w:szCs w:val="24"/>
        </w:rPr>
        <w:t xml:space="preserve">  </w:t>
      </w:r>
      <w:r w:rsidR="003B3EA2">
        <w:rPr>
          <w:rFonts w:ascii="Times New Roman" w:hAnsi="Times New Roman" w:cs="Times New Roman"/>
          <w:sz w:val="24"/>
          <w:szCs w:val="24"/>
        </w:rPr>
        <w:t>However, as shown in Lally (2016a</w:t>
      </w:r>
      <w:r w:rsidR="00C5692B">
        <w:rPr>
          <w:rFonts w:ascii="Times New Roman" w:hAnsi="Times New Roman" w:cs="Times New Roman"/>
          <w:sz w:val="24"/>
          <w:szCs w:val="24"/>
        </w:rPr>
        <w:t xml:space="preserve">, section 3.5), </w:t>
      </w:r>
      <w:r w:rsidR="0046133C">
        <w:rPr>
          <w:rFonts w:ascii="Times New Roman" w:hAnsi="Times New Roman" w:cs="Times New Roman"/>
          <w:sz w:val="24"/>
          <w:szCs w:val="24"/>
        </w:rPr>
        <w:t xml:space="preserve">the effect of foreign activities is to </w:t>
      </w:r>
      <w:r w:rsidR="0046133C" w:rsidRPr="002B0CBE">
        <w:rPr>
          <w:rFonts w:ascii="Times New Roman" w:hAnsi="Times New Roman" w:cs="Times New Roman"/>
          <w:i/>
          <w:sz w:val="24"/>
          <w:szCs w:val="24"/>
        </w:rPr>
        <w:t>reduce</w:t>
      </w:r>
      <w:r w:rsidR="0046133C">
        <w:rPr>
          <w:rFonts w:ascii="Times New Roman" w:hAnsi="Times New Roman" w:cs="Times New Roman"/>
          <w:sz w:val="24"/>
          <w:szCs w:val="24"/>
        </w:rPr>
        <w:t xml:space="preserve"> the distribution rates of these 20 firms, removal of this effect would therefore </w:t>
      </w:r>
      <w:r w:rsidR="00C5692B">
        <w:rPr>
          <w:rFonts w:ascii="Times New Roman" w:hAnsi="Times New Roman" w:cs="Times New Roman"/>
          <w:sz w:val="24"/>
          <w:szCs w:val="24"/>
        </w:rPr>
        <w:t>raise the distribution rate rather than lower it</w:t>
      </w:r>
      <w:r w:rsidR="0046133C">
        <w:rPr>
          <w:rFonts w:ascii="Times New Roman" w:hAnsi="Times New Roman" w:cs="Times New Roman"/>
          <w:sz w:val="24"/>
          <w:szCs w:val="24"/>
        </w:rPr>
        <w:t>,</w:t>
      </w:r>
      <w:r w:rsidR="00C5692B">
        <w:rPr>
          <w:rFonts w:ascii="Times New Roman" w:hAnsi="Times New Roman" w:cs="Times New Roman"/>
          <w:sz w:val="24"/>
          <w:szCs w:val="24"/>
        </w:rPr>
        <w:t xml:space="preserve"> and therefore magnify the difference from the other firms rather than explain it.  Thus the other firms would have to be preferred </w:t>
      </w:r>
      <w:r w:rsidR="005346D1">
        <w:rPr>
          <w:rFonts w:ascii="Times New Roman" w:hAnsi="Times New Roman" w:cs="Times New Roman"/>
          <w:sz w:val="24"/>
          <w:szCs w:val="24"/>
        </w:rPr>
        <w:t xml:space="preserve">to the 20 largest </w:t>
      </w:r>
      <w:r w:rsidR="00C5692B">
        <w:rPr>
          <w:rFonts w:ascii="Times New Roman" w:hAnsi="Times New Roman" w:cs="Times New Roman"/>
          <w:sz w:val="24"/>
          <w:szCs w:val="24"/>
        </w:rPr>
        <w:t xml:space="preserve">on </w:t>
      </w:r>
      <w:r w:rsidR="000B3372">
        <w:rPr>
          <w:rFonts w:ascii="Times New Roman" w:hAnsi="Times New Roman" w:cs="Times New Roman"/>
          <w:sz w:val="24"/>
          <w:szCs w:val="24"/>
        </w:rPr>
        <w:t>some other basis, and I do not see any basis for doing so.  In particular, the unlisted firms are unsuitable</w:t>
      </w:r>
      <w:r w:rsidR="003B3EA2">
        <w:rPr>
          <w:rFonts w:ascii="Times New Roman" w:hAnsi="Times New Roman" w:cs="Times New Roman"/>
          <w:sz w:val="24"/>
          <w:szCs w:val="24"/>
        </w:rPr>
        <w:t xml:space="preserve"> because their distribution rates seem to be much lower than for listed firms (50% versus 75%</w:t>
      </w:r>
      <w:r w:rsidR="00672ED5">
        <w:rPr>
          <w:rFonts w:ascii="Times New Roman" w:hAnsi="Times New Roman" w:cs="Times New Roman"/>
          <w:sz w:val="24"/>
          <w:szCs w:val="24"/>
        </w:rPr>
        <w:t>, as reported in Frontier, 2016b</w:t>
      </w:r>
      <w:r w:rsidR="003B3EA2">
        <w:rPr>
          <w:rFonts w:ascii="Times New Roman" w:hAnsi="Times New Roman" w:cs="Times New Roman"/>
          <w:sz w:val="24"/>
          <w:szCs w:val="24"/>
        </w:rPr>
        <w:t xml:space="preserve">, Table 1), the likely cause of this is lower </w:t>
      </w:r>
      <w:r w:rsidR="0046133C">
        <w:rPr>
          <w:rFonts w:ascii="Times New Roman" w:hAnsi="Times New Roman" w:cs="Times New Roman"/>
          <w:sz w:val="24"/>
          <w:szCs w:val="24"/>
        </w:rPr>
        <w:t xml:space="preserve">dividend </w:t>
      </w:r>
      <w:r w:rsidR="003B3EA2">
        <w:rPr>
          <w:rFonts w:ascii="Times New Roman" w:hAnsi="Times New Roman" w:cs="Times New Roman"/>
          <w:sz w:val="24"/>
          <w:szCs w:val="24"/>
        </w:rPr>
        <w:t xml:space="preserve">payout rates (of which the extreme case is sole traders who corporatize to reduce their taxes, which requires a low </w:t>
      </w:r>
      <w:r w:rsidR="0046133C">
        <w:rPr>
          <w:rFonts w:ascii="Times New Roman" w:hAnsi="Times New Roman" w:cs="Times New Roman"/>
          <w:sz w:val="24"/>
          <w:szCs w:val="24"/>
        </w:rPr>
        <w:t xml:space="preserve">dividend </w:t>
      </w:r>
      <w:r w:rsidR="003B3EA2">
        <w:rPr>
          <w:rFonts w:ascii="Times New Roman" w:hAnsi="Times New Roman" w:cs="Times New Roman"/>
          <w:sz w:val="24"/>
          <w:szCs w:val="24"/>
        </w:rPr>
        <w:t xml:space="preserve">payout rate), and regulated businesses are either listed or subsidiaries of firms that are (see Lally, 2016b, pp. 34-35).  In respect of </w:t>
      </w:r>
      <w:r w:rsidR="007A0754">
        <w:rPr>
          <w:rFonts w:ascii="Times New Roman" w:hAnsi="Times New Roman" w:cs="Times New Roman"/>
          <w:sz w:val="24"/>
          <w:szCs w:val="24"/>
        </w:rPr>
        <w:t xml:space="preserve">using </w:t>
      </w:r>
      <w:r w:rsidR="003B3EA2">
        <w:rPr>
          <w:rFonts w:ascii="Times New Roman" w:hAnsi="Times New Roman" w:cs="Times New Roman"/>
          <w:sz w:val="24"/>
          <w:szCs w:val="24"/>
        </w:rPr>
        <w:t xml:space="preserve">listed firms other than the top 20, some of these will have foreign </w:t>
      </w:r>
      <w:r w:rsidR="005149BB">
        <w:rPr>
          <w:rFonts w:ascii="Times New Roman" w:hAnsi="Times New Roman" w:cs="Times New Roman"/>
          <w:sz w:val="24"/>
          <w:szCs w:val="24"/>
        </w:rPr>
        <w:t xml:space="preserve">activities, </w:t>
      </w:r>
      <w:r w:rsidR="003B3EA2">
        <w:rPr>
          <w:rFonts w:ascii="Times New Roman" w:hAnsi="Times New Roman" w:cs="Times New Roman"/>
          <w:sz w:val="24"/>
          <w:szCs w:val="24"/>
        </w:rPr>
        <w:t xml:space="preserve">the effect of this </w:t>
      </w:r>
      <w:r w:rsidR="005149BB">
        <w:rPr>
          <w:rFonts w:ascii="Times New Roman" w:hAnsi="Times New Roman" w:cs="Times New Roman"/>
          <w:sz w:val="24"/>
          <w:szCs w:val="24"/>
        </w:rPr>
        <w:t xml:space="preserve">would have to be </w:t>
      </w:r>
      <w:r w:rsidR="003B3EA2">
        <w:rPr>
          <w:rFonts w:ascii="Times New Roman" w:hAnsi="Times New Roman" w:cs="Times New Roman"/>
          <w:sz w:val="24"/>
          <w:szCs w:val="24"/>
        </w:rPr>
        <w:t xml:space="preserve">determined before their average distribution rate could be used, and Frontier have not done so.  Furthermore, the estimated distribution rate for these </w:t>
      </w:r>
      <w:r w:rsidR="00914BE9">
        <w:rPr>
          <w:rFonts w:ascii="Times New Roman" w:hAnsi="Times New Roman" w:cs="Times New Roman"/>
          <w:sz w:val="24"/>
          <w:szCs w:val="24"/>
        </w:rPr>
        <w:t xml:space="preserve">listed (but not </w:t>
      </w:r>
      <w:r w:rsidR="00A65DEB">
        <w:rPr>
          <w:rFonts w:ascii="Times New Roman" w:hAnsi="Times New Roman" w:cs="Times New Roman"/>
          <w:sz w:val="24"/>
          <w:szCs w:val="24"/>
        </w:rPr>
        <w:t>top 20</w:t>
      </w:r>
      <w:r w:rsidR="00914BE9">
        <w:rPr>
          <w:rFonts w:ascii="Times New Roman" w:hAnsi="Times New Roman" w:cs="Times New Roman"/>
          <w:sz w:val="24"/>
          <w:szCs w:val="24"/>
        </w:rPr>
        <w:t xml:space="preserve">) </w:t>
      </w:r>
      <w:r w:rsidR="003B3EA2">
        <w:rPr>
          <w:rFonts w:ascii="Times New Roman" w:hAnsi="Times New Roman" w:cs="Times New Roman"/>
          <w:sz w:val="24"/>
          <w:szCs w:val="24"/>
        </w:rPr>
        <w:t>firms (70%, as claime</w:t>
      </w:r>
      <w:r w:rsidR="00672ED5">
        <w:rPr>
          <w:rFonts w:ascii="Times New Roman" w:hAnsi="Times New Roman" w:cs="Times New Roman"/>
          <w:sz w:val="24"/>
          <w:szCs w:val="24"/>
        </w:rPr>
        <w:t>d by Frontier, 2016b</w:t>
      </w:r>
      <w:r w:rsidR="00372B85">
        <w:rPr>
          <w:rFonts w:ascii="Times New Roman" w:hAnsi="Times New Roman" w:cs="Times New Roman"/>
          <w:sz w:val="24"/>
          <w:szCs w:val="24"/>
        </w:rPr>
        <w:t>, Table 1) draws upon ATO data and such data is unreliable because it generates markedly different estimates of the credits distributed according to whether dividen</w:t>
      </w:r>
      <w:r w:rsidR="005149BB">
        <w:rPr>
          <w:rFonts w:ascii="Times New Roman" w:hAnsi="Times New Roman" w:cs="Times New Roman"/>
          <w:sz w:val="24"/>
          <w:szCs w:val="24"/>
        </w:rPr>
        <w:t>d or company tax data is used</w:t>
      </w:r>
      <w:r w:rsidR="00A65DEB">
        <w:rPr>
          <w:rFonts w:ascii="Times New Roman" w:hAnsi="Times New Roman" w:cs="Times New Roman"/>
          <w:sz w:val="24"/>
          <w:szCs w:val="24"/>
        </w:rPr>
        <w:t xml:space="preserve"> (and even Frontier, ibid, section 3, now accepts this reliability problem)</w:t>
      </w:r>
      <w:r w:rsidR="005149BB">
        <w:rPr>
          <w:rFonts w:ascii="Times New Roman" w:hAnsi="Times New Roman" w:cs="Times New Roman"/>
          <w:sz w:val="24"/>
          <w:szCs w:val="24"/>
        </w:rPr>
        <w:t xml:space="preserve">.  So, since unlisted firms are unsuitable, the </w:t>
      </w:r>
      <w:r w:rsidR="00372B85">
        <w:rPr>
          <w:rFonts w:ascii="Times New Roman" w:hAnsi="Times New Roman" w:cs="Times New Roman"/>
          <w:sz w:val="24"/>
          <w:szCs w:val="24"/>
        </w:rPr>
        <w:t xml:space="preserve">only suitable firms to use are </w:t>
      </w:r>
      <w:r w:rsidR="007A0754">
        <w:rPr>
          <w:rFonts w:ascii="Times New Roman" w:hAnsi="Times New Roman" w:cs="Times New Roman"/>
          <w:sz w:val="24"/>
          <w:szCs w:val="24"/>
        </w:rPr>
        <w:t xml:space="preserve">therefore </w:t>
      </w:r>
      <w:r w:rsidR="00372B85">
        <w:rPr>
          <w:rFonts w:ascii="Times New Roman" w:hAnsi="Times New Roman" w:cs="Times New Roman"/>
          <w:sz w:val="24"/>
          <w:szCs w:val="24"/>
        </w:rPr>
        <w:t xml:space="preserve">publicly listed ones, and the only suitable means of estimating the distribution rate </w:t>
      </w:r>
      <w:r w:rsidR="005149BB">
        <w:rPr>
          <w:rFonts w:ascii="Times New Roman" w:hAnsi="Times New Roman" w:cs="Times New Roman"/>
          <w:sz w:val="24"/>
          <w:szCs w:val="24"/>
        </w:rPr>
        <w:t xml:space="preserve">of these firms </w:t>
      </w:r>
      <w:r w:rsidR="00372B85">
        <w:rPr>
          <w:rFonts w:ascii="Times New Roman" w:hAnsi="Times New Roman" w:cs="Times New Roman"/>
          <w:sz w:val="24"/>
          <w:szCs w:val="24"/>
        </w:rPr>
        <w:t xml:space="preserve">(stripped of the effect of foreign </w:t>
      </w:r>
      <w:r w:rsidR="005149BB">
        <w:rPr>
          <w:rFonts w:ascii="Times New Roman" w:hAnsi="Times New Roman" w:cs="Times New Roman"/>
          <w:sz w:val="24"/>
          <w:szCs w:val="24"/>
        </w:rPr>
        <w:t>activities</w:t>
      </w:r>
      <w:r w:rsidR="00372B85">
        <w:rPr>
          <w:rFonts w:ascii="Times New Roman" w:hAnsi="Times New Roman" w:cs="Times New Roman"/>
          <w:sz w:val="24"/>
          <w:szCs w:val="24"/>
        </w:rPr>
        <w:t xml:space="preserve">) is from their financial statements.  </w:t>
      </w:r>
      <w:r w:rsidR="0046133C">
        <w:rPr>
          <w:rFonts w:ascii="Times New Roman" w:hAnsi="Times New Roman" w:cs="Times New Roman"/>
          <w:sz w:val="24"/>
          <w:szCs w:val="24"/>
        </w:rPr>
        <w:t xml:space="preserve">In doing so, the </w:t>
      </w:r>
      <w:r w:rsidR="005149BB">
        <w:rPr>
          <w:rFonts w:ascii="Times New Roman" w:hAnsi="Times New Roman" w:cs="Times New Roman"/>
          <w:sz w:val="24"/>
          <w:szCs w:val="24"/>
        </w:rPr>
        <w:t xml:space="preserve">goal is to estimate the aggregate distribution rate of these firms (stripped of the effect of foreign activities), and therefore the best ones to </w:t>
      </w:r>
      <w:r w:rsidR="005149BB">
        <w:rPr>
          <w:rFonts w:ascii="Times New Roman" w:hAnsi="Times New Roman" w:cs="Times New Roman"/>
          <w:sz w:val="24"/>
          <w:szCs w:val="24"/>
        </w:rPr>
        <w:lastRenderedPageBreak/>
        <w:t xml:space="preserve">examine are the </w:t>
      </w:r>
      <w:r w:rsidR="0046133C">
        <w:rPr>
          <w:rFonts w:ascii="Times New Roman" w:hAnsi="Times New Roman" w:cs="Times New Roman"/>
          <w:sz w:val="24"/>
          <w:szCs w:val="24"/>
        </w:rPr>
        <w:t xml:space="preserve">largest companies.  </w:t>
      </w:r>
      <w:r w:rsidR="00372B85">
        <w:rPr>
          <w:rFonts w:ascii="Times New Roman" w:hAnsi="Times New Roman" w:cs="Times New Roman"/>
          <w:sz w:val="24"/>
          <w:szCs w:val="24"/>
        </w:rPr>
        <w:t>This is the approach in Lally (2016a, section 3.5), leading to an estimate for the distribution r</w:t>
      </w:r>
      <w:r w:rsidR="009E0534">
        <w:rPr>
          <w:rFonts w:ascii="Times New Roman" w:hAnsi="Times New Roman" w:cs="Times New Roman"/>
          <w:sz w:val="24"/>
          <w:szCs w:val="24"/>
        </w:rPr>
        <w:t>ate of the BEE of at least 83%.</w:t>
      </w:r>
    </w:p>
    <w:p w:rsidR="008F48AE" w:rsidRDefault="008F48AE" w:rsidP="00122250">
      <w:pPr>
        <w:pStyle w:val="ListParagraph"/>
        <w:spacing w:after="0" w:line="360" w:lineRule="auto"/>
        <w:ind w:left="0"/>
        <w:jc w:val="both"/>
        <w:rPr>
          <w:rFonts w:ascii="Times New Roman" w:hAnsi="Times New Roman" w:cs="Times New Roman"/>
          <w:sz w:val="24"/>
          <w:szCs w:val="24"/>
        </w:rPr>
      </w:pPr>
    </w:p>
    <w:p w:rsidR="009E0534" w:rsidRDefault="00D04848" w:rsidP="00122250">
      <w:pPr>
        <w:pStyle w:val="ListParagraph"/>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Frontier (2016b</w:t>
      </w:r>
      <w:r w:rsidR="008F48AE">
        <w:rPr>
          <w:rFonts w:ascii="Times New Roman" w:hAnsi="Times New Roman" w:cs="Times New Roman"/>
          <w:sz w:val="24"/>
          <w:szCs w:val="24"/>
        </w:rPr>
        <w:t>, para 35) states that Lally (2016a, section 3.5) failed to conclude that more foreign income raises the distribution rate because he did not control for differences in dividend pay</w:t>
      </w:r>
      <w:r w:rsidR="006853BB">
        <w:rPr>
          <w:rFonts w:ascii="Times New Roman" w:hAnsi="Times New Roman" w:cs="Times New Roman"/>
          <w:sz w:val="24"/>
          <w:szCs w:val="24"/>
        </w:rPr>
        <w:t xml:space="preserve">out rates.  It is true that </w:t>
      </w:r>
      <w:r w:rsidR="0046133C">
        <w:rPr>
          <w:rFonts w:ascii="Times New Roman" w:hAnsi="Times New Roman" w:cs="Times New Roman"/>
          <w:sz w:val="24"/>
          <w:szCs w:val="24"/>
        </w:rPr>
        <w:t xml:space="preserve">Lally (2016a) </w:t>
      </w:r>
      <w:r w:rsidR="006853BB">
        <w:rPr>
          <w:rFonts w:ascii="Times New Roman" w:hAnsi="Times New Roman" w:cs="Times New Roman"/>
          <w:sz w:val="24"/>
          <w:szCs w:val="24"/>
        </w:rPr>
        <w:t>did not control for di</w:t>
      </w:r>
      <w:r w:rsidR="0046133C">
        <w:rPr>
          <w:rFonts w:ascii="Times New Roman" w:hAnsi="Times New Roman" w:cs="Times New Roman"/>
          <w:sz w:val="24"/>
          <w:szCs w:val="24"/>
        </w:rPr>
        <w:t>fferences in payout rates</w:t>
      </w:r>
      <w:r w:rsidR="006853BB">
        <w:rPr>
          <w:rFonts w:ascii="Times New Roman" w:hAnsi="Times New Roman" w:cs="Times New Roman"/>
          <w:sz w:val="24"/>
          <w:szCs w:val="24"/>
        </w:rPr>
        <w:t xml:space="preserve">.  However, Frontier fails to offer any argument for controlling the payout rate, and none is evident.  </w:t>
      </w:r>
      <w:r w:rsidR="007A0754">
        <w:rPr>
          <w:rFonts w:ascii="Times New Roman" w:hAnsi="Times New Roman" w:cs="Times New Roman"/>
          <w:sz w:val="24"/>
          <w:szCs w:val="24"/>
        </w:rPr>
        <w:t xml:space="preserve">Furthermore, the </w:t>
      </w:r>
      <w:r w:rsidR="006853BB">
        <w:rPr>
          <w:rFonts w:ascii="Times New Roman" w:hAnsi="Times New Roman" w:cs="Times New Roman"/>
          <w:sz w:val="24"/>
          <w:szCs w:val="24"/>
        </w:rPr>
        <w:t xml:space="preserve">purpose of the exercise is to estimate the distribution rate of </w:t>
      </w:r>
      <w:r w:rsidR="000F66FB">
        <w:rPr>
          <w:rFonts w:ascii="Times New Roman" w:hAnsi="Times New Roman" w:cs="Times New Roman"/>
          <w:sz w:val="24"/>
          <w:szCs w:val="24"/>
        </w:rPr>
        <w:t xml:space="preserve">the market </w:t>
      </w:r>
      <w:r w:rsidR="006853BB">
        <w:rPr>
          <w:rFonts w:ascii="Times New Roman" w:hAnsi="Times New Roman" w:cs="Times New Roman"/>
          <w:sz w:val="24"/>
          <w:szCs w:val="24"/>
        </w:rPr>
        <w:t xml:space="preserve">without foreign </w:t>
      </w:r>
      <w:r w:rsidR="000F66FB">
        <w:rPr>
          <w:rFonts w:ascii="Times New Roman" w:hAnsi="Times New Roman" w:cs="Times New Roman"/>
          <w:sz w:val="24"/>
          <w:szCs w:val="24"/>
        </w:rPr>
        <w:t xml:space="preserve">activities from a set of firms, some or all of which have foreign activities.  So, one must strip out </w:t>
      </w:r>
      <w:r w:rsidR="000F66FB" w:rsidRPr="009E0534">
        <w:rPr>
          <w:rFonts w:ascii="Times New Roman" w:hAnsi="Times New Roman" w:cs="Times New Roman"/>
          <w:i/>
          <w:sz w:val="24"/>
          <w:szCs w:val="24"/>
        </w:rPr>
        <w:t>all</w:t>
      </w:r>
      <w:r w:rsidR="000F66FB">
        <w:rPr>
          <w:rFonts w:ascii="Times New Roman" w:hAnsi="Times New Roman" w:cs="Times New Roman"/>
          <w:sz w:val="24"/>
          <w:szCs w:val="24"/>
        </w:rPr>
        <w:t xml:space="preserve"> </w:t>
      </w:r>
      <w:r w:rsidR="007C7030">
        <w:rPr>
          <w:rFonts w:ascii="Times New Roman" w:hAnsi="Times New Roman" w:cs="Times New Roman"/>
          <w:sz w:val="24"/>
          <w:szCs w:val="24"/>
        </w:rPr>
        <w:t xml:space="preserve">phenomena that arise from foreign </w:t>
      </w:r>
      <w:r w:rsidR="000F66FB">
        <w:rPr>
          <w:rFonts w:ascii="Times New Roman" w:hAnsi="Times New Roman" w:cs="Times New Roman"/>
          <w:sz w:val="24"/>
          <w:szCs w:val="24"/>
        </w:rPr>
        <w:t>activities</w:t>
      </w:r>
      <w:r w:rsidR="007C7030">
        <w:rPr>
          <w:rFonts w:ascii="Times New Roman" w:hAnsi="Times New Roman" w:cs="Times New Roman"/>
          <w:sz w:val="24"/>
          <w:szCs w:val="24"/>
        </w:rPr>
        <w:t xml:space="preserve">, which comprise not only the foreign income but any change in the dividend payout rate arising from foreign </w:t>
      </w:r>
      <w:r w:rsidR="000F66FB">
        <w:rPr>
          <w:rFonts w:ascii="Times New Roman" w:hAnsi="Times New Roman" w:cs="Times New Roman"/>
          <w:sz w:val="24"/>
          <w:szCs w:val="24"/>
        </w:rPr>
        <w:t>activities</w:t>
      </w:r>
      <w:r w:rsidR="007C7030">
        <w:rPr>
          <w:rFonts w:ascii="Times New Roman" w:hAnsi="Times New Roman" w:cs="Times New Roman"/>
          <w:sz w:val="24"/>
          <w:szCs w:val="24"/>
        </w:rPr>
        <w:t>.  Controlling for any changes in the dividend payout r</w:t>
      </w:r>
      <w:r w:rsidR="003230D9">
        <w:rPr>
          <w:rFonts w:ascii="Times New Roman" w:hAnsi="Times New Roman" w:cs="Times New Roman"/>
          <w:sz w:val="24"/>
          <w:szCs w:val="24"/>
        </w:rPr>
        <w:t>ate would subvert that purpose</w:t>
      </w:r>
      <w:r w:rsidR="007C7030">
        <w:rPr>
          <w:rFonts w:ascii="Times New Roman" w:hAnsi="Times New Roman" w:cs="Times New Roman"/>
          <w:sz w:val="24"/>
          <w:szCs w:val="24"/>
        </w:rPr>
        <w:t xml:space="preserve">.  </w:t>
      </w:r>
    </w:p>
    <w:p w:rsidR="009E0534" w:rsidRDefault="009E0534" w:rsidP="00122250">
      <w:pPr>
        <w:pStyle w:val="ListParagraph"/>
        <w:spacing w:after="0" w:line="360" w:lineRule="auto"/>
        <w:ind w:left="0"/>
        <w:jc w:val="both"/>
        <w:rPr>
          <w:rFonts w:ascii="Times New Roman" w:hAnsi="Times New Roman" w:cs="Times New Roman"/>
          <w:sz w:val="24"/>
          <w:szCs w:val="24"/>
        </w:rPr>
      </w:pPr>
    </w:p>
    <w:p w:rsidR="008F48AE" w:rsidRDefault="00F4013B" w:rsidP="00122250">
      <w:pPr>
        <w:pStyle w:val="ListParagraph"/>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To illustrate </w:t>
      </w:r>
      <w:r w:rsidR="009E0534">
        <w:rPr>
          <w:rFonts w:ascii="Times New Roman" w:hAnsi="Times New Roman" w:cs="Times New Roman"/>
          <w:sz w:val="24"/>
          <w:szCs w:val="24"/>
        </w:rPr>
        <w:t xml:space="preserve">this </w:t>
      </w:r>
      <w:r>
        <w:rPr>
          <w:rFonts w:ascii="Times New Roman" w:hAnsi="Times New Roman" w:cs="Times New Roman"/>
          <w:sz w:val="24"/>
          <w:szCs w:val="24"/>
        </w:rPr>
        <w:t xml:space="preserve">point, consider a firm </w:t>
      </w:r>
      <w:r w:rsidR="00A20182">
        <w:rPr>
          <w:rFonts w:ascii="Times New Roman" w:hAnsi="Times New Roman" w:cs="Times New Roman"/>
          <w:sz w:val="24"/>
          <w:szCs w:val="24"/>
        </w:rPr>
        <w:t xml:space="preserve">(A) </w:t>
      </w:r>
      <w:r>
        <w:rPr>
          <w:rFonts w:ascii="Times New Roman" w:hAnsi="Times New Roman" w:cs="Times New Roman"/>
          <w:sz w:val="24"/>
          <w:szCs w:val="24"/>
        </w:rPr>
        <w:t xml:space="preserve">without foreign income, involving income of $100m, company taxes of $30m, and retention of </w:t>
      </w:r>
      <w:r w:rsidR="0037610E">
        <w:rPr>
          <w:rFonts w:ascii="Times New Roman" w:hAnsi="Times New Roman" w:cs="Times New Roman"/>
          <w:sz w:val="24"/>
          <w:szCs w:val="24"/>
        </w:rPr>
        <w:t>$15</w:t>
      </w:r>
      <w:r w:rsidR="002C3D82">
        <w:rPr>
          <w:rFonts w:ascii="Times New Roman" w:hAnsi="Times New Roman" w:cs="Times New Roman"/>
          <w:sz w:val="24"/>
          <w:szCs w:val="24"/>
        </w:rPr>
        <w:t xml:space="preserve">m.  This leaves </w:t>
      </w:r>
      <w:r w:rsidR="0037610E">
        <w:rPr>
          <w:rFonts w:ascii="Times New Roman" w:hAnsi="Times New Roman" w:cs="Times New Roman"/>
          <w:sz w:val="24"/>
          <w:szCs w:val="24"/>
        </w:rPr>
        <w:t>$55</w:t>
      </w:r>
      <w:r w:rsidR="002C3D82">
        <w:rPr>
          <w:rFonts w:ascii="Times New Roman" w:hAnsi="Times New Roman" w:cs="Times New Roman"/>
          <w:sz w:val="24"/>
          <w:szCs w:val="24"/>
        </w:rPr>
        <w:t>m paid</w:t>
      </w:r>
      <w:r w:rsidR="003A4FAA">
        <w:rPr>
          <w:rFonts w:ascii="Times New Roman" w:hAnsi="Times New Roman" w:cs="Times New Roman"/>
          <w:sz w:val="24"/>
          <w:szCs w:val="24"/>
        </w:rPr>
        <w:t xml:space="preserve"> as dividends, and therefore maximum credits attachable of</w:t>
      </w:r>
      <w:r w:rsidR="0037610E">
        <w:rPr>
          <w:rFonts w:ascii="Times New Roman" w:hAnsi="Times New Roman" w:cs="Times New Roman"/>
          <w:sz w:val="24"/>
          <w:szCs w:val="24"/>
        </w:rPr>
        <w:t xml:space="preserve"> $23.6</w:t>
      </w:r>
      <w:r w:rsidR="003A4FAA">
        <w:rPr>
          <w:rFonts w:ascii="Times New Roman" w:hAnsi="Times New Roman" w:cs="Times New Roman"/>
          <w:sz w:val="24"/>
          <w:szCs w:val="24"/>
        </w:rPr>
        <w:t>m, and therefore a distribu</w:t>
      </w:r>
      <w:r w:rsidR="0037610E">
        <w:rPr>
          <w:rFonts w:ascii="Times New Roman" w:hAnsi="Times New Roman" w:cs="Times New Roman"/>
          <w:sz w:val="24"/>
          <w:szCs w:val="24"/>
        </w:rPr>
        <w:t>tion rate for t</w:t>
      </w:r>
      <w:r w:rsidR="00E864E2">
        <w:rPr>
          <w:rFonts w:ascii="Times New Roman" w:hAnsi="Times New Roman" w:cs="Times New Roman"/>
          <w:sz w:val="24"/>
          <w:szCs w:val="24"/>
        </w:rPr>
        <w:t>he credits of $23.6m/$30m = 0.78</w:t>
      </w:r>
      <w:r w:rsidR="00F468A0">
        <w:rPr>
          <w:rFonts w:ascii="Times New Roman" w:hAnsi="Times New Roman" w:cs="Times New Roman"/>
          <w:sz w:val="24"/>
          <w:szCs w:val="24"/>
        </w:rPr>
        <w:t xml:space="preserve"> (see column 1 </w:t>
      </w:r>
      <w:r w:rsidR="005E6E89">
        <w:rPr>
          <w:rFonts w:ascii="Times New Roman" w:hAnsi="Times New Roman" w:cs="Times New Roman"/>
          <w:sz w:val="24"/>
          <w:szCs w:val="24"/>
        </w:rPr>
        <w:t xml:space="preserve">of Table 1 </w:t>
      </w:r>
      <w:r w:rsidR="00F468A0">
        <w:rPr>
          <w:rFonts w:ascii="Times New Roman" w:hAnsi="Times New Roman" w:cs="Times New Roman"/>
          <w:sz w:val="24"/>
          <w:szCs w:val="24"/>
        </w:rPr>
        <w:t>below)</w:t>
      </w:r>
      <w:r w:rsidR="003A4FAA">
        <w:rPr>
          <w:rFonts w:ascii="Times New Roman" w:hAnsi="Times New Roman" w:cs="Times New Roman"/>
          <w:sz w:val="24"/>
          <w:szCs w:val="24"/>
        </w:rPr>
        <w:t>.  Now</w:t>
      </w:r>
      <w:r w:rsidR="0037610E">
        <w:rPr>
          <w:rFonts w:ascii="Times New Roman" w:hAnsi="Times New Roman" w:cs="Times New Roman"/>
          <w:sz w:val="24"/>
          <w:szCs w:val="24"/>
        </w:rPr>
        <w:t xml:space="preserve"> suppose </w:t>
      </w:r>
      <w:r w:rsidR="00A20182">
        <w:rPr>
          <w:rFonts w:ascii="Times New Roman" w:hAnsi="Times New Roman" w:cs="Times New Roman"/>
          <w:sz w:val="24"/>
          <w:szCs w:val="24"/>
        </w:rPr>
        <w:t xml:space="preserve">another firm (B), differing only in that it </w:t>
      </w:r>
      <w:r w:rsidR="0037610E">
        <w:rPr>
          <w:rFonts w:ascii="Times New Roman" w:hAnsi="Times New Roman" w:cs="Times New Roman"/>
          <w:sz w:val="24"/>
          <w:szCs w:val="24"/>
        </w:rPr>
        <w:t xml:space="preserve">engages in some foreign </w:t>
      </w:r>
      <w:r w:rsidR="000F66FB">
        <w:rPr>
          <w:rFonts w:ascii="Times New Roman" w:hAnsi="Times New Roman" w:cs="Times New Roman"/>
          <w:sz w:val="24"/>
          <w:szCs w:val="24"/>
        </w:rPr>
        <w:t xml:space="preserve">activities, </w:t>
      </w:r>
      <w:r w:rsidR="0037610E">
        <w:rPr>
          <w:rFonts w:ascii="Times New Roman" w:hAnsi="Times New Roman" w:cs="Times New Roman"/>
          <w:sz w:val="24"/>
          <w:szCs w:val="24"/>
        </w:rPr>
        <w:t xml:space="preserve">which involves an investment of $10m and yields pretax profits of </w:t>
      </w:r>
      <w:r w:rsidR="00B1663B">
        <w:rPr>
          <w:rFonts w:ascii="Times New Roman" w:hAnsi="Times New Roman" w:cs="Times New Roman"/>
          <w:sz w:val="24"/>
          <w:szCs w:val="24"/>
        </w:rPr>
        <w:t>$1m per year</w:t>
      </w:r>
      <w:r w:rsidR="00E864E2">
        <w:rPr>
          <w:rFonts w:ascii="Times New Roman" w:hAnsi="Times New Roman" w:cs="Times New Roman"/>
          <w:sz w:val="24"/>
          <w:szCs w:val="24"/>
        </w:rPr>
        <w:t xml:space="preserve"> </w:t>
      </w:r>
      <w:r w:rsidR="00E864E2" w:rsidRPr="00CE05D7">
        <w:rPr>
          <w:rFonts w:ascii="Times New Roman" w:hAnsi="Times New Roman" w:cs="Times New Roman"/>
          <w:sz w:val="24"/>
          <w:szCs w:val="24"/>
        </w:rPr>
        <w:t>(taxed at 30% in that foreign jurisdiction)</w:t>
      </w:r>
      <w:r w:rsidR="00B1663B">
        <w:rPr>
          <w:rFonts w:ascii="Times New Roman" w:hAnsi="Times New Roman" w:cs="Times New Roman"/>
          <w:sz w:val="24"/>
          <w:szCs w:val="24"/>
        </w:rPr>
        <w:t xml:space="preserve">.  </w:t>
      </w:r>
      <w:r w:rsidR="00AC61A2">
        <w:rPr>
          <w:rFonts w:ascii="Times New Roman" w:hAnsi="Times New Roman" w:cs="Times New Roman"/>
          <w:sz w:val="24"/>
          <w:szCs w:val="24"/>
        </w:rPr>
        <w:t>In the first year</w:t>
      </w:r>
      <w:r w:rsidR="00151D4A">
        <w:rPr>
          <w:rFonts w:ascii="Times New Roman" w:hAnsi="Times New Roman" w:cs="Times New Roman"/>
          <w:sz w:val="24"/>
          <w:szCs w:val="24"/>
        </w:rPr>
        <w:t xml:space="preserve"> of this process, during which the investment occurs </w:t>
      </w:r>
      <w:r w:rsidR="007C7030">
        <w:rPr>
          <w:rFonts w:ascii="Times New Roman" w:hAnsi="Times New Roman" w:cs="Times New Roman"/>
          <w:sz w:val="24"/>
          <w:szCs w:val="24"/>
        </w:rPr>
        <w:t>and the first payoff arises, the dividends fall to $45.7m</w:t>
      </w:r>
      <w:r w:rsidR="004B6A1F">
        <w:rPr>
          <w:rFonts w:ascii="Times New Roman" w:hAnsi="Times New Roman" w:cs="Times New Roman"/>
          <w:sz w:val="24"/>
          <w:szCs w:val="24"/>
        </w:rPr>
        <w:t>, implying max</w:t>
      </w:r>
      <w:r w:rsidR="007C7030">
        <w:rPr>
          <w:rFonts w:ascii="Times New Roman" w:hAnsi="Times New Roman" w:cs="Times New Roman"/>
          <w:sz w:val="24"/>
          <w:szCs w:val="24"/>
        </w:rPr>
        <w:t>imum attachable credits of $19.6</w:t>
      </w:r>
      <w:r w:rsidR="004B6A1F">
        <w:rPr>
          <w:rFonts w:ascii="Times New Roman" w:hAnsi="Times New Roman" w:cs="Times New Roman"/>
          <w:sz w:val="24"/>
          <w:szCs w:val="24"/>
        </w:rPr>
        <w:t xml:space="preserve">m, and therefore a </w:t>
      </w:r>
      <w:r w:rsidR="007C7030">
        <w:rPr>
          <w:rFonts w:ascii="Times New Roman" w:hAnsi="Times New Roman" w:cs="Times New Roman"/>
          <w:sz w:val="24"/>
          <w:szCs w:val="24"/>
        </w:rPr>
        <w:t>distribution rate of $19.6</w:t>
      </w:r>
      <w:r w:rsidR="004B6A1F">
        <w:rPr>
          <w:rFonts w:ascii="Times New Roman" w:hAnsi="Times New Roman" w:cs="Times New Roman"/>
          <w:sz w:val="24"/>
          <w:szCs w:val="24"/>
        </w:rPr>
        <w:t xml:space="preserve">m/$30m = </w:t>
      </w:r>
      <w:r w:rsidR="007C7030">
        <w:rPr>
          <w:rFonts w:ascii="Times New Roman" w:hAnsi="Times New Roman" w:cs="Times New Roman"/>
          <w:sz w:val="24"/>
          <w:szCs w:val="24"/>
        </w:rPr>
        <w:t>0.65</w:t>
      </w:r>
      <w:r w:rsidR="00D05CCB">
        <w:rPr>
          <w:rFonts w:ascii="Times New Roman" w:hAnsi="Times New Roman" w:cs="Times New Roman"/>
          <w:sz w:val="24"/>
          <w:szCs w:val="24"/>
        </w:rPr>
        <w:t xml:space="preserve"> (see column 2 in Table 1</w:t>
      </w:r>
      <w:r w:rsidR="00F468A0">
        <w:rPr>
          <w:rFonts w:ascii="Times New Roman" w:hAnsi="Times New Roman" w:cs="Times New Roman"/>
          <w:sz w:val="24"/>
          <w:szCs w:val="24"/>
        </w:rPr>
        <w:t>)</w:t>
      </w:r>
      <w:r w:rsidR="004B6A1F">
        <w:rPr>
          <w:rFonts w:ascii="Times New Roman" w:hAnsi="Times New Roman" w:cs="Times New Roman"/>
          <w:sz w:val="24"/>
          <w:szCs w:val="24"/>
        </w:rPr>
        <w:t xml:space="preserve">.  So, the distribution rate </w:t>
      </w:r>
      <w:r w:rsidR="007C7030">
        <w:rPr>
          <w:rFonts w:ascii="Times New Roman" w:hAnsi="Times New Roman" w:cs="Times New Roman"/>
          <w:sz w:val="24"/>
          <w:szCs w:val="24"/>
        </w:rPr>
        <w:t xml:space="preserve">for this firm underestimates the rate that would have arisen if the firm had not engaged in foreign </w:t>
      </w:r>
      <w:r w:rsidR="000F66FB">
        <w:rPr>
          <w:rFonts w:ascii="Times New Roman" w:hAnsi="Times New Roman" w:cs="Times New Roman"/>
          <w:sz w:val="24"/>
          <w:szCs w:val="24"/>
        </w:rPr>
        <w:t>activities</w:t>
      </w:r>
      <w:r w:rsidR="007C7030">
        <w:rPr>
          <w:rFonts w:ascii="Times New Roman" w:hAnsi="Times New Roman" w:cs="Times New Roman"/>
          <w:sz w:val="24"/>
          <w:szCs w:val="24"/>
        </w:rPr>
        <w:t>.</w:t>
      </w:r>
      <w:r w:rsidR="003A4FAA">
        <w:rPr>
          <w:rFonts w:ascii="Times New Roman" w:hAnsi="Times New Roman" w:cs="Times New Roman"/>
          <w:sz w:val="24"/>
          <w:szCs w:val="24"/>
        </w:rPr>
        <w:t xml:space="preserve"> </w:t>
      </w:r>
      <w:r w:rsidR="003230D9">
        <w:rPr>
          <w:rFonts w:ascii="Times New Roman" w:hAnsi="Times New Roman" w:cs="Times New Roman"/>
          <w:sz w:val="24"/>
          <w:szCs w:val="24"/>
        </w:rPr>
        <w:t xml:space="preserve"> Holding constant the dividend payout rate </w:t>
      </w:r>
      <w:r w:rsidR="00D31A71">
        <w:rPr>
          <w:rFonts w:ascii="Times New Roman" w:hAnsi="Times New Roman" w:cs="Times New Roman"/>
          <w:sz w:val="24"/>
          <w:szCs w:val="24"/>
        </w:rPr>
        <w:t xml:space="preserve">(and hence the retention rate) </w:t>
      </w:r>
      <w:r w:rsidR="003230D9">
        <w:rPr>
          <w:rFonts w:ascii="Times New Roman" w:hAnsi="Times New Roman" w:cs="Times New Roman"/>
          <w:sz w:val="24"/>
          <w:szCs w:val="24"/>
        </w:rPr>
        <w:t>would instead yield a distribution rate of $23.8m/$30m = 0.79</w:t>
      </w:r>
      <w:r w:rsidR="00F468A0">
        <w:rPr>
          <w:rFonts w:ascii="Times New Roman" w:hAnsi="Times New Roman" w:cs="Times New Roman"/>
          <w:sz w:val="24"/>
          <w:szCs w:val="24"/>
        </w:rPr>
        <w:t xml:space="preserve"> (see column 3</w:t>
      </w:r>
      <w:r w:rsidR="002D5693">
        <w:rPr>
          <w:rFonts w:ascii="Times New Roman" w:hAnsi="Times New Roman" w:cs="Times New Roman"/>
          <w:sz w:val="24"/>
          <w:szCs w:val="24"/>
        </w:rPr>
        <w:t xml:space="preserve"> of Table 1</w:t>
      </w:r>
      <w:r w:rsidR="00F468A0">
        <w:rPr>
          <w:rFonts w:ascii="Times New Roman" w:hAnsi="Times New Roman" w:cs="Times New Roman"/>
          <w:sz w:val="24"/>
          <w:szCs w:val="24"/>
        </w:rPr>
        <w:t>)</w:t>
      </w:r>
      <w:r w:rsidR="003230D9">
        <w:rPr>
          <w:rFonts w:ascii="Times New Roman" w:hAnsi="Times New Roman" w:cs="Times New Roman"/>
          <w:sz w:val="24"/>
          <w:szCs w:val="24"/>
        </w:rPr>
        <w:t xml:space="preserve">, but this distribution rate </w:t>
      </w:r>
      <w:r w:rsidR="00F468A0">
        <w:rPr>
          <w:rFonts w:ascii="Times New Roman" w:hAnsi="Times New Roman" w:cs="Times New Roman"/>
          <w:sz w:val="24"/>
          <w:szCs w:val="24"/>
        </w:rPr>
        <w:t>is that of a fictional rather than a real firm.  Furthermore, even if such a firm</w:t>
      </w:r>
      <w:r w:rsidR="004C316F">
        <w:rPr>
          <w:rFonts w:ascii="Times New Roman" w:hAnsi="Times New Roman" w:cs="Times New Roman"/>
          <w:sz w:val="24"/>
          <w:szCs w:val="24"/>
        </w:rPr>
        <w:t xml:space="preserve"> (C)</w:t>
      </w:r>
      <w:r w:rsidR="00F468A0">
        <w:rPr>
          <w:rFonts w:ascii="Times New Roman" w:hAnsi="Times New Roman" w:cs="Times New Roman"/>
          <w:sz w:val="24"/>
          <w:szCs w:val="24"/>
        </w:rPr>
        <w:t xml:space="preserve"> did exist</w:t>
      </w:r>
      <w:r w:rsidR="002D5693">
        <w:rPr>
          <w:rFonts w:ascii="Times New Roman" w:hAnsi="Times New Roman" w:cs="Times New Roman"/>
          <w:sz w:val="24"/>
          <w:szCs w:val="24"/>
        </w:rPr>
        <w:t xml:space="preserve"> (</w:t>
      </w:r>
      <w:r w:rsidR="004C316F">
        <w:rPr>
          <w:rFonts w:ascii="Times New Roman" w:hAnsi="Times New Roman" w:cs="Times New Roman"/>
          <w:sz w:val="24"/>
          <w:szCs w:val="24"/>
        </w:rPr>
        <w:t xml:space="preserve">because it financed the </w:t>
      </w:r>
      <w:r w:rsidR="002D5693">
        <w:rPr>
          <w:rFonts w:ascii="Times New Roman" w:hAnsi="Times New Roman" w:cs="Times New Roman"/>
          <w:sz w:val="24"/>
          <w:szCs w:val="24"/>
        </w:rPr>
        <w:t xml:space="preserve">foreign activities </w:t>
      </w:r>
      <w:r w:rsidR="004C316F">
        <w:rPr>
          <w:rFonts w:ascii="Times New Roman" w:hAnsi="Times New Roman" w:cs="Times New Roman"/>
          <w:sz w:val="24"/>
          <w:szCs w:val="24"/>
        </w:rPr>
        <w:t xml:space="preserve">without reducing its </w:t>
      </w:r>
      <w:r w:rsidR="002D5693">
        <w:rPr>
          <w:rFonts w:ascii="Times New Roman" w:hAnsi="Times New Roman" w:cs="Times New Roman"/>
          <w:sz w:val="24"/>
          <w:szCs w:val="24"/>
        </w:rPr>
        <w:t>payout rate)</w:t>
      </w:r>
      <w:r w:rsidR="00F468A0">
        <w:rPr>
          <w:rFonts w:ascii="Times New Roman" w:hAnsi="Times New Roman" w:cs="Times New Roman"/>
          <w:sz w:val="24"/>
          <w:szCs w:val="24"/>
        </w:rPr>
        <w:t xml:space="preserve">, </w:t>
      </w:r>
      <w:r w:rsidR="000B6A62">
        <w:rPr>
          <w:rFonts w:ascii="Times New Roman" w:hAnsi="Times New Roman" w:cs="Times New Roman"/>
          <w:sz w:val="24"/>
          <w:szCs w:val="24"/>
        </w:rPr>
        <w:t xml:space="preserve">it would still be useful in estimating the </w:t>
      </w:r>
      <w:r w:rsidR="00F468A0">
        <w:rPr>
          <w:rFonts w:ascii="Times New Roman" w:hAnsi="Times New Roman" w:cs="Times New Roman"/>
          <w:sz w:val="24"/>
          <w:szCs w:val="24"/>
        </w:rPr>
        <w:t>distribution rate of a firm without fore</w:t>
      </w:r>
      <w:r w:rsidR="000B6A62">
        <w:rPr>
          <w:rFonts w:ascii="Times New Roman" w:hAnsi="Times New Roman" w:cs="Times New Roman"/>
          <w:sz w:val="24"/>
          <w:szCs w:val="24"/>
        </w:rPr>
        <w:t>ign activities (0.78) by including it amo</w:t>
      </w:r>
      <w:r w:rsidR="002D5693">
        <w:rPr>
          <w:rFonts w:ascii="Times New Roman" w:hAnsi="Times New Roman" w:cs="Times New Roman"/>
          <w:sz w:val="24"/>
          <w:szCs w:val="24"/>
        </w:rPr>
        <w:t xml:space="preserve">ngst the set of firms examined.  </w:t>
      </w:r>
      <w:r w:rsidR="00F927B5">
        <w:rPr>
          <w:rFonts w:ascii="Times New Roman" w:hAnsi="Times New Roman" w:cs="Times New Roman"/>
          <w:sz w:val="24"/>
          <w:szCs w:val="24"/>
        </w:rPr>
        <w:t xml:space="preserve">Averaging over the distribution rates of firms B and C would yield 0.72, and this would still be an underestimate of that for firms without foreign activities.  </w:t>
      </w:r>
      <w:r w:rsidR="000B6A62">
        <w:rPr>
          <w:rFonts w:ascii="Times New Roman" w:hAnsi="Times New Roman" w:cs="Times New Roman"/>
          <w:sz w:val="24"/>
          <w:szCs w:val="24"/>
        </w:rPr>
        <w:t xml:space="preserve">By contrast, what Frontier appears to be interested in doing is to observe the distribution rates of </w:t>
      </w:r>
      <w:r w:rsidR="004C316F">
        <w:rPr>
          <w:rFonts w:ascii="Times New Roman" w:hAnsi="Times New Roman" w:cs="Times New Roman"/>
          <w:sz w:val="24"/>
          <w:szCs w:val="24"/>
        </w:rPr>
        <w:t xml:space="preserve">firms with foreign activities </w:t>
      </w:r>
      <w:r w:rsidR="00975C12">
        <w:rPr>
          <w:rFonts w:ascii="Times New Roman" w:hAnsi="Times New Roman" w:cs="Times New Roman"/>
          <w:sz w:val="24"/>
          <w:szCs w:val="24"/>
        </w:rPr>
        <w:t xml:space="preserve">and </w:t>
      </w:r>
      <w:r w:rsidR="004C316F">
        <w:rPr>
          <w:rFonts w:ascii="Times New Roman" w:hAnsi="Times New Roman" w:cs="Times New Roman"/>
          <w:sz w:val="24"/>
          <w:szCs w:val="24"/>
        </w:rPr>
        <w:t xml:space="preserve">to assert (without any evidence) that </w:t>
      </w:r>
      <w:r w:rsidR="00EF0A63">
        <w:rPr>
          <w:rFonts w:ascii="Times New Roman" w:hAnsi="Times New Roman" w:cs="Times New Roman"/>
          <w:sz w:val="24"/>
          <w:szCs w:val="24"/>
        </w:rPr>
        <w:t>the average of such rates</w:t>
      </w:r>
      <w:r w:rsidR="00975C12">
        <w:rPr>
          <w:rFonts w:ascii="Times New Roman" w:hAnsi="Times New Roman" w:cs="Times New Roman"/>
          <w:sz w:val="24"/>
          <w:szCs w:val="24"/>
        </w:rPr>
        <w:t xml:space="preserve"> is too high.  This would be incorrect.  Some firms </w:t>
      </w:r>
      <w:r w:rsidR="00975C12">
        <w:rPr>
          <w:rFonts w:ascii="Times New Roman" w:hAnsi="Times New Roman" w:cs="Times New Roman"/>
          <w:sz w:val="24"/>
          <w:szCs w:val="24"/>
        </w:rPr>
        <w:lastRenderedPageBreak/>
        <w:t xml:space="preserve">that engage in foreign operations </w:t>
      </w:r>
      <w:r w:rsidR="00A20182">
        <w:rPr>
          <w:rFonts w:ascii="Times New Roman" w:hAnsi="Times New Roman" w:cs="Times New Roman"/>
          <w:sz w:val="24"/>
          <w:szCs w:val="24"/>
        </w:rPr>
        <w:t xml:space="preserve">will experience a </w:t>
      </w:r>
      <w:r w:rsidR="004C316F">
        <w:rPr>
          <w:rFonts w:ascii="Times New Roman" w:hAnsi="Times New Roman" w:cs="Times New Roman"/>
          <w:sz w:val="24"/>
          <w:szCs w:val="24"/>
        </w:rPr>
        <w:t xml:space="preserve">reduced </w:t>
      </w:r>
      <w:r w:rsidR="00975C12">
        <w:rPr>
          <w:rFonts w:ascii="Times New Roman" w:hAnsi="Times New Roman" w:cs="Times New Roman"/>
          <w:sz w:val="24"/>
          <w:szCs w:val="24"/>
        </w:rPr>
        <w:t>distribution rate (</w:t>
      </w:r>
      <w:r w:rsidR="00A20182">
        <w:rPr>
          <w:rFonts w:ascii="Times New Roman" w:hAnsi="Times New Roman" w:cs="Times New Roman"/>
          <w:sz w:val="24"/>
          <w:szCs w:val="24"/>
        </w:rPr>
        <w:t xml:space="preserve">0.65: </w:t>
      </w:r>
      <w:r w:rsidR="00975C12">
        <w:rPr>
          <w:rFonts w:ascii="Times New Roman" w:hAnsi="Times New Roman" w:cs="Times New Roman"/>
          <w:sz w:val="24"/>
          <w:szCs w:val="24"/>
        </w:rPr>
        <w:t xml:space="preserve">see column 2) whilst others </w:t>
      </w:r>
      <w:r w:rsidR="00A20182">
        <w:rPr>
          <w:rFonts w:ascii="Times New Roman" w:hAnsi="Times New Roman" w:cs="Times New Roman"/>
          <w:sz w:val="24"/>
          <w:szCs w:val="24"/>
        </w:rPr>
        <w:t xml:space="preserve">will experience an </w:t>
      </w:r>
      <w:r w:rsidR="00975C12">
        <w:rPr>
          <w:rFonts w:ascii="Times New Roman" w:hAnsi="Times New Roman" w:cs="Times New Roman"/>
          <w:sz w:val="24"/>
          <w:szCs w:val="24"/>
        </w:rPr>
        <w:t>increase (</w:t>
      </w:r>
      <w:r w:rsidR="00A20182">
        <w:rPr>
          <w:rFonts w:ascii="Times New Roman" w:hAnsi="Times New Roman" w:cs="Times New Roman"/>
          <w:sz w:val="24"/>
          <w:szCs w:val="24"/>
        </w:rPr>
        <w:t xml:space="preserve">0.79: </w:t>
      </w:r>
      <w:r w:rsidR="00975C12">
        <w:rPr>
          <w:rFonts w:ascii="Times New Roman" w:hAnsi="Times New Roman" w:cs="Times New Roman"/>
          <w:sz w:val="24"/>
          <w:szCs w:val="24"/>
        </w:rPr>
        <w:t>see column 3)</w:t>
      </w:r>
      <w:r w:rsidR="004C316F">
        <w:rPr>
          <w:rFonts w:ascii="Times New Roman" w:hAnsi="Times New Roman" w:cs="Times New Roman"/>
          <w:sz w:val="24"/>
          <w:szCs w:val="24"/>
        </w:rPr>
        <w:t>, and the average may also involve a reduced rate (as in this case</w:t>
      </w:r>
      <w:r w:rsidR="002D790F">
        <w:rPr>
          <w:rFonts w:ascii="Times New Roman" w:hAnsi="Times New Roman" w:cs="Times New Roman"/>
          <w:sz w:val="24"/>
          <w:szCs w:val="24"/>
        </w:rPr>
        <w:t>, with an average of 0.72</w:t>
      </w:r>
      <w:r w:rsidR="004C316F">
        <w:rPr>
          <w:rFonts w:ascii="Times New Roman" w:hAnsi="Times New Roman" w:cs="Times New Roman"/>
          <w:sz w:val="24"/>
          <w:szCs w:val="24"/>
        </w:rPr>
        <w:t>).</w:t>
      </w:r>
    </w:p>
    <w:p w:rsidR="003230D9" w:rsidRDefault="003230D9" w:rsidP="00122250">
      <w:pPr>
        <w:pStyle w:val="ListParagraph"/>
        <w:spacing w:after="0" w:line="360" w:lineRule="auto"/>
        <w:ind w:left="0"/>
        <w:jc w:val="both"/>
        <w:rPr>
          <w:rFonts w:ascii="Times New Roman" w:hAnsi="Times New Roman" w:cs="Times New Roman"/>
          <w:sz w:val="24"/>
          <w:szCs w:val="24"/>
        </w:rPr>
      </w:pPr>
    </w:p>
    <w:p w:rsidR="005E6E89" w:rsidRDefault="005E6E89" w:rsidP="00B72345">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 xml:space="preserve">Table 1: </w:t>
      </w:r>
      <w:r w:rsidR="00B72345">
        <w:rPr>
          <w:rFonts w:ascii="Times New Roman" w:hAnsi="Times New Roman" w:cs="Times New Roman"/>
          <w:sz w:val="24"/>
          <w:szCs w:val="24"/>
        </w:rPr>
        <w:t>Distribution Rates for Imputation Credits</w:t>
      </w:r>
    </w:p>
    <w:p w:rsidR="005E6E89" w:rsidRDefault="005E6E89" w:rsidP="00122250">
      <w:pPr>
        <w:pStyle w:val="ListParagraph"/>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D05CCB" w:rsidRDefault="00D05CCB" w:rsidP="00895D6D">
      <w:pPr>
        <w:pStyle w:val="ListParagraph"/>
        <w:tabs>
          <w:tab w:val="left" w:pos="3420"/>
          <w:tab w:val="left" w:pos="5220"/>
          <w:tab w:val="left" w:pos="7020"/>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2D5693">
        <w:rPr>
          <w:rFonts w:ascii="Times New Roman" w:hAnsi="Times New Roman" w:cs="Times New Roman"/>
          <w:sz w:val="24"/>
          <w:szCs w:val="24"/>
        </w:rPr>
        <w:tab/>
      </w:r>
      <w:r w:rsidR="00A20182">
        <w:rPr>
          <w:rFonts w:ascii="Times New Roman" w:hAnsi="Times New Roman" w:cs="Times New Roman"/>
          <w:sz w:val="24"/>
          <w:szCs w:val="24"/>
        </w:rPr>
        <w:t xml:space="preserve">Firm </w:t>
      </w:r>
      <w:r w:rsidR="002D5693">
        <w:rPr>
          <w:rFonts w:ascii="Times New Roman" w:hAnsi="Times New Roman" w:cs="Times New Roman"/>
          <w:sz w:val="24"/>
          <w:szCs w:val="24"/>
        </w:rPr>
        <w:t>A</w:t>
      </w:r>
      <w:r w:rsidR="002D5693">
        <w:rPr>
          <w:rFonts w:ascii="Times New Roman" w:hAnsi="Times New Roman" w:cs="Times New Roman"/>
          <w:sz w:val="24"/>
          <w:szCs w:val="24"/>
        </w:rPr>
        <w:tab/>
      </w:r>
      <w:r w:rsidR="00A20182">
        <w:rPr>
          <w:rFonts w:ascii="Times New Roman" w:hAnsi="Times New Roman" w:cs="Times New Roman"/>
          <w:sz w:val="24"/>
          <w:szCs w:val="24"/>
        </w:rPr>
        <w:t xml:space="preserve">Firm </w:t>
      </w:r>
      <w:r w:rsidR="002D5693">
        <w:rPr>
          <w:rFonts w:ascii="Times New Roman" w:hAnsi="Times New Roman" w:cs="Times New Roman"/>
          <w:sz w:val="24"/>
          <w:szCs w:val="24"/>
        </w:rPr>
        <w:t>B</w:t>
      </w:r>
      <w:r w:rsidR="002D5693">
        <w:rPr>
          <w:rFonts w:ascii="Times New Roman" w:hAnsi="Times New Roman" w:cs="Times New Roman"/>
          <w:sz w:val="24"/>
          <w:szCs w:val="24"/>
        </w:rPr>
        <w:tab/>
      </w:r>
      <w:r w:rsidR="00A20182">
        <w:rPr>
          <w:rFonts w:ascii="Times New Roman" w:hAnsi="Times New Roman" w:cs="Times New Roman"/>
          <w:sz w:val="24"/>
          <w:szCs w:val="24"/>
        </w:rPr>
        <w:t xml:space="preserve">Firm </w:t>
      </w:r>
      <w:r w:rsidR="002D5693">
        <w:rPr>
          <w:rFonts w:ascii="Times New Roman" w:hAnsi="Times New Roman" w:cs="Times New Roman"/>
          <w:sz w:val="24"/>
          <w:szCs w:val="24"/>
        </w:rPr>
        <w:t>C</w:t>
      </w:r>
    </w:p>
    <w:p w:rsidR="00D05CCB" w:rsidRDefault="00D05CCB" w:rsidP="00F468A0">
      <w:pPr>
        <w:pStyle w:val="ListParagraph"/>
        <w:tabs>
          <w:tab w:val="left" w:pos="3600"/>
          <w:tab w:val="left" w:pos="5400"/>
          <w:tab w:val="left" w:pos="7200"/>
        </w:tabs>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0F66FB" w:rsidRDefault="000F66FB" w:rsidP="00F468A0">
      <w:pPr>
        <w:pStyle w:val="ListParagraph"/>
        <w:tabs>
          <w:tab w:val="left" w:pos="3600"/>
          <w:tab w:val="left" w:pos="5400"/>
          <w:tab w:val="left" w:pos="7200"/>
        </w:tabs>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Pre-Tax Profit</w:t>
      </w:r>
      <w:r>
        <w:rPr>
          <w:rFonts w:ascii="Times New Roman" w:hAnsi="Times New Roman" w:cs="Times New Roman"/>
          <w:sz w:val="24"/>
          <w:szCs w:val="24"/>
        </w:rPr>
        <w:tab/>
        <w:t>$100</w:t>
      </w:r>
      <w:r>
        <w:rPr>
          <w:rFonts w:ascii="Times New Roman" w:hAnsi="Times New Roman" w:cs="Times New Roman"/>
          <w:sz w:val="24"/>
          <w:szCs w:val="24"/>
        </w:rPr>
        <w:tab/>
        <w:t>$101</w:t>
      </w:r>
      <w:r>
        <w:rPr>
          <w:rFonts w:ascii="Times New Roman" w:hAnsi="Times New Roman" w:cs="Times New Roman"/>
          <w:sz w:val="24"/>
          <w:szCs w:val="24"/>
        </w:rPr>
        <w:tab/>
        <w:t>$101</w:t>
      </w:r>
    </w:p>
    <w:p w:rsidR="000F66FB" w:rsidRDefault="000F66FB" w:rsidP="00F468A0">
      <w:pPr>
        <w:pStyle w:val="ListParagraph"/>
        <w:tabs>
          <w:tab w:val="left" w:pos="3600"/>
          <w:tab w:val="left" w:pos="5400"/>
          <w:tab w:val="left" w:pos="7200"/>
        </w:tabs>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Company Tax</w:t>
      </w:r>
      <w:r>
        <w:rPr>
          <w:rFonts w:ascii="Times New Roman" w:hAnsi="Times New Roman" w:cs="Times New Roman"/>
          <w:sz w:val="24"/>
          <w:szCs w:val="24"/>
        </w:rPr>
        <w:tab/>
        <w:t>$30</w:t>
      </w:r>
      <w:r>
        <w:rPr>
          <w:rFonts w:ascii="Times New Roman" w:hAnsi="Times New Roman" w:cs="Times New Roman"/>
          <w:sz w:val="24"/>
          <w:szCs w:val="24"/>
        </w:rPr>
        <w:tab/>
        <w:t>$30.3</w:t>
      </w:r>
      <w:r>
        <w:rPr>
          <w:rFonts w:ascii="Times New Roman" w:hAnsi="Times New Roman" w:cs="Times New Roman"/>
          <w:sz w:val="24"/>
          <w:szCs w:val="24"/>
        </w:rPr>
        <w:tab/>
        <w:t>$30.3</w:t>
      </w:r>
    </w:p>
    <w:p w:rsidR="000F66FB" w:rsidRDefault="00D31A71" w:rsidP="00F468A0">
      <w:pPr>
        <w:pStyle w:val="ListParagraph"/>
        <w:tabs>
          <w:tab w:val="left" w:pos="3600"/>
          <w:tab w:val="left" w:pos="5400"/>
          <w:tab w:val="left" w:pos="7200"/>
        </w:tabs>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Post-Tax Profit</w:t>
      </w:r>
      <w:r>
        <w:rPr>
          <w:rFonts w:ascii="Times New Roman" w:hAnsi="Times New Roman" w:cs="Times New Roman"/>
          <w:sz w:val="24"/>
          <w:szCs w:val="24"/>
        </w:rPr>
        <w:tab/>
        <w:t>$70</w:t>
      </w:r>
      <w:r>
        <w:rPr>
          <w:rFonts w:ascii="Times New Roman" w:hAnsi="Times New Roman" w:cs="Times New Roman"/>
          <w:sz w:val="24"/>
          <w:szCs w:val="24"/>
        </w:rPr>
        <w:tab/>
        <w:t>$70.7</w:t>
      </w:r>
      <w:r>
        <w:rPr>
          <w:rFonts w:ascii="Times New Roman" w:hAnsi="Times New Roman" w:cs="Times New Roman"/>
          <w:sz w:val="24"/>
          <w:szCs w:val="24"/>
        </w:rPr>
        <w:tab/>
        <w:t>$70.7</w:t>
      </w:r>
    </w:p>
    <w:p w:rsidR="00D31A71" w:rsidRDefault="00D31A71" w:rsidP="00F468A0">
      <w:pPr>
        <w:pStyle w:val="ListParagraph"/>
        <w:tabs>
          <w:tab w:val="left" w:pos="3600"/>
          <w:tab w:val="left" w:pos="5400"/>
          <w:tab w:val="left" w:pos="7200"/>
        </w:tabs>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Retention</w:t>
      </w:r>
      <w:r>
        <w:rPr>
          <w:rFonts w:ascii="Times New Roman" w:hAnsi="Times New Roman" w:cs="Times New Roman"/>
          <w:sz w:val="24"/>
          <w:szCs w:val="24"/>
        </w:rPr>
        <w:tab/>
        <w:t>$15</w:t>
      </w:r>
      <w:r>
        <w:rPr>
          <w:rFonts w:ascii="Times New Roman" w:hAnsi="Times New Roman" w:cs="Times New Roman"/>
          <w:sz w:val="24"/>
          <w:szCs w:val="24"/>
        </w:rPr>
        <w:tab/>
        <w:t>$25</w:t>
      </w:r>
      <w:r>
        <w:rPr>
          <w:rFonts w:ascii="Times New Roman" w:hAnsi="Times New Roman" w:cs="Times New Roman"/>
          <w:sz w:val="24"/>
          <w:szCs w:val="24"/>
        </w:rPr>
        <w:tab/>
        <w:t>$15.15</w:t>
      </w:r>
    </w:p>
    <w:p w:rsidR="00D31A71" w:rsidRDefault="00D31A71" w:rsidP="00F468A0">
      <w:pPr>
        <w:pStyle w:val="ListParagraph"/>
        <w:tabs>
          <w:tab w:val="left" w:pos="3600"/>
          <w:tab w:val="left" w:pos="5400"/>
          <w:tab w:val="left" w:pos="7200"/>
        </w:tabs>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Dividends</w:t>
      </w:r>
      <w:r>
        <w:rPr>
          <w:rFonts w:ascii="Times New Roman" w:hAnsi="Times New Roman" w:cs="Times New Roman"/>
          <w:sz w:val="24"/>
          <w:szCs w:val="24"/>
        </w:rPr>
        <w:tab/>
        <w:t>$55</w:t>
      </w:r>
      <w:r>
        <w:rPr>
          <w:rFonts w:ascii="Times New Roman" w:hAnsi="Times New Roman" w:cs="Times New Roman"/>
          <w:sz w:val="24"/>
          <w:szCs w:val="24"/>
        </w:rPr>
        <w:tab/>
        <w:t>$45.7</w:t>
      </w:r>
      <w:r>
        <w:rPr>
          <w:rFonts w:ascii="Times New Roman" w:hAnsi="Times New Roman" w:cs="Times New Roman"/>
          <w:sz w:val="24"/>
          <w:szCs w:val="24"/>
        </w:rPr>
        <w:tab/>
        <w:t>$55.55</w:t>
      </w:r>
    </w:p>
    <w:p w:rsidR="00D31A71" w:rsidRDefault="00472E43" w:rsidP="00F468A0">
      <w:pPr>
        <w:pStyle w:val="ListParagraph"/>
        <w:tabs>
          <w:tab w:val="left" w:pos="3600"/>
          <w:tab w:val="left" w:pos="5400"/>
          <w:tab w:val="left" w:pos="7200"/>
        </w:tabs>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Max Credits Attachable</w:t>
      </w:r>
      <w:r w:rsidR="00F468A0">
        <w:rPr>
          <w:rFonts w:ascii="Times New Roman" w:hAnsi="Times New Roman" w:cs="Times New Roman"/>
          <w:sz w:val="24"/>
          <w:szCs w:val="24"/>
        </w:rPr>
        <w:tab/>
        <w:t>$23.6</w:t>
      </w:r>
      <w:r w:rsidR="00F468A0">
        <w:rPr>
          <w:rFonts w:ascii="Times New Roman" w:hAnsi="Times New Roman" w:cs="Times New Roman"/>
          <w:sz w:val="24"/>
          <w:szCs w:val="24"/>
        </w:rPr>
        <w:tab/>
        <w:t>$19.6</w:t>
      </w:r>
      <w:r w:rsidR="00F468A0">
        <w:rPr>
          <w:rFonts w:ascii="Times New Roman" w:hAnsi="Times New Roman" w:cs="Times New Roman"/>
          <w:sz w:val="24"/>
          <w:szCs w:val="24"/>
        </w:rPr>
        <w:tab/>
        <w:t>$23.8</w:t>
      </w:r>
    </w:p>
    <w:p w:rsidR="00F468A0" w:rsidRDefault="00F468A0" w:rsidP="005E6E89">
      <w:pPr>
        <w:pStyle w:val="ListParagraph"/>
        <w:tabs>
          <w:tab w:val="left" w:pos="3600"/>
          <w:tab w:val="left" w:pos="5400"/>
          <w:tab w:val="left" w:pos="7200"/>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Distribution Rate</w:t>
      </w:r>
      <w:r>
        <w:rPr>
          <w:rFonts w:ascii="Times New Roman" w:hAnsi="Times New Roman" w:cs="Times New Roman"/>
          <w:sz w:val="24"/>
          <w:szCs w:val="24"/>
        </w:rPr>
        <w:tab/>
        <w:t>0.78</w:t>
      </w:r>
      <w:r>
        <w:rPr>
          <w:rFonts w:ascii="Times New Roman" w:hAnsi="Times New Roman" w:cs="Times New Roman"/>
          <w:sz w:val="24"/>
          <w:szCs w:val="24"/>
        </w:rPr>
        <w:tab/>
        <w:t>0.65</w:t>
      </w:r>
      <w:r>
        <w:rPr>
          <w:rFonts w:ascii="Times New Roman" w:hAnsi="Times New Roman" w:cs="Times New Roman"/>
          <w:sz w:val="24"/>
          <w:szCs w:val="24"/>
        </w:rPr>
        <w:tab/>
        <w:t>0.79</w:t>
      </w:r>
    </w:p>
    <w:p w:rsidR="000F66FB" w:rsidRDefault="005E6E89" w:rsidP="00122250">
      <w:pPr>
        <w:pStyle w:val="ListParagraph"/>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5E6E89" w:rsidRDefault="005E6E89" w:rsidP="00122250">
      <w:pPr>
        <w:pStyle w:val="ListParagraph"/>
        <w:spacing w:after="0" w:line="360" w:lineRule="auto"/>
        <w:ind w:left="0"/>
        <w:jc w:val="both"/>
        <w:rPr>
          <w:rFonts w:ascii="Times New Roman" w:hAnsi="Times New Roman" w:cs="Times New Roman"/>
          <w:sz w:val="24"/>
          <w:szCs w:val="24"/>
        </w:rPr>
      </w:pPr>
    </w:p>
    <w:p w:rsidR="003230D9" w:rsidRDefault="00787599" w:rsidP="00122250">
      <w:pPr>
        <w:pStyle w:val="ListParagraph"/>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Frontier (2016b</w:t>
      </w:r>
      <w:r w:rsidR="003230D9">
        <w:rPr>
          <w:rFonts w:ascii="Times New Roman" w:hAnsi="Times New Roman" w:cs="Times New Roman"/>
          <w:sz w:val="24"/>
          <w:szCs w:val="24"/>
        </w:rPr>
        <w:t>, para 35) also seems to argue that the seven firms examined by Lally (2016a, section 3.5)</w:t>
      </w:r>
      <w:r w:rsidR="001F4891">
        <w:rPr>
          <w:rFonts w:ascii="Times New Roman" w:hAnsi="Times New Roman" w:cs="Times New Roman"/>
          <w:sz w:val="24"/>
          <w:szCs w:val="24"/>
        </w:rPr>
        <w:t>,</w:t>
      </w:r>
      <w:r w:rsidR="003230D9">
        <w:rPr>
          <w:rFonts w:ascii="Times New Roman" w:hAnsi="Times New Roman" w:cs="Times New Roman"/>
          <w:sz w:val="24"/>
          <w:szCs w:val="24"/>
        </w:rPr>
        <w:t xml:space="preserve"> </w:t>
      </w:r>
      <w:r w:rsidR="001F4891">
        <w:rPr>
          <w:rFonts w:ascii="Times New Roman" w:hAnsi="Times New Roman" w:cs="Times New Roman"/>
          <w:sz w:val="24"/>
          <w:szCs w:val="24"/>
        </w:rPr>
        <w:t xml:space="preserve">for the purpose of assessing whether the distribution rate is positively or negatively correlated with the extent of foreign activities, </w:t>
      </w:r>
      <w:r w:rsidR="003230D9">
        <w:rPr>
          <w:rFonts w:ascii="Times New Roman" w:hAnsi="Times New Roman" w:cs="Times New Roman"/>
          <w:sz w:val="24"/>
          <w:szCs w:val="24"/>
        </w:rPr>
        <w:t>are too few to draw conclusions from.</w:t>
      </w:r>
      <w:r w:rsidR="006F3D9B">
        <w:rPr>
          <w:rFonts w:ascii="Times New Roman" w:hAnsi="Times New Roman" w:cs="Times New Roman"/>
          <w:sz w:val="24"/>
          <w:szCs w:val="24"/>
        </w:rPr>
        <w:t xml:space="preserve">  However </w:t>
      </w:r>
      <w:r w:rsidR="00215FAE">
        <w:rPr>
          <w:rFonts w:ascii="Times New Roman" w:hAnsi="Times New Roman" w:cs="Times New Roman"/>
          <w:sz w:val="24"/>
          <w:szCs w:val="24"/>
        </w:rPr>
        <w:t xml:space="preserve">the purpose of the exercise is to estimate the </w:t>
      </w:r>
      <w:r w:rsidR="001F4891">
        <w:rPr>
          <w:rFonts w:ascii="Times New Roman" w:hAnsi="Times New Roman" w:cs="Times New Roman"/>
          <w:sz w:val="24"/>
          <w:szCs w:val="24"/>
        </w:rPr>
        <w:t xml:space="preserve">imputation credit </w:t>
      </w:r>
      <w:r w:rsidR="00215FAE">
        <w:rPr>
          <w:rFonts w:ascii="Times New Roman" w:hAnsi="Times New Roman" w:cs="Times New Roman"/>
          <w:sz w:val="24"/>
          <w:szCs w:val="24"/>
        </w:rPr>
        <w:t xml:space="preserve">distribution rate of the market, </w:t>
      </w:r>
      <w:r w:rsidR="006F3D9B">
        <w:rPr>
          <w:rFonts w:ascii="Times New Roman" w:hAnsi="Times New Roman" w:cs="Times New Roman"/>
          <w:sz w:val="24"/>
          <w:szCs w:val="24"/>
        </w:rPr>
        <w:t xml:space="preserve">these seven firms collectively account for 79% of the taxes paid to the ATO by the 20 largest ASX firms, and the latter account for 62% of the value of the equity in the ASX200 (Lally, 2014, page 30).  Furthermore, the last ten of these firms </w:t>
      </w:r>
      <w:r w:rsidR="001F4891">
        <w:rPr>
          <w:rFonts w:ascii="Times New Roman" w:hAnsi="Times New Roman" w:cs="Times New Roman"/>
          <w:sz w:val="24"/>
          <w:szCs w:val="24"/>
        </w:rPr>
        <w:t xml:space="preserve">only </w:t>
      </w:r>
      <w:r w:rsidR="006F3D9B">
        <w:rPr>
          <w:rFonts w:ascii="Times New Roman" w:hAnsi="Times New Roman" w:cs="Times New Roman"/>
          <w:sz w:val="24"/>
          <w:szCs w:val="24"/>
        </w:rPr>
        <w:t>raised the share of the ASX200 from 50% to 62%.  Thus, the set of firms is large and the gains from further increases in the sample size would be small.</w:t>
      </w:r>
      <w:r w:rsidR="00215FAE">
        <w:rPr>
          <w:rFonts w:ascii="Times New Roman" w:hAnsi="Times New Roman" w:cs="Times New Roman"/>
          <w:sz w:val="24"/>
          <w:szCs w:val="24"/>
        </w:rPr>
        <w:t xml:space="preserve">  Put another way, </w:t>
      </w:r>
      <w:r w:rsidR="00EF0A63">
        <w:rPr>
          <w:rFonts w:ascii="Times New Roman" w:hAnsi="Times New Roman" w:cs="Times New Roman"/>
          <w:sz w:val="24"/>
          <w:szCs w:val="24"/>
        </w:rPr>
        <w:t xml:space="preserve">if a </w:t>
      </w:r>
      <w:r w:rsidR="00215FAE">
        <w:rPr>
          <w:rFonts w:ascii="Times New Roman" w:hAnsi="Times New Roman" w:cs="Times New Roman"/>
          <w:sz w:val="24"/>
          <w:szCs w:val="24"/>
        </w:rPr>
        <w:t xml:space="preserve">market comprised 100 firms of equal size, sampling 90 of them would clearly be sufficient.  If those 90 merged into a single firm, sampling that single firm would provide the same information as before and therefore be equally good.  So, the number of firms sampled is not important; it is the collective </w:t>
      </w:r>
      <w:r w:rsidR="001F4891">
        <w:rPr>
          <w:rFonts w:ascii="Times New Roman" w:hAnsi="Times New Roman" w:cs="Times New Roman"/>
          <w:sz w:val="24"/>
          <w:szCs w:val="24"/>
        </w:rPr>
        <w:t xml:space="preserve">size of </w:t>
      </w:r>
      <w:r w:rsidR="00215FAE">
        <w:rPr>
          <w:rFonts w:ascii="Times New Roman" w:hAnsi="Times New Roman" w:cs="Times New Roman"/>
          <w:sz w:val="24"/>
          <w:szCs w:val="24"/>
        </w:rPr>
        <w:t>those firms</w:t>
      </w:r>
      <w:r w:rsidR="001F4891">
        <w:rPr>
          <w:rFonts w:ascii="Times New Roman" w:hAnsi="Times New Roman" w:cs="Times New Roman"/>
          <w:sz w:val="24"/>
          <w:szCs w:val="24"/>
        </w:rPr>
        <w:t xml:space="preserve"> that is important</w:t>
      </w:r>
      <w:r w:rsidR="00215FAE">
        <w:rPr>
          <w:rFonts w:ascii="Times New Roman" w:hAnsi="Times New Roman" w:cs="Times New Roman"/>
          <w:sz w:val="24"/>
          <w:szCs w:val="24"/>
        </w:rPr>
        <w:t>.</w:t>
      </w:r>
    </w:p>
    <w:p w:rsidR="00454D21" w:rsidRDefault="00454D21" w:rsidP="00122250">
      <w:pPr>
        <w:pStyle w:val="ListParagraph"/>
        <w:spacing w:after="0" w:line="360" w:lineRule="auto"/>
        <w:ind w:left="0"/>
        <w:jc w:val="both"/>
        <w:rPr>
          <w:rFonts w:ascii="Times New Roman" w:hAnsi="Times New Roman" w:cs="Times New Roman"/>
          <w:sz w:val="24"/>
          <w:szCs w:val="24"/>
        </w:rPr>
      </w:pPr>
    </w:p>
    <w:p w:rsidR="00D67710" w:rsidRDefault="00787599" w:rsidP="00122250">
      <w:pPr>
        <w:pStyle w:val="ListParagraph"/>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Frontier (2016b</w:t>
      </w:r>
      <w:r w:rsidR="00EF0A63">
        <w:rPr>
          <w:rFonts w:ascii="Times New Roman" w:hAnsi="Times New Roman" w:cs="Times New Roman"/>
          <w:sz w:val="24"/>
          <w:szCs w:val="24"/>
        </w:rPr>
        <w:t xml:space="preserve">, section 3) notes that gamma is the product of the </w:t>
      </w:r>
      <w:r w:rsidR="00CA1F28">
        <w:rPr>
          <w:rFonts w:ascii="Times New Roman" w:hAnsi="Times New Roman" w:cs="Times New Roman"/>
          <w:sz w:val="24"/>
          <w:szCs w:val="24"/>
        </w:rPr>
        <w:t>distribution rate for credits (credits distributed/credits created) and the utilization rate</w:t>
      </w:r>
      <w:r w:rsidR="00084B3C">
        <w:rPr>
          <w:rFonts w:ascii="Times New Roman" w:hAnsi="Times New Roman" w:cs="Times New Roman"/>
          <w:sz w:val="24"/>
          <w:szCs w:val="24"/>
        </w:rPr>
        <w:t xml:space="preserve"> (credits </w:t>
      </w:r>
      <w:r w:rsidR="00E478E9">
        <w:rPr>
          <w:rFonts w:ascii="Times New Roman" w:hAnsi="Times New Roman" w:cs="Times New Roman"/>
          <w:sz w:val="24"/>
          <w:szCs w:val="24"/>
        </w:rPr>
        <w:t xml:space="preserve">utilized/credits </w:t>
      </w:r>
      <w:r w:rsidR="00084B3C">
        <w:rPr>
          <w:rFonts w:ascii="Times New Roman" w:hAnsi="Times New Roman" w:cs="Times New Roman"/>
          <w:sz w:val="24"/>
          <w:szCs w:val="24"/>
        </w:rPr>
        <w:t xml:space="preserve">distributed), that concerns about the reliability of the credits distributed from the ATO data do not affect the estimate of gamma, and therefore such </w:t>
      </w:r>
      <w:r w:rsidR="00E478E9">
        <w:rPr>
          <w:rFonts w:ascii="Times New Roman" w:hAnsi="Times New Roman" w:cs="Times New Roman"/>
          <w:sz w:val="24"/>
          <w:szCs w:val="24"/>
        </w:rPr>
        <w:t xml:space="preserve">ATO </w:t>
      </w:r>
      <w:r w:rsidR="00084B3C">
        <w:rPr>
          <w:rFonts w:ascii="Times New Roman" w:hAnsi="Times New Roman" w:cs="Times New Roman"/>
          <w:sz w:val="24"/>
          <w:szCs w:val="24"/>
        </w:rPr>
        <w:t xml:space="preserve">data is useful for estimating </w:t>
      </w:r>
      <w:r w:rsidR="00084B3C">
        <w:rPr>
          <w:rFonts w:ascii="Times New Roman" w:hAnsi="Times New Roman" w:cs="Times New Roman"/>
          <w:sz w:val="24"/>
          <w:szCs w:val="24"/>
        </w:rPr>
        <w:lastRenderedPageBreak/>
        <w:t>gamma.  However, this argume</w:t>
      </w:r>
      <w:r w:rsidR="00AA5ACE">
        <w:rPr>
          <w:rFonts w:ascii="Times New Roman" w:hAnsi="Times New Roman" w:cs="Times New Roman"/>
          <w:sz w:val="24"/>
          <w:szCs w:val="24"/>
        </w:rPr>
        <w:t xml:space="preserve">nt has a number of shortcomings.  Firstly, </w:t>
      </w:r>
      <w:r w:rsidR="00D67710">
        <w:rPr>
          <w:rFonts w:ascii="Times New Roman" w:hAnsi="Times New Roman" w:cs="Times New Roman"/>
          <w:sz w:val="24"/>
          <w:szCs w:val="24"/>
        </w:rPr>
        <w:t xml:space="preserve">in addition to the estimate of gamma appearing within the cash flows, the Officer model requires an estimate of the utilization rate in order to estimate the MRP, that estimate would have to use the ATO data if gamma were estimated from the ATO data, and the unreliability of the ATO data in </w:t>
      </w:r>
      <w:r w:rsidR="00D97F09">
        <w:rPr>
          <w:rFonts w:ascii="Times New Roman" w:hAnsi="Times New Roman" w:cs="Times New Roman"/>
          <w:sz w:val="24"/>
          <w:szCs w:val="24"/>
        </w:rPr>
        <w:t xml:space="preserve">estimating the utilization rate (which Frontier </w:t>
      </w:r>
      <w:r w:rsidR="00E478E9">
        <w:rPr>
          <w:rFonts w:ascii="Times New Roman" w:hAnsi="Times New Roman" w:cs="Times New Roman"/>
          <w:sz w:val="24"/>
          <w:szCs w:val="24"/>
        </w:rPr>
        <w:t xml:space="preserve">now </w:t>
      </w:r>
      <w:r w:rsidR="00D97F09">
        <w:rPr>
          <w:rFonts w:ascii="Times New Roman" w:hAnsi="Times New Roman" w:cs="Times New Roman"/>
          <w:sz w:val="24"/>
          <w:szCs w:val="24"/>
        </w:rPr>
        <w:t xml:space="preserve">seems to accept) </w:t>
      </w:r>
      <w:r w:rsidR="00D67710">
        <w:rPr>
          <w:rFonts w:ascii="Times New Roman" w:hAnsi="Times New Roman" w:cs="Times New Roman"/>
          <w:sz w:val="24"/>
          <w:szCs w:val="24"/>
        </w:rPr>
        <w:t xml:space="preserve">would then be problematic.  Secondly, </w:t>
      </w:r>
      <w:r w:rsidR="00AA5ACE">
        <w:rPr>
          <w:rFonts w:ascii="Times New Roman" w:hAnsi="Times New Roman" w:cs="Times New Roman"/>
          <w:sz w:val="24"/>
          <w:szCs w:val="24"/>
        </w:rPr>
        <w:t>such an approach requires recourse to the same set of companies for estimating both the utilization and distribution rates, there is no necessity to do so, and good reason for not doing so (</w:t>
      </w:r>
      <w:r w:rsidR="00E478E9">
        <w:rPr>
          <w:rFonts w:ascii="Times New Roman" w:hAnsi="Times New Roman" w:cs="Times New Roman"/>
          <w:sz w:val="24"/>
          <w:szCs w:val="24"/>
        </w:rPr>
        <w:t xml:space="preserve">because </w:t>
      </w:r>
      <w:r w:rsidR="00AA5ACE">
        <w:rPr>
          <w:rFonts w:ascii="Times New Roman" w:hAnsi="Times New Roman" w:cs="Times New Roman"/>
          <w:sz w:val="24"/>
          <w:szCs w:val="24"/>
        </w:rPr>
        <w:t xml:space="preserve">one would not want to use unlisted firms for estimating the distribution rate, which is firm-specific, whilst </w:t>
      </w:r>
      <w:r w:rsidR="00E478E9">
        <w:rPr>
          <w:rFonts w:ascii="Times New Roman" w:hAnsi="Times New Roman" w:cs="Times New Roman"/>
          <w:sz w:val="24"/>
          <w:szCs w:val="24"/>
        </w:rPr>
        <w:t xml:space="preserve">one would want to use all </w:t>
      </w:r>
      <w:r w:rsidR="00AA5ACE">
        <w:rPr>
          <w:rFonts w:ascii="Times New Roman" w:hAnsi="Times New Roman" w:cs="Times New Roman"/>
          <w:sz w:val="24"/>
          <w:szCs w:val="24"/>
        </w:rPr>
        <w:t>firms to estimate the utilization rate</w:t>
      </w:r>
      <w:r w:rsidR="00E478E9">
        <w:rPr>
          <w:rFonts w:ascii="Times New Roman" w:hAnsi="Times New Roman" w:cs="Times New Roman"/>
          <w:sz w:val="24"/>
          <w:szCs w:val="24"/>
        </w:rPr>
        <w:t xml:space="preserve"> because it is a </w:t>
      </w:r>
      <w:r w:rsidR="00AA5ACE">
        <w:rPr>
          <w:rFonts w:ascii="Times New Roman" w:hAnsi="Times New Roman" w:cs="Times New Roman"/>
          <w:sz w:val="24"/>
          <w:szCs w:val="24"/>
        </w:rPr>
        <w:t>ma</w:t>
      </w:r>
      <w:r w:rsidR="00D67710">
        <w:rPr>
          <w:rFonts w:ascii="Times New Roman" w:hAnsi="Times New Roman" w:cs="Times New Roman"/>
          <w:sz w:val="24"/>
          <w:szCs w:val="24"/>
        </w:rPr>
        <w:t xml:space="preserve">rket-wide parameter).  Thirdly, whilst the problems in the ATO </w:t>
      </w:r>
      <w:r w:rsidR="009A426E">
        <w:rPr>
          <w:rFonts w:ascii="Times New Roman" w:hAnsi="Times New Roman" w:cs="Times New Roman"/>
          <w:sz w:val="24"/>
          <w:szCs w:val="24"/>
        </w:rPr>
        <w:t xml:space="preserve">data </w:t>
      </w:r>
      <w:r w:rsidR="00D67710" w:rsidRPr="003E38F1">
        <w:rPr>
          <w:rFonts w:ascii="Times New Roman" w:hAnsi="Times New Roman" w:cs="Times New Roman"/>
          <w:i/>
          <w:sz w:val="24"/>
          <w:szCs w:val="24"/>
        </w:rPr>
        <w:t>may</w:t>
      </w:r>
      <w:r w:rsidR="00D67710">
        <w:rPr>
          <w:rFonts w:ascii="Times New Roman" w:hAnsi="Times New Roman" w:cs="Times New Roman"/>
          <w:sz w:val="24"/>
          <w:szCs w:val="24"/>
        </w:rPr>
        <w:t xml:space="preserve"> be limited to the </w:t>
      </w:r>
      <w:r w:rsidR="00C05F36" w:rsidRPr="00CE05D7">
        <w:rPr>
          <w:rFonts w:ascii="Times New Roman" w:hAnsi="Times New Roman" w:cs="Times New Roman"/>
          <w:sz w:val="24"/>
          <w:szCs w:val="24"/>
        </w:rPr>
        <w:t>credits distributed</w:t>
      </w:r>
      <w:r w:rsidR="00D67710" w:rsidRPr="00CE05D7">
        <w:rPr>
          <w:rFonts w:ascii="Times New Roman" w:hAnsi="Times New Roman" w:cs="Times New Roman"/>
          <w:sz w:val="24"/>
          <w:szCs w:val="24"/>
        </w:rPr>
        <w:t xml:space="preserve"> (because the data offers two co</w:t>
      </w:r>
      <w:r w:rsidR="00C05F36" w:rsidRPr="00CE05D7">
        <w:rPr>
          <w:rFonts w:ascii="Times New Roman" w:hAnsi="Times New Roman" w:cs="Times New Roman"/>
          <w:sz w:val="24"/>
          <w:szCs w:val="24"/>
        </w:rPr>
        <w:t>nflicting estimates of that quantity, from dividend data and franking account balance data</w:t>
      </w:r>
      <w:r w:rsidR="00D67710">
        <w:rPr>
          <w:rFonts w:ascii="Times New Roman" w:hAnsi="Times New Roman" w:cs="Times New Roman"/>
          <w:sz w:val="24"/>
          <w:szCs w:val="24"/>
        </w:rPr>
        <w:t>), the credibility of the entire ATO database is damaged by</w:t>
      </w:r>
      <w:r w:rsidR="009F5E44">
        <w:rPr>
          <w:rFonts w:ascii="Times New Roman" w:hAnsi="Times New Roman" w:cs="Times New Roman"/>
          <w:sz w:val="24"/>
          <w:szCs w:val="24"/>
        </w:rPr>
        <w:t xml:space="preserve"> </w:t>
      </w:r>
      <w:r w:rsidR="00E478E9">
        <w:rPr>
          <w:rFonts w:ascii="Times New Roman" w:hAnsi="Times New Roman" w:cs="Times New Roman"/>
          <w:sz w:val="24"/>
          <w:szCs w:val="24"/>
        </w:rPr>
        <w:t xml:space="preserve">both </w:t>
      </w:r>
      <w:r w:rsidR="009F5E44">
        <w:rPr>
          <w:rFonts w:ascii="Times New Roman" w:hAnsi="Times New Roman" w:cs="Times New Roman"/>
          <w:sz w:val="24"/>
          <w:szCs w:val="24"/>
        </w:rPr>
        <w:t>the conflicting estimates of the distribution ra</w:t>
      </w:r>
      <w:r w:rsidR="00B72345">
        <w:rPr>
          <w:rFonts w:ascii="Times New Roman" w:hAnsi="Times New Roman" w:cs="Times New Roman"/>
          <w:sz w:val="24"/>
          <w:szCs w:val="24"/>
        </w:rPr>
        <w:t>te</w:t>
      </w:r>
      <w:r w:rsidR="00E478E9">
        <w:rPr>
          <w:rFonts w:ascii="Times New Roman" w:hAnsi="Times New Roman" w:cs="Times New Roman"/>
          <w:sz w:val="24"/>
          <w:szCs w:val="24"/>
        </w:rPr>
        <w:t xml:space="preserve"> and the inability </w:t>
      </w:r>
      <w:r w:rsidR="00AF6E66">
        <w:rPr>
          <w:rFonts w:ascii="Times New Roman" w:hAnsi="Times New Roman" w:cs="Times New Roman"/>
          <w:sz w:val="24"/>
          <w:szCs w:val="24"/>
        </w:rPr>
        <w:t xml:space="preserve">of the ATO </w:t>
      </w:r>
      <w:r w:rsidR="00E478E9">
        <w:rPr>
          <w:rFonts w:ascii="Times New Roman" w:hAnsi="Times New Roman" w:cs="Times New Roman"/>
          <w:sz w:val="24"/>
          <w:szCs w:val="24"/>
        </w:rPr>
        <w:t>to identify the source of that conflict</w:t>
      </w:r>
      <w:r w:rsidR="00B72345">
        <w:rPr>
          <w:rFonts w:ascii="Times New Roman" w:hAnsi="Times New Roman" w:cs="Times New Roman"/>
          <w:sz w:val="24"/>
          <w:szCs w:val="24"/>
        </w:rPr>
        <w:t>.</w:t>
      </w:r>
    </w:p>
    <w:p w:rsidR="00B72345" w:rsidRDefault="00B72345" w:rsidP="00122250">
      <w:pPr>
        <w:pStyle w:val="ListParagraph"/>
        <w:spacing w:after="0" w:line="360" w:lineRule="auto"/>
        <w:ind w:left="0"/>
        <w:jc w:val="both"/>
        <w:rPr>
          <w:rFonts w:ascii="Times New Roman" w:hAnsi="Times New Roman" w:cs="Times New Roman"/>
          <w:sz w:val="24"/>
          <w:szCs w:val="24"/>
        </w:rPr>
      </w:pPr>
    </w:p>
    <w:p w:rsidR="00C24313" w:rsidRPr="00AB2FEC" w:rsidRDefault="00BF500B" w:rsidP="00C24313">
      <w:pPr>
        <w:pStyle w:val="ListParagraph"/>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Frontier (2016b</w:t>
      </w:r>
      <w:r w:rsidR="00B72345">
        <w:rPr>
          <w:rFonts w:ascii="Times New Roman" w:hAnsi="Times New Roman" w:cs="Times New Roman"/>
          <w:sz w:val="24"/>
          <w:szCs w:val="24"/>
        </w:rPr>
        <w:t xml:space="preserve">, para 48) also asserts that gamma estimated from ATO data </w:t>
      </w:r>
      <w:r w:rsidR="00E77F3B">
        <w:rPr>
          <w:rFonts w:ascii="Times New Roman" w:hAnsi="Times New Roman" w:cs="Times New Roman"/>
          <w:sz w:val="24"/>
          <w:szCs w:val="24"/>
        </w:rPr>
        <w:t>would be an upper bound</w:t>
      </w:r>
      <w:r w:rsidR="008620C5">
        <w:rPr>
          <w:rFonts w:ascii="Times New Roman" w:hAnsi="Times New Roman" w:cs="Times New Roman"/>
          <w:sz w:val="24"/>
          <w:szCs w:val="24"/>
        </w:rPr>
        <w:t>,</w:t>
      </w:r>
      <w:r w:rsidR="00E77F3B">
        <w:rPr>
          <w:rFonts w:ascii="Times New Roman" w:hAnsi="Times New Roman" w:cs="Times New Roman"/>
          <w:sz w:val="24"/>
          <w:szCs w:val="24"/>
        </w:rPr>
        <w:t xml:space="preserve"> because the redemption proportion estimated from ATO data (credits redeemed/credits distributed) </w:t>
      </w:r>
      <w:r w:rsidR="008620C5">
        <w:rPr>
          <w:rFonts w:ascii="Times New Roman" w:hAnsi="Times New Roman" w:cs="Times New Roman"/>
          <w:sz w:val="24"/>
          <w:szCs w:val="24"/>
        </w:rPr>
        <w:t>would be an upper bound</w:t>
      </w:r>
      <w:r w:rsidR="00C24313">
        <w:rPr>
          <w:rFonts w:ascii="Times New Roman" w:hAnsi="Times New Roman" w:cs="Times New Roman"/>
          <w:sz w:val="24"/>
          <w:szCs w:val="24"/>
        </w:rPr>
        <w:t xml:space="preserve"> on the estimate for theta</w:t>
      </w:r>
      <w:r w:rsidR="008620C5">
        <w:rPr>
          <w:rFonts w:ascii="Times New Roman" w:hAnsi="Times New Roman" w:cs="Times New Roman"/>
          <w:sz w:val="24"/>
          <w:szCs w:val="24"/>
        </w:rPr>
        <w:t>, for reasons given by the ACT (2016)</w:t>
      </w:r>
      <w:r w:rsidR="00C22A4A">
        <w:rPr>
          <w:rFonts w:ascii="Times New Roman" w:hAnsi="Times New Roman" w:cs="Times New Roman"/>
          <w:sz w:val="24"/>
          <w:szCs w:val="24"/>
        </w:rPr>
        <w:t>.  Frontier does n</w:t>
      </w:r>
      <w:r w:rsidR="00C24313">
        <w:rPr>
          <w:rFonts w:ascii="Times New Roman" w:hAnsi="Times New Roman" w:cs="Times New Roman"/>
          <w:sz w:val="24"/>
          <w:szCs w:val="24"/>
        </w:rPr>
        <w:t xml:space="preserve">ot elaborate upon these reasons.  However, the ACT (2016, para 1093, 1095, 1066) argues that the redemption rate is an upper bound on the estimate of theta, due to time delays, administrative costs in distributing the credits, portfolio effects, and the effect of the 45 day rule.  Given </w:t>
      </w:r>
      <w:r w:rsidR="00CD51DF">
        <w:rPr>
          <w:rFonts w:ascii="Times New Roman" w:hAnsi="Times New Roman" w:cs="Times New Roman"/>
          <w:sz w:val="24"/>
          <w:szCs w:val="24"/>
        </w:rPr>
        <w:t xml:space="preserve">the ACT’s </w:t>
      </w:r>
      <w:r w:rsidR="00C24313">
        <w:rPr>
          <w:rFonts w:ascii="Times New Roman" w:hAnsi="Times New Roman" w:cs="Times New Roman"/>
          <w:sz w:val="24"/>
          <w:szCs w:val="24"/>
        </w:rPr>
        <w:t xml:space="preserve">belief that theta is the market value of the credits, and </w:t>
      </w:r>
      <w:r w:rsidR="00AB1037">
        <w:rPr>
          <w:rFonts w:ascii="Times New Roman" w:hAnsi="Times New Roman" w:cs="Times New Roman"/>
          <w:sz w:val="24"/>
          <w:szCs w:val="24"/>
        </w:rPr>
        <w:t xml:space="preserve">the fact </w:t>
      </w:r>
      <w:r w:rsidR="00C24313">
        <w:rPr>
          <w:rFonts w:ascii="Times New Roman" w:hAnsi="Times New Roman" w:cs="Times New Roman"/>
          <w:sz w:val="24"/>
          <w:szCs w:val="24"/>
        </w:rPr>
        <w:t xml:space="preserve">that these phenomena would depress the market value of the credits, this would seem to follow.  However, </w:t>
      </w:r>
      <w:r w:rsidR="00CD51DF">
        <w:rPr>
          <w:rFonts w:ascii="Times New Roman" w:hAnsi="Times New Roman" w:cs="Times New Roman"/>
          <w:sz w:val="24"/>
          <w:szCs w:val="24"/>
        </w:rPr>
        <w:t xml:space="preserve">as noted in Lally (2016b, page 41), the ACT’s </w:t>
      </w:r>
      <w:r w:rsidR="00C24313">
        <w:rPr>
          <w:rFonts w:ascii="Times New Roman" w:hAnsi="Times New Roman" w:cs="Times New Roman"/>
          <w:sz w:val="24"/>
          <w:szCs w:val="24"/>
        </w:rPr>
        <w:t>belief that theta is by definition the marke</w:t>
      </w:r>
      <w:r w:rsidR="00010B3D">
        <w:rPr>
          <w:rFonts w:ascii="Times New Roman" w:hAnsi="Times New Roman" w:cs="Times New Roman"/>
          <w:sz w:val="24"/>
          <w:szCs w:val="24"/>
        </w:rPr>
        <w:t xml:space="preserve">t value of the credits is wrong; </w:t>
      </w:r>
      <w:r w:rsidR="00C24313">
        <w:rPr>
          <w:rFonts w:ascii="Times New Roman" w:hAnsi="Times New Roman" w:cs="Times New Roman"/>
          <w:sz w:val="24"/>
          <w:szCs w:val="24"/>
        </w:rPr>
        <w:t>it is a weighted-average of investors’ utiliz</w:t>
      </w:r>
      <w:r w:rsidR="00010B3D">
        <w:rPr>
          <w:rFonts w:ascii="Times New Roman" w:hAnsi="Times New Roman" w:cs="Times New Roman"/>
          <w:sz w:val="24"/>
          <w:szCs w:val="24"/>
        </w:rPr>
        <w:t>ation rates for the credits</w:t>
      </w:r>
      <w:r w:rsidR="00C24313">
        <w:rPr>
          <w:rFonts w:ascii="Times New Roman" w:hAnsi="Times New Roman" w:cs="Times New Roman"/>
          <w:sz w:val="24"/>
          <w:szCs w:val="24"/>
        </w:rPr>
        <w:t xml:space="preserve">, and this alone undercuts </w:t>
      </w:r>
      <w:r w:rsidR="00CD51DF">
        <w:rPr>
          <w:rFonts w:ascii="Times New Roman" w:hAnsi="Times New Roman" w:cs="Times New Roman"/>
          <w:sz w:val="24"/>
          <w:szCs w:val="24"/>
        </w:rPr>
        <w:t xml:space="preserve">their </w:t>
      </w:r>
      <w:r w:rsidR="00615A3E">
        <w:rPr>
          <w:rFonts w:ascii="Times New Roman" w:hAnsi="Times New Roman" w:cs="Times New Roman"/>
          <w:sz w:val="24"/>
          <w:szCs w:val="24"/>
        </w:rPr>
        <w:t xml:space="preserve">reasoning.  </w:t>
      </w:r>
      <w:r w:rsidR="00615A3E" w:rsidRPr="00AB2FEC">
        <w:rPr>
          <w:rFonts w:ascii="Times New Roman" w:hAnsi="Times New Roman" w:cs="Times New Roman"/>
          <w:sz w:val="24"/>
          <w:szCs w:val="24"/>
        </w:rPr>
        <w:t>Furthermore, the inability to reliably estimate the redemption rate from ATO data would also preclude any such estimate being an upper bound on theta.</w:t>
      </w:r>
    </w:p>
    <w:p w:rsidR="00D5174D" w:rsidRDefault="00D5174D" w:rsidP="00122250">
      <w:pPr>
        <w:pStyle w:val="ListParagraph"/>
        <w:spacing w:after="0" w:line="360" w:lineRule="auto"/>
        <w:ind w:left="0"/>
        <w:jc w:val="both"/>
        <w:rPr>
          <w:rFonts w:ascii="Times New Roman" w:hAnsi="Times New Roman" w:cs="Times New Roman"/>
          <w:sz w:val="24"/>
          <w:szCs w:val="24"/>
        </w:rPr>
      </w:pPr>
    </w:p>
    <w:p w:rsidR="00D5174D" w:rsidRDefault="00D5174D" w:rsidP="00122250">
      <w:pPr>
        <w:pStyle w:val="ListParagraph"/>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Frontier </w:t>
      </w:r>
      <w:r w:rsidR="00BF500B">
        <w:rPr>
          <w:rFonts w:ascii="Times New Roman" w:hAnsi="Times New Roman" w:cs="Times New Roman"/>
          <w:sz w:val="24"/>
          <w:szCs w:val="24"/>
        </w:rPr>
        <w:t>(2016b</w:t>
      </w:r>
      <w:r>
        <w:rPr>
          <w:rFonts w:ascii="Times New Roman" w:hAnsi="Times New Roman" w:cs="Times New Roman"/>
          <w:sz w:val="24"/>
          <w:szCs w:val="24"/>
        </w:rPr>
        <w:t xml:space="preserve">, paras 60-67) </w:t>
      </w:r>
      <w:r w:rsidR="00CC1253">
        <w:rPr>
          <w:rFonts w:ascii="Times New Roman" w:hAnsi="Times New Roman" w:cs="Times New Roman"/>
          <w:sz w:val="24"/>
          <w:szCs w:val="24"/>
        </w:rPr>
        <w:t xml:space="preserve">argues that tax-induced trading around ex-dividend days would </w:t>
      </w:r>
      <w:r w:rsidR="00F75AC5">
        <w:rPr>
          <w:rFonts w:ascii="Times New Roman" w:hAnsi="Times New Roman" w:cs="Times New Roman"/>
          <w:sz w:val="24"/>
          <w:szCs w:val="24"/>
        </w:rPr>
        <w:t xml:space="preserve">“inflate” </w:t>
      </w:r>
      <w:r w:rsidR="00CC1253">
        <w:rPr>
          <w:rFonts w:ascii="Times New Roman" w:hAnsi="Times New Roman" w:cs="Times New Roman"/>
          <w:sz w:val="24"/>
          <w:szCs w:val="24"/>
        </w:rPr>
        <w:t xml:space="preserve">the estimate of the utilization rate, and cites McKenzie and Partington (2011, </w:t>
      </w:r>
      <w:r w:rsidR="007B2A47">
        <w:rPr>
          <w:rFonts w:ascii="Times New Roman" w:hAnsi="Times New Roman" w:cs="Times New Roman"/>
          <w:sz w:val="24"/>
          <w:szCs w:val="24"/>
        </w:rPr>
        <w:t>pp. 9-10</w:t>
      </w:r>
      <w:r w:rsidR="00983030">
        <w:rPr>
          <w:rFonts w:ascii="Times New Roman" w:hAnsi="Times New Roman" w:cs="Times New Roman"/>
          <w:sz w:val="24"/>
          <w:szCs w:val="24"/>
        </w:rPr>
        <w:t>) in support of</w:t>
      </w:r>
      <w:r w:rsidR="007B2A47">
        <w:rPr>
          <w:rFonts w:ascii="Times New Roman" w:hAnsi="Times New Roman" w:cs="Times New Roman"/>
          <w:sz w:val="24"/>
          <w:szCs w:val="24"/>
        </w:rPr>
        <w:t xml:space="preserve"> this.  </w:t>
      </w:r>
      <w:r w:rsidR="00F75AC5">
        <w:rPr>
          <w:rFonts w:ascii="Times New Roman" w:hAnsi="Times New Roman" w:cs="Times New Roman"/>
          <w:sz w:val="24"/>
          <w:szCs w:val="24"/>
        </w:rPr>
        <w:t xml:space="preserve">Frontier’s statements could reasonably be interpreted as claiming that such trades impart an upward bias to estimates of the utilization rate.  </w:t>
      </w:r>
      <w:r w:rsidR="007B2A47">
        <w:rPr>
          <w:rFonts w:ascii="Times New Roman" w:hAnsi="Times New Roman" w:cs="Times New Roman"/>
          <w:sz w:val="24"/>
          <w:szCs w:val="24"/>
        </w:rPr>
        <w:t xml:space="preserve">However, </w:t>
      </w:r>
      <w:r w:rsidR="00F75AC5">
        <w:rPr>
          <w:rFonts w:ascii="Times New Roman" w:hAnsi="Times New Roman" w:cs="Times New Roman"/>
          <w:sz w:val="24"/>
          <w:szCs w:val="24"/>
        </w:rPr>
        <w:t>McKenzie and Partington make no such claim</w:t>
      </w:r>
      <w:r w:rsidR="007B2A47">
        <w:rPr>
          <w:rFonts w:ascii="Times New Roman" w:hAnsi="Times New Roman" w:cs="Times New Roman"/>
          <w:sz w:val="24"/>
          <w:szCs w:val="24"/>
        </w:rPr>
        <w:t>.</w:t>
      </w:r>
      <w:r w:rsidR="00CD5F05">
        <w:rPr>
          <w:rFonts w:ascii="Times New Roman" w:hAnsi="Times New Roman" w:cs="Times New Roman"/>
          <w:sz w:val="24"/>
          <w:szCs w:val="24"/>
        </w:rPr>
        <w:t xml:space="preserve">  </w:t>
      </w:r>
      <w:r w:rsidR="00F75AC5">
        <w:rPr>
          <w:rFonts w:ascii="Times New Roman" w:hAnsi="Times New Roman" w:cs="Times New Roman"/>
          <w:sz w:val="24"/>
          <w:szCs w:val="24"/>
        </w:rPr>
        <w:t xml:space="preserve">Furthermore, the </w:t>
      </w:r>
      <w:r w:rsidR="00CD5F05">
        <w:rPr>
          <w:rFonts w:ascii="Times New Roman" w:hAnsi="Times New Roman" w:cs="Times New Roman"/>
          <w:sz w:val="24"/>
          <w:szCs w:val="24"/>
        </w:rPr>
        <w:t xml:space="preserve">statements quoted by Frontier </w:t>
      </w:r>
      <w:r w:rsidR="00CD5F05">
        <w:rPr>
          <w:rFonts w:ascii="Times New Roman" w:hAnsi="Times New Roman" w:cs="Times New Roman"/>
          <w:sz w:val="24"/>
          <w:szCs w:val="24"/>
        </w:rPr>
        <w:lastRenderedPageBreak/>
        <w:t xml:space="preserve">represent a summary from McKenzie and Partington of only two of the many papers examined by them.  Subsequently, </w:t>
      </w:r>
      <w:r w:rsidR="00EA2BC3">
        <w:rPr>
          <w:rFonts w:ascii="Times New Roman" w:hAnsi="Times New Roman" w:cs="Times New Roman"/>
          <w:sz w:val="24"/>
          <w:szCs w:val="24"/>
        </w:rPr>
        <w:t xml:space="preserve">in expressing their own views, </w:t>
      </w:r>
      <w:r w:rsidR="00CD5F05">
        <w:rPr>
          <w:rFonts w:ascii="Times New Roman" w:hAnsi="Times New Roman" w:cs="Times New Roman"/>
          <w:sz w:val="24"/>
          <w:szCs w:val="24"/>
        </w:rPr>
        <w:t>McKenzie and Partington (2011, page 10) state that “Arbitrageurs can be engaged in both dividend avoidance</w:t>
      </w:r>
      <w:r w:rsidR="00F75AC5">
        <w:rPr>
          <w:rFonts w:ascii="Times New Roman" w:hAnsi="Times New Roman" w:cs="Times New Roman"/>
          <w:sz w:val="24"/>
          <w:szCs w:val="24"/>
        </w:rPr>
        <w:t xml:space="preserve"> (eg:</w:t>
      </w:r>
      <w:r w:rsidR="00CD5F05">
        <w:rPr>
          <w:rFonts w:ascii="Times New Roman" w:hAnsi="Times New Roman" w:cs="Times New Roman"/>
          <w:sz w:val="24"/>
          <w:szCs w:val="24"/>
        </w:rPr>
        <w:t xml:space="preserve"> foreign investors with lower franking credit v</w:t>
      </w:r>
      <w:r w:rsidR="00F75AC5">
        <w:rPr>
          <w:rFonts w:ascii="Times New Roman" w:hAnsi="Times New Roman" w:cs="Times New Roman"/>
          <w:sz w:val="24"/>
          <w:szCs w:val="24"/>
        </w:rPr>
        <w:t>alues) and dividend capture (eg:</w:t>
      </w:r>
      <w:r w:rsidR="00CD5F05">
        <w:rPr>
          <w:rFonts w:ascii="Times New Roman" w:hAnsi="Times New Roman" w:cs="Times New Roman"/>
          <w:sz w:val="24"/>
          <w:szCs w:val="24"/>
        </w:rPr>
        <w:t xml:space="preserve"> domestic investors with higher franking credit values).”  The latter of these activities would </w:t>
      </w:r>
      <w:r w:rsidR="00EA2BC3">
        <w:rPr>
          <w:rFonts w:ascii="Times New Roman" w:hAnsi="Times New Roman" w:cs="Times New Roman"/>
          <w:sz w:val="24"/>
          <w:szCs w:val="24"/>
        </w:rPr>
        <w:t xml:space="preserve">raise the </w:t>
      </w:r>
      <w:r w:rsidR="00CD5F05">
        <w:rPr>
          <w:rFonts w:ascii="Times New Roman" w:hAnsi="Times New Roman" w:cs="Times New Roman"/>
          <w:sz w:val="24"/>
          <w:szCs w:val="24"/>
        </w:rPr>
        <w:t>estimate of the utilization rate but the former would have the reverse effect.</w:t>
      </w:r>
      <w:r w:rsidR="00F33C44">
        <w:rPr>
          <w:rFonts w:ascii="Times New Roman" w:hAnsi="Times New Roman" w:cs="Times New Roman"/>
          <w:sz w:val="24"/>
          <w:szCs w:val="24"/>
        </w:rPr>
        <w:t xml:space="preserve">  McKenzie and Partington (2011, page 11) also state that </w:t>
      </w:r>
      <w:r w:rsidR="00EA2BC3">
        <w:rPr>
          <w:rFonts w:ascii="Times New Roman" w:hAnsi="Times New Roman" w:cs="Times New Roman"/>
          <w:sz w:val="24"/>
          <w:szCs w:val="24"/>
        </w:rPr>
        <w:t xml:space="preserve">“..if short-term traders did determine prices, then the observed price drop would underestimate the value of dividends and franking credits…” due to the effect of transactions costs.  McKenzie and Partington (2011, page 13) also summarise results from various papers that examine </w:t>
      </w:r>
      <w:r w:rsidR="00F75AC5">
        <w:rPr>
          <w:rFonts w:ascii="Times New Roman" w:hAnsi="Times New Roman" w:cs="Times New Roman"/>
          <w:sz w:val="24"/>
          <w:szCs w:val="24"/>
        </w:rPr>
        <w:t xml:space="preserve">contemporaneous trades on </w:t>
      </w:r>
      <w:r w:rsidR="00895D6D">
        <w:rPr>
          <w:rFonts w:ascii="Times New Roman" w:hAnsi="Times New Roman" w:cs="Times New Roman"/>
          <w:sz w:val="24"/>
          <w:szCs w:val="24"/>
        </w:rPr>
        <w:t xml:space="preserve">cum and ex-dividend </w:t>
      </w:r>
      <w:r w:rsidR="00F75AC5">
        <w:rPr>
          <w:rFonts w:ascii="Times New Roman" w:hAnsi="Times New Roman" w:cs="Times New Roman"/>
          <w:sz w:val="24"/>
          <w:szCs w:val="24"/>
        </w:rPr>
        <w:t>shares, which suggests that the dividend drop-off studies give “downward biased estimates of dividends and franking credit value.”</w:t>
      </w:r>
      <w:r w:rsidR="006A5F38">
        <w:rPr>
          <w:rFonts w:ascii="Times New Roman" w:hAnsi="Times New Roman" w:cs="Times New Roman"/>
          <w:sz w:val="24"/>
          <w:szCs w:val="24"/>
        </w:rPr>
        <w:t xml:space="preserve">  Thus, Frontier’s claim that McKenzie and Partington (2011) believe that tax-induced trading around ex-dividend days would “inflate” the estimate of the utilization rate is wrong.</w:t>
      </w:r>
    </w:p>
    <w:p w:rsidR="00B43FFE" w:rsidRDefault="00B43FFE" w:rsidP="00122250">
      <w:pPr>
        <w:pStyle w:val="ListParagraph"/>
        <w:spacing w:after="0" w:line="360" w:lineRule="auto"/>
        <w:ind w:left="0"/>
        <w:jc w:val="both"/>
        <w:rPr>
          <w:rFonts w:ascii="Times New Roman" w:hAnsi="Times New Roman" w:cs="Times New Roman"/>
          <w:sz w:val="24"/>
          <w:szCs w:val="24"/>
        </w:rPr>
      </w:pPr>
    </w:p>
    <w:p w:rsidR="00C0597B" w:rsidRDefault="00B43FFE" w:rsidP="00B43FFE">
      <w:pPr>
        <w:pStyle w:val="ListParagraph"/>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To explore this matter further, suppose that </w:t>
      </w:r>
      <w:r w:rsidR="006C0F15">
        <w:rPr>
          <w:rFonts w:ascii="Times New Roman" w:hAnsi="Times New Roman" w:cs="Times New Roman"/>
          <w:sz w:val="24"/>
          <w:szCs w:val="24"/>
        </w:rPr>
        <w:t xml:space="preserve">the utilization rate </w:t>
      </w:r>
      <w:r w:rsidR="006C0F15" w:rsidRPr="006C0F15">
        <w:rPr>
          <w:rFonts w:ascii="Times New Roman" w:hAnsi="Times New Roman" w:cs="Times New Roman"/>
          <w:i/>
          <w:sz w:val="24"/>
          <w:szCs w:val="24"/>
        </w:rPr>
        <w:t>U</w:t>
      </w:r>
      <w:r w:rsidR="006C0F15">
        <w:rPr>
          <w:rFonts w:ascii="Times New Roman" w:hAnsi="Times New Roman" w:cs="Times New Roman"/>
          <w:sz w:val="24"/>
          <w:szCs w:val="24"/>
        </w:rPr>
        <w:t xml:space="preserve"> (the </w:t>
      </w:r>
      <w:r>
        <w:rPr>
          <w:rFonts w:ascii="Times New Roman" w:hAnsi="Times New Roman" w:cs="Times New Roman"/>
          <w:sz w:val="24"/>
          <w:szCs w:val="24"/>
        </w:rPr>
        <w:t>weighted-average over i</w:t>
      </w:r>
      <w:r w:rsidR="003D7EB7">
        <w:rPr>
          <w:rFonts w:ascii="Times New Roman" w:hAnsi="Times New Roman" w:cs="Times New Roman"/>
          <w:sz w:val="24"/>
          <w:szCs w:val="24"/>
        </w:rPr>
        <w:t xml:space="preserve">nvestors’ utilization rates) is </w:t>
      </w:r>
      <w:r>
        <w:rPr>
          <w:rFonts w:ascii="Times New Roman" w:hAnsi="Times New Roman" w:cs="Times New Roman"/>
          <w:sz w:val="24"/>
          <w:szCs w:val="24"/>
        </w:rPr>
        <w:t>0.50.  So, if the s</w:t>
      </w:r>
      <w:r w:rsidR="00AB3340">
        <w:rPr>
          <w:rFonts w:ascii="Times New Roman" w:hAnsi="Times New Roman" w:cs="Times New Roman"/>
          <w:sz w:val="24"/>
          <w:szCs w:val="24"/>
        </w:rPr>
        <w:t>hare price cum-dividend were</w:t>
      </w:r>
      <w:r w:rsidR="00971EEE">
        <w:rPr>
          <w:rFonts w:ascii="Times New Roman" w:hAnsi="Times New Roman" w:cs="Times New Roman"/>
          <w:sz w:val="24"/>
          <w:szCs w:val="24"/>
        </w:rPr>
        <w:t xml:space="preserve"> </w:t>
      </w:r>
      <w:r w:rsidR="00971EEE" w:rsidRPr="00971EEE">
        <w:rPr>
          <w:rFonts w:ascii="Times New Roman" w:hAnsi="Times New Roman" w:cs="Times New Roman"/>
          <w:i/>
          <w:sz w:val="24"/>
          <w:szCs w:val="24"/>
        </w:rPr>
        <w:t>P</w:t>
      </w:r>
      <w:r w:rsidR="00971EEE" w:rsidRPr="00971EEE">
        <w:rPr>
          <w:rFonts w:ascii="Times New Roman" w:hAnsi="Times New Roman" w:cs="Times New Roman"/>
          <w:i/>
          <w:sz w:val="24"/>
          <w:szCs w:val="24"/>
          <w:vertAlign w:val="subscript"/>
        </w:rPr>
        <w:t>C</w:t>
      </w:r>
      <w:r w:rsidR="00971EEE">
        <w:rPr>
          <w:rFonts w:ascii="Times New Roman" w:hAnsi="Times New Roman" w:cs="Times New Roman"/>
          <w:sz w:val="24"/>
          <w:szCs w:val="24"/>
        </w:rPr>
        <w:t xml:space="preserve"> =</w:t>
      </w:r>
      <w:r w:rsidR="00AB3340">
        <w:rPr>
          <w:rFonts w:ascii="Times New Roman" w:hAnsi="Times New Roman" w:cs="Times New Roman"/>
          <w:sz w:val="24"/>
          <w:szCs w:val="24"/>
        </w:rPr>
        <w:t xml:space="preserve"> $100</w:t>
      </w:r>
      <w:r>
        <w:rPr>
          <w:rFonts w:ascii="Times New Roman" w:hAnsi="Times New Roman" w:cs="Times New Roman"/>
          <w:sz w:val="24"/>
          <w:szCs w:val="24"/>
        </w:rPr>
        <w:t xml:space="preserve">, </w:t>
      </w:r>
      <w:r>
        <w:rPr>
          <w:rFonts w:ascii="Times New Roman" w:hAnsi="Times New Roman" w:cs="Times New Roman"/>
          <w:i/>
          <w:sz w:val="24"/>
          <w:szCs w:val="24"/>
        </w:rPr>
        <w:t>D</w:t>
      </w:r>
      <w:r w:rsidR="00AB3340">
        <w:rPr>
          <w:rFonts w:ascii="Times New Roman" w:hAnsi="Times New Roman" w:cs="Times New Roman"/>
          <w:sz w:val="24"/>
          <w:szCs w:val="24"/>
        </w:rPr>
        <w:t xml:space="preserve"> = $4</w:t>
      </w:r>
      <w:r>
        <w:rPr>
          <w:rFonts w:ascii="Times New Roman" w:hAnsi="Times New Roman" w:cs="Times New Roman"/>
          <w:sz w:val="24"/>
          <w:szCs w:val="24"/>
        </w:rPr>
        <w:t xml:space="preserve">, </w:t>
      </w:r>
      <w:r w:rsidRPr="00D44483">
        <w:rPr>
          <w:rFonts w:ascii="Times New Roman" w:hAnsi="Times New Roman" w:cs="Times New Roman"/>
          <w:i/>
          <w:sz w:val="24"/>
          <w:szCs w:val="24"/>
        </w:rPr>
        <w:t>IC</w:t>
      </w:r>
      <w:r w:rsidR="00AB3340">
        <w:rPr>
          <w:rFonts w:ascii="Times New Roman" w:hAnsi="Times New Roman" w:cs="Times New Roman"/>
          <w:sz w:val="24"/>
          <w:szCs w:val="24"/>
        </w:rPr>
        <w:t xml:space="preserve"> = $2</w:t>
      </w:r>
      <w:r>
        <w:rPr>
          <w:rFonts w:ascii="Times New Roman" w:hAnsi="Times New Roman" w:cs="Times New Roman"/>
          <w:sz w:val="24"/>
          <w:szCs w:val="24"/>
        </w:rPr>
        <w:t xml:space="preserve">, </w:t>
      </w:r>
      <w:r w:rsidR="00C0597B">
        <w:rPr>
          <w:rFonts w:ascii="Times New Roman" w:hAnsi="Times New Roman" w:cs="Times New Roman"/>
          <w:sz w:val="24"/>
          <w:szCs w:val="24"/>
        </w:rPr>
        <w:t xml:space="preserve">and dividends and capital gains are taxed at the same rate, then </w:t>
      </w:r>
      <w:r>
        <w:rPr>
          <w:rFonts w:ascii="Times New Roman" w:hAnsi="Times New Roman" w:cs="Times New Roman"/>
          <w:sz w:val="24"/>
          <w:szCs w:val="24"/>
        </w:rPr>
        <w:t>the expected ex-div share price consistent wi</w:t>
      </w:r>
      <w:r w:rsidR="00AB3340">
        <w:rPr>
          <w:rFonts w:ascii="Times New Roman" w:hAnsi="Times New Roman" w:cs="Times New Roman"/>
          <w:sz w:val="24"/>
          <w:szCs w:val="24"/>
        </w:rPr>
        <w:t xml:space="preserve">th </w:t>
      </w:r>
      <w:r w:rsidR="006C0F15" w:rsidRPr="006C0F15">
        <w:rPr>
          <w:rFonts w:ascii="Times New Roman" w:hAnsi="Times New Roman" w:cs="Times New Roman"/>
          <w:i/>
          <w:sz w:val="24"/>
          <w:szCs w:val="24"/>
        </w:rPr>
        <w:t>U</w:t>
      </w:r>
      <w:r w:rsidR="00AB3340">
        <w:rPr>
          <w:rFonts w:ascii="Times New Roman" w:hAnsi="Times New Roman" w:cs="Times New Roman"/>
          <w:sz w:val="24"/>
          <w:szCs w:val="24"/>
        </w:rPr>
        <w:t xml:space="preserve"> = 0.50 would be $95</w:t>
      </w:r>
      <w:r w:rsidR="00C0597B">
        <w:rPr>
          <w:rFonts w:ascii="Times New Roman" w:hAnsi="Times New Roman" w:cs="Times New Roman"/>
          <w:sz w:val="24"/>
          <w:szCs w:val="24"/>
        </w:rPr>
        <w:t xml:space="preserve"> as follows:</w:t>
      </w:r>
      <w:r w:rsidR="009A2229">
        <w:rPr>
          <w:rStyle w:val="FootnoteReference"/>
          <w:rFonts w:ascii="Times New Roman" w:hAnsi="Times New Roman" w:cs="Times New Roman"/>
          <w:sz w:val="24"/>
          <w:szCs w:val="24"/>
        </w:rPr>
        <w:footnoteReference w:id="6"/>
      </w:r>
    </w:p>
    <w:p w:rsidR="00C0597B" w:rsidRDefault="00C0597B" w:rsidP="00B43FFE">
      <w:pPr>
        <w:pStyle w:val="ListParagraph"/>
        <w:spacing w:after="0" w:line="360" w:lineRule="auto"/>
        <w:ind w:left="0"/>
        <w:jc w:val="both"/>
        <w:rPr>
          <w:rFonts w:ascii="Times New Roman" w:hAnsi="Times New Roman" w:cs="Times New Roman"/>
          <w:sz w:val="24"/>
          <w:szCs w:val="24"/>
        </w:rPr>
      </w:pPr>
    </w:p>
    <w:p w:rsidR="00C0597B" w:rsidRDefault="00F12608" w:rsidP="00F12608">
      <w:pPr>
        <w:pStyle w:val="ListParagraph"/>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6F3EAD" w:rsidRPr="00A22ED9">
        <w:rPr>
          <w:rFonts w:ascii="Times New Roman" w:hAnsi="Times New Roman" w:cs="Times New Roman"/>
          <w:position w:val="-10"/>
          <w:sz w:val="24"/>
          <w:szCs w:val="24"/>
        </w:rPr>
        <w:object w:dxaOrig="3700" w:dyaOrig="340">
          <v:shape id="_x0000_i1027" type="#_x0000_t75" style="width:185.7pt;height:16.65pt" o:ole="">
            <v:imagedata r:id="rId13" o:title=""/>
          </v:shape>
          <o:OLEObject Type="Embed" ProgID="Equation.3" ShapeID="_x0000_i1027" DrawAspect="Content" ObjectID="_1554554733" r:id="rId14"/>
        </w:object>
      </w:r>
      <w:r>
        <w:rPr>
          <w:rFonts w:ascii="Times New Roman" w:hAnsi="Times New Roman" w:cs="Times New Roman"/>
          <w:sz w:val="24"/>
          <w:szCs w:val="24"/>
        </w:rPr>
        <w:t xml:space="preserve">                                     (1)</w:t>
      </w:r>
    </w:p>
    <w:p w:rsidR="00C0597B" w:rsidRDefault="00C0597B" w:rsidP="00F12608">
      <w:pPr>
        <w:pStyle w:val="ListParagraph"/>
        <w:spacing w:after="0" w:line="360" w:lineRule="auto"/>
        <w:ind w:left="0"/>
        <w:jc w:val="center"/>
        <w:rPr>
          <w:rFonts w:ascii="Times New Roman" w:hAnsi="Times New Roman" w:cs="Times New Roman"/>
          <w:sz w:val="24"/>
          <w:szCs w:val="24"/>
        </w:rPr>
      </w:pPr>
    </w:p>
    <w:p w:rsidR="00B43FFE" w:rsidRDefault="00B43FFE" w:rsidP="00B43FFE">
      <w:pPr>
        <w:pStyle w:val="ListParagraph"/>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Thus, if the expected share price ex-div were determin</w:t>
      </w:r>
      <w:r w:rsidR="006A5F38">
        <w:rPr>
          <w:rFonts w:ascii="Times New Roman" w:hAnsi="Times New Roman" w:cs="Times New Roman"/>
          <w:sz w:val="24"/>
          <w:szCs w:val="24"/>
        </w:rPr>
        <w:t>ed in this fashion</w:t>
      </w:r>
      <w:r>
        <w:rPr>
          <w:rFonts w:ascii="Times New Roman" w:hAnsi="Times New Roman" w:cs="Times New Roman"/>
          <w:sz w:val="24"/>
          <w:szCs w:val="24"/>
        </w:rPr>
        <w:t xml:space="preserve">, then a regression of </w:t>
      </w:r>
      <w:r w:rsidR="00EC07D3">
        <w:rPr>
          <w:rFonts w:ascii="Times New Roman" w:hAnsi="Times New Roman" w:cs="Times New Roman"/>
          <w:sz w:val="24"/>
          <w:szCs w:val="24"/>
        </w:rPr>
        <w:t xml:space="preserve">the actual share price change around the ex-day on the cash dividend and the imputation credits would </w:t>
      </w:r>
      <w:r>
        <w:rPr>
          <w:rFonts w:ascii="Times New Roman" w:hAnsi="Times New Roman" w:cs="Times New Roman"/>
          <w:sz w:val="24"/>
          <w:szCs w:val="24"/>
        </w:rPr>
        <w:t>yield an expected coefficient on the credits of 0.50, and therefore would be</w:t>
      </w:r>
      <w:r w:rsidR="00A22ED9">
        <w:rPr>
          <w:rFonts w:ascii="Times New Roman" w:hAnsi="Times New Roman" w:cs="Times New Roman"/>
          <w:sz w:val="24"/>
          <w:szCs w:val="24"/>
        </w:rPr>
        <w:t xml:space="preserve"> an unbiased estimator of </w:t>
      </w:r>
      <w:r w:rsidR="00862FE4" w:rsidRPr="00862FE4">
        <w:rPr>
          <w:rFonts w:ascii="Times New Roman" w:hAnsi="Times New Roman" w:cs="Times New Roman"/>
          <w:i/>
          <w:sz w:val="24"/>
          <w:szCs w:val="24"/>
        </w:rPr>
        <w:t>U</w:t>
      </w:r>
      <w:r w:rsidR="00A22ED9">
        <w:rPr>
          <w:rFonts w:ascii="Times New Roman" w:hAnsi="Times New Roman" w:cs="Times New Roman"/>
          <w:sz w:val="24"/>
          <w:szCs w:val="24"/>
        </w:rPr>
        <w:t xml:space="preserve">.  </w:t>
      </w:r>
      <w:r>
        <w:rPr>
          <w:rFonts w:ascii="Times New Roman" w:hAnsi="Times New Roman" w:cs="Times New Roman"/>
          <w:sz w:val="24"/>
          <w:szCs w:val="24"/>
        </w:rPr>
        <w:t>However, at such an expec</w:t>
      </w:r>
      <w:r w:rsidR="00F419D3">
        <w:rPr>
          <w:rFonts w:ascii="Times New Roman" w:hAnsi="Times New Roman" w:cs="Times New Roman"/>
          <w:sz w:val="24"/>
          <w:szCs w:val="24"/>
        </w:rPr>
        <w:t>ted ex-div share price of $95</w:t>
      </w:r>
      <w:r>
        <w:rPr>
          <w:rFonts w:ascii="Times New Roman" w:hAnsi="Times New Roman" w:cs="Times New Roman"/>
          <w:sz w:val="24"/>
          <w:szCs w:val="24"/>
        </w:rPr>
        <w:t xml:space="preserve">, investors who could use the credits would </w:t>
      </w:r>
      <w:r w:rsidR="00F419D3">
        <w:rPr>
          <w:rFonts w:ascii="Times New Roman" w:hAnsi="Times New Roman" w:cs="Times New Roman"/>
          <w:sz w:val="24"/>
          <w:szCs w:val="24"/>
        </w:rPr>
        <w:t>be tempted to buy cum-div at $100</w:t>
      </w:r>
      <w:r>
        <w:rPr>
          <w:rFonts w:ascii="Times New Roman" w:hAnsi="Times New Roman" w:cs="Times New Roman"/>
          <w:sz w:val="24"/>
          <w:szCs w:val="24"/>
        </w:rPr>
        <w:t xml:space="preserve"> and sell at the</w:t>
      </w:r>
      <w:r w:rsidR="00F419D3">
        <w:rPr>
          <w:rFonts w:ascii="Times New Roman" w:hAnsi="Times New Roman" w:cs="Times New Roman"/>
          <w:sz w:val="24"/>
          <w:szCs w:val="24"/>
        </w:rPr>
        <w:t xml:space="preserve"> expected ex-div price of $95</w:t>
      </w:r>
      <w:r>
        <w:rPr>
          <w:rFonts w:ascii="Times New Roman" w:hAnsi="Times New Roman" w:cs="Times New Roman"/>
          <w:sz w:val="24"/>
          <w:szCs w:val="24"/>
        </w:rPr>
        <w:t>, th</w:t>
      </w:r>
      <w:r w:rsidR="00F419D3">
        <w:rPr>
          <w:rFonts w:ascii="Times New Roman" w:hAnsi="Times New Roman" w:cs="Times New Roman"/>
          <w:sz w:val="24"/>
          <w:szCs w:val="24"/>
        </w:rPr>
        <w:t>ereby receiving a dividend of $4 and imputation credits of $2</w:t>
      </w:r>
      <w:r>
        <w:rPr>
          <w:rFonts w:ascii="Times New Roman" w:hAnsi="Times New Roman" w:cs="Times New Roman"/>
          <w:sz w:val="24"/>
          <w:szCs w:val="24"/>
        </w:rPr>
        <w:t xml:space="preserve">, yielding an expected </w:t>
      </w:r>
      <w:r w:rsidR="00845261">
        <w:rPr>
          <w:rFonts w:ascii="Times New Roman" w:hAnsi="Times New Roman" w:cs="Times New Roman"/>
          <w:sz w:val="24"/>
          <w:szCs w:val="24"/>
        </w:rPr>
        <w:t>pre-tax profit of $1</w:t>
      </w:r>
      <w:r>
        <w:rPr>
          <w:rFonts w:ascii="Times New Roman" w:hAnsi="Times New Roman" w:cs="Times New Roman"/>
          <w:sz w:val="24"/>
          <w:szCs w:val="24"/>
        </w:rPr>
        <w:t>.  Their efforts in doing this would drive the expected price drop up f</w:t>
      </w:r>
      <w:r w:rsidR="00845261">
        <w:rPr>
          <w:rFonts w:ascii="Times New Roman" w:hAnsi="Times New Roman" w:cs="Times New Roman"/>
          <w:sz w:val="24"/>
          <w:szCs w:val="24"/>
        </w:rPr>
        <w:t>rom $5</w:t>
      </w:r>
      <w:r>
        <w:rPr>
          <w:rFonts w:ascii="Times New Roman" w:hAnsi="Times New Roman" w:cs="Times New Roman"/>
          <w:sz w:val="24"/>
          <w:szCs w:val="24"/>
        </w:rPr>
        <w:t xml:space="preserve">.  However, such activity would be discouraged by the transactions costs and risks of holding shares around the ex-day, and these risks would be aggravated by the need to hold the shares for 45 days in order to obtain the credits.  Furthermore, investors who could </w:t>
      </w:r>
      <w:r>
        <w:rPr>
          <w:rFonts w:ascii="Times New Roman" w:hAnsi="Times New Roman" w:cs="Times New Roman"/>
          <w:sz w:val="24"/>
          <w:szCs w:val="24"/>
        </w:rPr>
        <w:lastRenderedPageBreak/>
        <w:t xml:space="preserve">not use the credits would also change their behavior.  Shorting the cum-div shares and buying at the ex-div price may not be feasible.  However, with the expected price drop </w:t>
      </w:r>
      <w:r w:rsidR="006F3EAD">
        <w:rPr>
          <w:rFonts w:ascii="Times New Roman" w:hAnsi="Times New Roman" w:cs="Times New Roman"/>
          <w:sz w:val="24"/>
          <w:szCs w:val="24"/>
        </w:rPr>
        <w:t>of $5</w:t>
      </w:r>
      <w:r>
        <w:rPr>
          <w:rFonts w:ascii="Times New Roman" w:hAnsi="Times New Roman" w:cs="Times New Roman"/>
          <w:sz w:val="24"/>
          <w:szCs w:val="24"/>
        </w:rPr>
        <w:t>, investors who could not use the credits but who held the shares at the cum-div date and desired to hold them in the long-term would be tempted to sell cum-div and repurchase ex-div</w:t>
      </w:r>
      <w:r w:rsidR="006F3EAD">
        <w:rPr>
          <w:rFonts w:ascii="Times New Roman" w:hAnsi="Times New Roman" w:cs="Times New Roman"/>
          <w:sz w:val="24"/>
          <w:szCs w:val="24"/>
        </w:rPr>
        <w:t xml:space="preserve">, yielding an expected </w:t>
      </w:r>
      <w:r>
        <w:rPr>
          <w:rFonts w:ascii="Times New Roman" w:hAnsi="Times New Roman" w:cs="Times New Roman"/>
          <w:sz w:val="24"/>
          <w:szCs w:val="24"/>
        </w:rPr>
        <w:t>capital</w:t>
      </w:r>
      <w:r w:rsidR="006F3EAD">
        <w:rPr>
          <w:rFonts w:ascii="Times New Roman" w:hAnsi="Times New Roman" w:cs="Times New Roman"/>
          <w:sz w:val="24"/>
          <w:szCs w:val="24"/>
        </w:rPr>
        <w:t xml:space="preserve"> gain of $5</w:t>
      </w:r>
      <w:r>
        <w:rPr>
          <w:rFonts w:ascii="Times New Roman" w:hAnsi="Times New Roman" w:cs="Times New Roman"/>
          <w:sz w:val="24"/>
          <w:szCs w:val="24"/>
        </w:rPr>
        <w:t xml:space="preserve"> and </w:t>
      </w:r>
      <w:r w:rsidR="006F3EAD">
        <w:rPr>
          <w:rFonts w:ascii="Times New Roman" w:hAnsi="Times New Roman" w:cs="Times New Roman"/>
          <w:sz w:val="24"/>
          <w:szCs w:val="24"/>
        </w:rPr>
        <w:t>loss of a dividend of $4</w:t>
      </w:r>
      <w:r>
        <w:rPr>
          <w:rFonts w:ascii="Times New Roman" w:hAnsi="Times New Roman" w:cs="Times New Roman"/>
          <w:sz w:val="24"/>
          <w:szCs w:val="24"/>
        </w:rPr>
        <w:t xml:space="preserve">, for a pre-tax expected </w:t>
      </w:r>
      <w:r w:rsidR="006F3EAD">
        <w:rPr>
          <w:rFonts w:ascii="Times New Roman" w:hAnsi="Times New Roman" w:cs="Times New Roman"/>
          <w:sz w:val="24"/>
          <w:szCs w:val="24"/>
        </w:rPr>
        <w:t>profit of $1</w:t>
      </w:r>
      <w:r>
        <w:rPr>
          <w:rFonts w:ascii="Times New Roman" w:hAnsi="Times New Roman" w:cs="Times New Roman"/>
          <w:sz w:val="24"/>
          <w:szCs w:val="24"/>
        </w:rPr>
        <w:t xml:space="preserve">.  Their efforts in doing so would </w:t>
      </w:r>
      <w:r w:rsidR="002556E3">
        <w:rPr>
          <w:rFonts w:ascii="Times New Roman" w:hAnsi="Times New Roman" w:cs="Times New Roman"/>
          <w:sz w:val="24"/>
          <w:szCs w:val="24"/>
        </w:rPr>
        <w:t xml:space="preserve">drive the </w:t>
      </w:r>
      <w:r>
        <w:rPr>
          <w:rFonts w:ascii="Times New Roman" w:hAnsi="Times New Roman" w:cs="Times New Roman"/>
          <w:sz w:val="24"/>
          <w:szCs w:val="24"/>
        </w:rPr>
        <w:t xml:space="preserve">expected price drop </w:t>
      </w:r>
      <w:r w:rsidR="002556E3">
        <w:rPr>
          <w:rFonts w:ascii="Times New Roman" w:hAnsi="Times New Roman" w:cs="Times New Roman"/>
          <w:sz w:val="24"/>
          <w:szCs w:val="24"/>
        </w:rPr>
        <w:t>below $5</w:t>
      </w:r>
      <w:r>
        <w:rPr>
          <w:rFonts w:ascii="Times New Roman" w:hAnsi="Times New Roman" w:cs="Times New Roman"/>
          <w:sz w:val="24"/>
          <w:szCs w:val="24"/>
        </w:rPr>
        <w:t>.  Furthermore, investors who could not use the credits and were holding the shares at the cum-div date but were also planning to sell them would be more inclined to sell cum-div rather than ex-div if the</w:t>
      </w:r>
      <w:r w:rsidR="002556E3">
        <w:rPr>
          <w:rFonts w:ascii="Times New Roman" w:hAnsi="Times New Roman" w:cs="Times New Roman"/>
          <w:sz w:val="24"/>
          <w:szCs w:val="24"/>
        </w:rPr>
        <w:t xml:space="preserve"> expected price drop were $5</w:t>
      </w:r>
      <w:r>
        <w:rPr>
          <w:rFonts w:ascii="Times New Roman" w:hAnsi="Times New Roman" w:cs="Times New Roman"/>
          <w:sz w:val="24"/>
          <w:szCs w:val="24"/>
        </w:rPr>
        <w:t xml:space="preserve">, </w:t>
      </w:r>
      <w:r w:rsidR="006C0F15">
        <w:rPr>
          <w:rFonts w:ascii="Times New Roman" w:hAnsi="Times New Roman" w:cs="Times New Roman"/>
          <w:sz w:val="24"/>
          <w:szCs w:val="24"/>
        </w:rPr>
        <w:t xml:space="preserve">thereby receiving $100 rather than $95 and losing the dividend of $4 for a </w:t>
      </w:r>
      <w:r w:rsidR="00E712B0">
        <w:rPr>
          <w:rFonts w:ascii="Times New Roman" w:hAnsi="Times New Roman" w:cs="Times New Roman"/>
          <w:sz w:val="24"/>
          <w:szCs w:val="24"/>
        </w:rPr>
        <w:t xml:space="preserve">pre-tax expected </w:t>
      </w:r>
      <w:r w:rsidR="006C0F15">
        <w:rPr>
          <w:rFonts w:ascii="Times New Roman" w:hAnsi="Times New Roman" w:cs="Times New Roman"/>
          <w:sz w:val="24"/>
          <w:szCs w:val="24"/>
        </w:rPr>
        <w:t xml:space="preserve">gain of $1, </w:t>
      </w:r>
      <w:r>
        <w:rPr>
          <w:rFonts w:ascii="Times New Roman" w:hAnsi="Times New Roman" w:cs="Times New Roman"/>
          <w:sz w:val="24"/>
          <w:szCs w:val="24"/>
        </w:rPr>
        <w:t xml:space="preserve">and </w:t>
      </w:r>
      <w:r w:rsidR="00E712B0">
        <w:rPr>
          <w:rFonts w:ascii="Times New Roman" w:hAnsi="Times New Roman" w:cs="Times New Roman"/>
          <w:sz w:val="24"/>
          <w:szCs w:val="24"/>
        </w:rPr>
        <w:t xml:space="preserve">the </w:t>
      </w:r>
      <w:r>
        <w:rPr>
          <w:rFonts w:ascii="Times New Roman" w:hAnsi="Times New Roman" w:cs="Times New Roman"/>
          <w:sz w:val="24"/>
          <w:szCs w:val="24"/>
        </w:rPr>
        <w:t xml:space="preserve">effect of doing so would also </w:t>
      </w:r>
      <w:r w:rsidR="002556E3">
        <w:rPr>
          <w:rFonts w:ascii="Times New Roman" w:hAnsi="Times New Roman" w:cs="Times New Roman"/>
          <w:sz w:val="24"/>
          <w:szCs w:val="24"/>
        </w:rPr>
        <w:t xml:space="preserve">reduce the </w:t>
      </w:r>
      <w:r>
        <w:rPr>
          <w:rFonts w:ascii="Times New Roman" w:hAnsi="Times New Roman" w:cs="Times New Roman"/>
          <w:sz w:val="24"/>
          <w:szCs w:val="24"/>
        </w:rPr>
        <w:t>expected price drop</w:t>
      </w:r>
      <w:r w:rsidR="002556E3">
        <w:rPr>
          <w:rFonts w:ascii="Times New Roman" w:hAnsi="Times New Roman" w:cs="Times New Roman"/>
          <w:sz w:val="24"/>
          <w:szCs w:val="24"/>
        </w:rPr>
        <w:t xml:space="preserve">.  </w:t>
      </w:r>
      <w:r>
        <w:rPr>
          <w:rFonts w:ascii="Times New Roman" w:hAnsi="Times New Roman" w:cs="Times New Roman"/>
          <w:sz w:val="24"/>
          <w:szCs w:val="24"/>
        </w:rPr>
        <w:t xml:space="preserve">Furthermore, investors who could not use the credits and were not holding the shares at the cum-div date but were planning to buy them would be more inclined to buy ex-div rather than cum-div if the expected price drop </w:t>
      </w:r>
      <w:r w:rsidR="00BE04AE">
        <w:rPr>
          <w:rFonts w:ascii="Times New Roman" w:hAnsi="Times New Roman" w:cs="Times New Roman"/>
          <w:sz w:val="24"/>
          <w:szCs w:val="24"/>
        </w:rPr>
        <w:t>were $5</w:t>
      </w:r>
      <w:r>
        <w:rPr>
          <w:rFonts w:ascii="Times New Roman" w:hAnsi="Times New Roman" w:cs="Times New Roman"/>
          <w:sz w:val="24"/>
          <w:szCs w:val="24"/>
        </w:rPr>
        <w:t xml:space="preserve">, </w:t>
      </w:r>
      <w:r w:rsidR="006C0F15">
        <w:rPr>
          <w:rFonts w:ascii="Times New Roman" w:hAnsi="Times New Roman" w:cs="Times New Roman"/>
          <w:sz w:val="24"/>
          <w:szCs w:val="24"/>
        </w:rPr>
        <w:t xml:space="preserve">thereby paying $95 rather than $100 and losing the dividend of $4 for a </w:t>
      </w:r>
      <w:r w:rsidR="00E712B0">
        <w:rPr>
          <w:rFonts w:ascii="Times New Roman" w:hAnsi="Times New Roman" w:cs="Times New Roman"/>
          <w:sz w:val="24"/>
          <w:szCs w:val="24"/>
        </w:rPr>
        <w:t xml:space="preserve">pre-tax expected </w:t>
      </w:r>
      <w:r w:rsidR="006C0F15">
        <w:rPr>
          <w:rFonts w:ascii="Times New Roman" w:hAnsi="Times New Roman" w:cs="Times New Roman"/>
          <w:sz w:val="24"/>
          <w:szCs w:val="24"/>
        </w:rPr>
        <w:t xml:space="preserve">gain of $1, </w:t>
      </w:r>
      <w:r>
        <w:rPr>
          <w:rFonts w:ascii="Times New Roman" w:hAnsi="Times New Roman" w:cs="Times New Roman"/>
          <w:sz w:val="24"/>
          <w:szCs w:val="24"/>
        </w:rPr>
        <w:t xml:space="preserve">and the effect of doing so would also </w:t>
      </w:r>
      <w:r w:rsidR="00BE04AE">
        <w:rPr>
          <w:rFonts w:ascii="Times New Roman" w:hAnsi="Times New Roman" w:cs="Times New Roman"/>
          <w:sz w:val="24"/>
          <w:szCs w:val="24"/>
        </w:rPr>
        <w:t>reduce the expected price drop</w:t>
      </w:r>
      <w:r>
        <w:rPr>
          <w:rFonts w:ascii="Times New Roman" w:hAnsi="Times New Roman" w:cs="Times New Roman"/>
          <w:sz w:val="24"/>
          <w:szCs w:val="24"/>
        </w:rPr>
        <w:t xml:space="preserve">.  The last two types of transactions would also be free of any incremental transactions costs and the penultimate case would also involve less risk rather than more (by selling at the known cum-div price rather than the unknown ex-div price).  Accordingly, their frequency relative to the other types of transactions would rise and this too would </w:t>
      </w:r>
      <w:r w:rsidR="00EE3D45">
        <w:rPr>
          <w:rFonts w:ascii="Times New Roman" w:hAnsi="Times New Roman" w:cs="Times New Roman"/>
          <w:sz w:val="24"/>
          <w:szCs w:val="24"/>
        </w:rPr>
        <w:t xml:space="preserve">drive </w:t>
      </w:r>
      <w:r>
        <w:rPr>
          <w:rFonts w:ascii="Times New Roman" w:hAnsi="Times New Roman" w:cs="Times New Roman"/>
          <w:sz w:val="24"/>
          <w:szCs w:val="24"/>
        </w:rPr>
        <w:t>th</w:t>
      </w:r>
      <w:r w:rsidR="00EE3D45">
        <w:rPr>
          <w:rFonts w:ascii="Times New Roman" w:hAnsi="Times New Roman" w:cs="Times New Roman"/>
          <w:sz w:val="24"/>
          <w:szCs w:val="24"/>
        </w:rPr>
        <w:t>e expected price drop towards $4</w:t>
      </w:r>
      <w:r>
        <w:rPr>
          <w:rFonts w:ascii="Times New Roman" w:hAnsi="Times New Roman" w:cs="Times New Roman"/>
          <w:sz w:val="24"/>
          <w:szCs w:val="24"/>
        </w:rPr>
        <w:t xml:space="preserve">.  </w:t>
      </w:r>
      <w:r w:rsidR="00895D6D">
        <w:rPr>
          <w:rFonts w:ascii="Times New Roman" w:hAnsi="Times New Roman" w:cs="Times New Roman"/>
          <w:sz w:val="24"/>
          <w:szCs w:val="24"/>
        </w:rPr>
        <w:t xml:space="preserve">These </w:t>
      </w:r>
      <w:r w:rsidR="009A2229">
        <w:rPr>
          <w:rFonts w:ascii="Times New Roman" w:hAnsi="Times New Roman" w:cs="Times New Roman"/>
          <w:sz w:val="24"/>
          <w:szCs w:val="24"/>
        </w:rPr>
        <w:t xml:space="preserve">four types of </w:t>
      </w:r>
      <w:r w:rsidR="00895D6D">
        <w:rPr>
          <w:rFonts w:ascii="Times New Roman" w:hAnsi="Times New Roman" w:cs="Times New Roman"/>
          <w:sz w:val="24"/>
          <w:szCs w:val="24"/>
        </w:rPr>
        <w:t>transactions and their net impact on the investor are shown in Table 2.</w:t>
      </w:r>
    </w:p>
    <w:p w:rsidR="00895D6D" w:rsidRDefault="00895D6D" w:rsidP="00B43FFE">
      <w:pPr>
        <w:pStyle w:val="ListParagraph"/>
        <w:spacing w:after="0" w:line="360" w:lineRule="auto"/>
        <w:ind w:left="0"/>
        <w:jc w:val="both"/>
        <w:rPr>
          <w:rFonts w:ascii="Times New Roman" w:hAnsi="Times New Roman" w:cs="Times New Roman"/>
          <w:sz w:val="24"/>
          <w:szCs w:val="24"/>
        </w:rPr>
      </w:pPr>
    </w:p>
    <w:p w:rsidR="00895D6D" w:rsidRDefault="00895D6D" w:rsidP="00895D6D">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Table 2: Profits from Tax Motivated Trades Around Ex-Dividend Day</w:t>
      </w:r>
    </w:p>
    <w:p w:rsidR="00895D6D" w:rsidRDefault="00895D6D" w:rsidP="00895D6D">
      <w:pPr>
        <w:pStyle w:val="ListParagraph"/>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B43FFE" w:rsidRDefault="003944A3" w:rsidP="003944A3">
      <w:pPr>
        <w:pStyle w:val="ListParagraph"/>
        <w:tabs>
          <w:tab w:val="left" w:pos="2340"/>
          <w:tab w:val="left" w:pos="3960"/>
          <w:tab w:val="left" w:pos="5490"/>
          <w:tab w:val="left" w:pos="7110"/>
        </w:tabs>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ab/>
        <w:t>Local</w:t>
      </w:r>
      <w:r>
        <w:rPr>
          <w:rFonts w:ascii="Times New Roman" w:hAnsi="Times New Roman" w:cs="Times New Roman"/>
          <w:sz w:val="24"/>
          <w:szCs w:val="24"/>
        </w:rPr>
        <w:tab/>
        <w:t>Foreigner</w:t>
      </w:r>
      <w:r>
        <w:rPr>
          <w:rFonts w:ascii="Times New Roman" w:hAnsi="Times New Roman" w:cs="Times New Roman"/>
          <w:sz w:val="24"/>
          <w:szCs w:val="24"/>
        </w:rPr>
        <w:tab/>
        <w:t>Foreigner</w:t>
      </w:r>
      <w:r>
        <w:rPr>
          <w:rFonts w:ascii="Times New Roman" w:hAnsi="Times New Roman" w:cs="Times New Roman"/>
          <w:sz w:val="24"/>
          <w:szCs w:val="24"/>
        </w:rPr>
        <w:tab/>
        <w:t>Foreigner</w:t>
      </w:r>
    </w:p>
    <w:p w:rsidR="003944A3" w:rsidRDefault="006C0F15" w:rsidP="009A2229">
      <w:pPr>
        <w:pStyle w:val="ListParagraph"/>
        <w:tabs>
          <w:tab w:val="left" w:pos="2340"/>
          <w:tab w:val="left" w:pos="3960"/>
          <w:tab w:val="left" w:pos="5490"/>
          <w:tab w:val="left" w:pos="7110"/>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ab/>
        <w:t>Buy, Sell</w:t>
      </w:r>
      <w:r>
        <w:rPr>
          <w:rFonts w:ascii="Times New Roman" w:hAnsi="Times New Roman" w:cs="Times New Roman"/>
          <w:sz w:val="24"/>
          <w:szCs w:val="24"/>
        </w:rPr>
        <w:tab/>
        <w:t>Sell, Buy</w:t>
      </w:r>
      <w:r>
        <w:rPr>
          <w:rFonts w:ascii="Times New Roman" w:hAnsi="Times New Roman" w:cs="Times New Roman"/>
          <w:sz w:val="24"/>
          <w:szCs w:val="24"/>
        </w:rPr>
        <w:tab/>
        <w:t>Sell cum-div</w:t>
      </w:r>
      <w:r w:rsidR="003944A3">
        <w:rPr>
          <w:rFonts w:ascii="Times New Roman" w:hAnsi="Times New Roman" w:cs="Times New Roman"/>
          <w:sz w:val="24"/>
          <w:szCs w:val="24"/>
        </w:rPr>
        <w:tab/>
        <w:t xml:space="preserve">Buy </w:t>
      </w:r>
      <w:r>
        <w:rPr>
          <w:rFonts w:ascii="Times New Roman" w:hAnsi="Times New Roman" w:cs="Times New Roman"/>
          <w:sz w:val="24"/>
          <w:szCs w:val="24"/>
        </w:rPr>
        <w:t>ex-div</w:t>
      </w:r>
    </w:p>
    <w:p w:rsidR="003944A3" w:rsidRDefault="003944A3" w:rsidP="00B43FFE">
      <w:pPr>
        <w:pStyle w:val="ListParagraph"/>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895D6D" w:rsidRDefault="00895D6D" w:rsidP="003944A3">
      <w:pPr>
        <w:pStyle w:val="ListParagraph"/>
        <w:tabs>
          <w:tab w:val="left" w:pos="2430"/>
          <w:tab w:val="left" w:pos="4140"/>
          <w:tab w:val="left" w:pos="5760"/>
          <w:tab w:val="left" w:pos="7380"/>
        </w:tabs>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Cum Price</w:t>
      </w:r>
      <w:r>
        <w:rPr>
          <w:rFonts w:ascii="Times New Roman" w:hAnsi="Times New Roman" w:cs="Times New Roman"/>
          <w:sz w:val="24"/>
          <w:szCs w:val="24"/>
        </w:rPr>
        <w:tab/>
      </w:r>
      <w:r w:rsidR="001D2CAA">
        <w:rPr>
          <w:rFonts w:ascii="Times New Roman" w:hAnsi="Times New Roman" w:cs="Times New Roman"/>
          <w:sz w:val="24"/>
          <w:szCs w:val="24"/>
        </w:rPr>
        <w:t>-$100</w:t>
      </w:r>
      <w:r>
        <w:rPr>
          <w:rFonts w:ascii="Times New Roman" w:hAnsi="Times New Roman" w:cs="Times New Roman"/>
          <w:sz w:val="24"/>
          <w:szCs w:val="24"/>
        </w:rPr>
        <w:tab/>
      </w:r>
      <w:r w:rsidR="001D2CAA">
        <w:rPr>
          <w:rFonts w:ascii="Times New Roman" w:hAnsi="Times New Roman" w:cs="Times New Roman"/>
          <w:sz w:val="24"/>
          <w:szCs w:val="24"/>
        </w:rPr>
        <w:t>$100</w:t>
      </w:r>
      <w:r w:rsidR="00AB3340">
        <w:rPr>
          <w:rFonts w:ascii="Times New Roman" w:hAnsi="Times New Roman" w:cs="Times New Roman"/>
          <w:sz w:val="24"/>
          <w:szCs w:val="24"/>
        </w:rPr>
        <w:tab/>
      </w:r>
      <w:r w:rsidR="001D2CAA">
        <w:rPr>
          <w:rFonts w:ascii="Times New Roman" w:hAnsi="Times New Roman" w:cs="Times New Roman"/>
          <w:sz w:val="24"/>
          <w:szCs w:val="24"/>
        </w:rPr>
        <w:t>$100</w:t>
      </w:r>
      <w:r w:rsidR="00AB3340">
        <w:rPr>
          <w:rFonts w:ascii="Times New Roman" w:hAnsi="Times New Roman" w:cs="Times New Roman"/>
          <w:sz w:val="24"/>
          <w:szCs w:val="24"/>
        </w:rPr>
        <w:tab/>
      </w:r>
      <w:r w:rsidR="001D2CAA">
        <w:rPr>
          <w:rFonts w:ascii="Times New Roman" w:hAnsi="Times New Roman" w:cs="Times New Roman"/>
          <w:sz w:val="24"/>
          <w:szCs w:val="24"/>
        </w:rPr>
        <w:t>$100</w:t>
      </w:r>
    </w:p>
    <w:p w:rsidR="00AB3340" w:rsidRDefault="001D2CAA" w:rsidP="003944A3">
      <w:pPr>
        <w:pStyle w:val="ListParagraph"/>
        <w:tabs>
          <w:tab w:val="left" w:pos="2520"/>
          <w:tab w:val="left" w:pos="4050"/>
          <w:tab w:val="left" w:pos="5670"/>
          <w:tab w:val="left" w:pos="7290"/>
        </w:tabs>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Ex Price</w:t>
      </w:r>
      <w:r>
        <w:rPr>
          <w:rFonts w:ascii="Times New Roman" w:hAnsi="Times New Roman" w:cs="Times New Roman"/>
          <w:sz w:val="24"/>
          <w:szCs w:val="24"/>
        </w:rPr>
        <w:tab/>
        <w:t>$95</w:t>
      </w:r>
      <w:r>
        <w:rPr>
          <w:rFonts w:ascii="Times New Roman" w:hAnsi="Times New Roman" w:cs="Times New Roman"/>
          <w:sz w:val="24"/>
          <w:szCs w:val="24"/>
        </w:rPr>
        <w:tab/>
        <w:t>-$95</w:t>
      </w:r>
      <w:r w:rsidR="00AB3340">
        <w:rPr>
          <w:rFonts w:ascii="Times New Roman" w:hAnsi="Times New Roman" w:cs="Times New Roman"/>
          <w:sz w:val="24"/>
          <w:szCs w:val="24"/>
        </w:rPr>
        <w:tab/>
      </w:r>
      <w:r>
        <w:rPr>
          <w:rFonts w:ascii="Times New Roman" w:hAnsi="Times New Roman" w:cs="Times New Roman"/>
          <w:sz w:val="24"/>
          <w:szCs w:val="24"/>
        </w:rPr>
        <w:t>-$95</w:t>
      </w:r>
      <w:r>
        <w:rPr>
          <w:rFonts w:ascii="Times New Roman" w:hAnsi="Times New Roman" w:cs="Times New Roman"/>
          <w:sz w:val="24"/>
          <w:szCs w:val="24"/>
        </w:rPr>
        <w:tab/>
        <w:t>-$95</w:t>
      </w:r>
    </w:p>
    <w:p w:rsidR="00AB3340" w:rsidRDefault="00AB3340" w:rsidP="003944A3">
      <w:pPr>
        <w:pStyle w:val="ListParagraph"/>
        <w:tabs>
          <w:tab w:val="left" w:pos="2520"/>
          <w:tab w:val="left" w:pos="4050"/>
          <w:tab w:val="left" w:pos="5670"/>
          <w:tab w:val="left" w:pos="7290"/>
        </w:tabs>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Dividend</w:t>
      </w:r>
      <w:r>
        <w:rPr>
          <w:rFonts w:ascii="Times New Roman" w:hAnsi="Times New Roman" w:cs="Times New Roman"/>
          <w:sz w:val="24"/>
          <w:szCs w:val="24"/>
        </w:rPr>
        <w:tab/>
      </w:r>
      <w:r w:rsidR="00A57245">
        <w:rPr>
          <w:rFonts w:ascii="Times New Roman" w:hAnsi="Times New Roman" w:cs="Times New Roman"/>
          <w:sz w:val="24"/>
          <w:szCs w:val="24"/>
        </w:rPr>
        <w:t>$4</w:t>
      </w:r>
      <w:r>
        <w:rPr>
          <w:rFonts w:ascii="Times New Roman" w:hAnsi="Times New Roman" w:cs="Times New Roman"/>
          <w:sz w:val="24"/>
          <w:szCs w:val="24"/>
        </w:rPr>
        <w:tab/>
      </w:r>
      <w:r w:rsidR="00A57245">
        <w:rPr>
          <w:rFonts w:ascii="Times New Roman" w:hAnsi="Times New Roman" w:cs="Times New Roman"/>
          <w:sz w:val="24"/>
          <w:szCs w:val="24"/>
        </w:rPr>
        <w:t>-$4</w:t>
      </w:r>
      <w:r w:rsidR="00A57245">
        <w:rPr>
          <w:rFonts w:ascii="Times New Roman" w:hAnsi="Times New Roman" w:cs="Times New Roman"/>
          <w:sz w:val="24"/>
          <w:szCs w:val="24"/>
        </w:rPr>
        <w:tab/>
        <w:t>-$4</w:t>
      </w:r>
      <w:r w:rsidR="00A57245">
        <w:rPr>
          <w:rFonts w:ascii="Times New Roman" w:hAnsi="Times New Roman" w:cs="Times New Roman"/>
          <w:sz w:val="24"/>
          <w:szCs w:val="24"/>
        </w:rPr>
        <w:tab/>
        <w:t>-$4</w:t>
      </w:r>
    </w:p>
    <w:p w:rsidR="003944A3" w:rsidRDefault="003944A3" w:rsidP="00895D6D">
      <w:pPr>
        <w:pStyle w:val="ListParagraph"/>
        <w:tabs>
          <w:tab w:val="left" w:pos="2520"/>
          <w:tab w:val="left" w:pos="4140"/>
          <w:tab w:val="left" w:pos="5760"/>
          <w:tab w:val="left" w:pos="7380"/>
        </w:tabs>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Imputation Credits</w:t>
      </w:r>
      <w:r>
        <w:rPr>
          <w:rFonts w:ascii="Times New Roman" w:hAnsi="Times New Roman" w:cs="Times New Roman"/>
          <w:sz w:val="24"/>
          <w:szCs w:val="24"/>
        </w:rPr>
        <w:tab/>
        <w:t>$2</w:t>
      </w:r>
      <w:r>
        <w:rPr>
          <w:rFonts w:ascii="Times New Roman" w:hAnsi="Times New Roman" w:cs="Times New Roman"/>
          <w:sz w:val="24"/>
          <w:szCs w:val="24"/>
        </w:rPr>
        <w:tab/>
        <w:t>0</w:t>
      </w:r>
      <w:r>
        <w:rPr>
          <w:rFonts w:ascii="Times New Roman" w:hAnsi="Times New Roman" w:cs="Times New Roman"/>
          <w:sz w:val="24"/>
          <w:szCs w:val="24"/>
        </w:rPr>
        <w:tab/>
        <w:t>0</w:t>
      </w:r>
      <w:r>
        <w:rPr>
          <w:rFonts w:ascii="Times New Roman" w:hAnsi="Times New Roman" w:cs="Times New Roman"/>
          <w:sz w:val="24"/>
          <w:szCs w:val="24"/>
        </w:rPr>
        <w:tab/>
        <w:t>0</w:t>
      </w:r>
    </w:p>
    <w:p w:rsidR="003944A3" w:rsidRDefault="003944A3" w:rsidP="003944A3">
      <w:pPr>
        <w:pStyle w:val="ListParagraph"/>
        <w:tabs>
          <w:tab w:val="left" w:pos="2520"/>
          <w:tab w:val="left" w:pos="4140"/>
          <w:tab w:val="left" w:pos="5760"/>
          <w:tab w:val="left" w:pos="7380"/>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Profit</w:t>
      </w:r>
      <w:r>
        <w:rPr>
          <w:rFonts w:ascii="Times New Roman" w:hAnsi="Times New Roman" w:cs="Times New Roman"/>
          <w:sz w:val="24"/>
          <w:szCs w:val="24"/>
        </w:rPr>
        <w:tab/>
        <w:t>$1</w:t>
      </w:r>
      <w:r>
        <w:rPr>
          <w:rFonts w:ascii="Times New Roman" w:hAnsi="Times New Roman" w:cs="Times New Roman"/>
          <w:sz w:val="24"/>
          <w:szCs w:val="24"/>
        </w:rPr>
        <w:tab/>
        <w:t>$1</w:t>
      </w:r>
      <w:r>
        <w:rPr>
          <w:rFonts w:ascii="Times New Roman" w:hAnsi="Times New Roman" w:cs="Times New Roman"/>
          <w:sz w:val="24"/>
          <w:szCs w:val="24"/>
        </w:rPr>
        <w:tab/>
        <w:t>$1</w:t>
      </w:r>
      <w:r>
        <w:rPr>
          <w:rFonts w:ascii="Times New Roman" w:hAnsi="Times New Roman" w:cs="Times New Roman"/>
          <w:sz w:val="24"/>
          <w:szCs w:val="24"/>
        </w:rPr>
        <w:tab/>
        <w:t>$1</w:t>
      </w:r>
    </w:p>
    <w:p w:rsidR="003944A3" w:rsidRDefault="003944A3" w:rsidP="00895D6D">
      <w:pPr>
        <w:pStyle w:val="ListParagraph"/>
        <w:tabs>
          <w:tab w:val="left" w:pos="2520"/>
          <w:tab w:val="left" w:pos="4140"/>
          <w:tab w:val="left" w:pos="5760"/>
          <w:tab w:val="left" w:pos="7380"/>
        </w:tabs>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895D6D" w:rsidRDefault="00895D6D" w:rsidP="00B43FFE">
      <w:pPr>
        <w:pStyle w:val="ListParagraph"/>
        <w:spacing w:after="0" w:line="360" w:lineRule="auto"/>
        <w:ind w:left="0"/>
        <w:jc w:val="both"/>
        <w:rPr>
          <w:rFonts w:ascii="Times New Roman" w:hAnsi="Times New Roman" w:cs="Times New Roman"/>
          <w:sz w:val="24"/>
          <w:szCs w:val="24"/>
        </w:rPr>
      </w:pPr>
    </w:p>
    <w:p w:rsidR="00862FE4" w:rsidRDefault="00B43FFE" w:rsidP="00122250">
      <w:pPr>
        <w:pStyle w:val="ListParagraph"/>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lastRenderedPageBreak/>
        <w:t>The net effect of all of these transactions could produce an expected price dr</w:t>
      </w:r>
      <w:r w:rsidR="003944A3">
        <w:rPr>
          <w:rFonts w:ascii="Times New Roman" w:hAnsi="Times New Roman" w:cs="Times New Roman"/>
          <w:sz w:val="24"/>
          <w:szCs w:val="24"/>
        </w:rPr>
        <w:t>op anywhere in the range from $4 to $6.  If the expected drop were $5.6</w:t>
      </w:r>
      <w:r>
        <w:rPr>
          <w:rFonts w:ascii="Times New Roman" w:hAnsi="Times New Roman" w:cs="Times New Roman"/>
          <w:sz w:val="24"/>
          <w:szCs w:val="24"/>
        </w:rPr>
        <w:t xml:space="preserve">0, </w:t>
      </w:r>
      <w:r w:rsidR="00862FE4">
        <w:rPr>
          <w:rFonts w:ascii="Times New Roman" w:hAnsi="Times New Roman" w:cs="Times New Roman"/>
          <w:sz w:val="24"/>
          <w:szCs w:val="24"/>
        </w:rPr>
        <w:t>comprising the cash dividend of $4 and $1.60 for the credits (80% of their face value) as follows</w:t>
      </w:r>
    </w:p>
    <w:p w:rsidR="00862FE4" w:rsidRDefault="00862FE4" w:rsidP="00122250">
      <w:pPr>
        <w:pStyle w:val="ListParagraph"/>
        <w:spacing w:after="0" w:line="360" w:lineRule="auto"/>
        <w:ind w:left="0"/>
        <w:jc w:val="both"/>
        <w:rPr>
          <w:rFonts w:ascii="Times New Roman" w:hAnsi="Times New Roman" w:cs="Times New Roman"/>
          <w:sz w:val="24"/>
          <w:szCs w:val="24"/>
        </w:rPr>
      </w:pPr>
    </w:p>
    <w:p w:rsidR="00862FE4" w:rsidRDefault="00862FE4" w:rsidP="00862FE4">
      <w:pPr>
        <w:pStyle w:val="ListParagraph"/>
        <w:spacing w:after="0" w:line="360" w:lineRule="auto"/>
        <w:ind w:left="0"/>
        <w:jc w:val="center"/>
        <w:rPr>
          <w:rFonts w:ascii="Times New Roman" w:hAnsi="Times New Roman" w:cs="Times New Roman"/>
          <w:sz w:val="24"/>
          <w:szCs w:val="24"/>
        </w:rPr>
      </w:pPr>
      <w:r w:rsidRPr="00862FE4">
        <w:rPr>
          <w:rFonts w:ascii="Times New Roman" w:hAnsi="Times New Roman" w:cs="Times New Roman"/>
          <w:position w:val="-12"/>
          <w:sz w:val="24"/>
          <w:szCs w:val="24"/>
        </w:rPr>
        <w:object w:dxaOrig="2720" w:dyaOrig="360">
          <v:shape id="_x0000_i1028" type="#_x0000_t75" style="width:137.2pt;height:18.2pt" o:ole="">
            <v:imagedata r:id="rId15" o:title=""/>
          </v:shape>
          <o:OLEObject Type="Embed" ProgID="Equation.3" ShapeID="_x0000_i1028" DrawAspect="Content" ObjectID="_1554554734" r:id="rId16"/>
        </w:object>
      </w:r>
    </w:p>
    <w:p w:rsidR="00862FE4" w:rsidRDefault="00862FE4" w:rsidP="00122250">
      <w:pPr>
        <w:pStyle w:val="ListParagraph"/>
        <w:spacing w:after="0" w:line="360" w:lineRule="auto"/>
        <w:ind w:left="0"/>
        <w:jc w:val="both"/>
        <w:rPr>
          <w:rFonts w:ascii="Times New Roman" w:hAnsi="Times New Roman" w:cs="Times New Roman"/>
          <w:sz w:val="24"/>
          <w:szCs w:val="24"/>
        </w:rPr>
      </w:pPr>
    </w:p>
    <w:p w:rsidR="00B43FFE" w:rsidRDefault="00D852F6" w:rsidP="00122250">
      <w:pPr>
        <w:pStyle w:val="ListParagraph"/>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then </w:t>
      </w:r>
      <w:r w:rsidR="00B43FFE">
        <w:rPr>
          <w:rFonts w:ascii="Times New Roman" w:hAnsi="Times New Roman" w:cs="Times New Roman"/>
          <w:sz w:val="24"/>
          <w:szCs w:val="24"/>
        </w:rPr>
        <w:t xml:space="preserve">regressing </w:t>
      </w:r>
      <w:r w:rsidR="00862FE4">
        <w:rPr>
          <w:rFonts w:ascii="Times New Roman" w:hAnsi="Times New Roman" w:cs="Times New Roman"/>
          <w:sz w:val="24"/>
          <w:szCs w:val="24"/>
        </w:rPr>
        <w:t xml:space="preserve">the price change on the cash dividends and the imputation credits would produce </w:t>
      </w:r>
      <w:r w:rsidR="00B43FFE">
        <w:rPr>
          <w:rFonts w:ascii="Times New Roman" w:hAnsi="Times New Roman" w:cs="Times New Roman"/>
          <w:sz w:val="24"/>
          <w:szCs w:val="24"/>
        </w:rPr>
        <w:t xml:space="preserve">an expected coefficient on </w:t>
      </w:r>
      <w:r w:rsidR="00862FE4">
        <w:rPr>
          <w:rFonts w:ascii="Times New Roman" w:hAnsi="Times New Roman" w:cs="Times New Roman"/>
          <w:sz w:val="24"/>
          <w:szCs w:val="24"/>
        </w:rPr>
        <w:t xml:space="preserve">the credits of </w:t>
      </w:r>
      <w:r w:rsidR="00B43FFE">
        <w:rPr>
          <w:rFonts w:ascii="Times New Roman" w:hAnsi="Times New Roman" w:cs="Times New Roman"/>
          <w:sz w:val="24"/>
          <w:szCs w:val="24"/>
        </w:rPr>
        <w:t xml:space="preserve">0.80, which would </w:t>
      </w:r>
      <w:r w:rsidR="00862FE4">
        <w:rPr>
          <w:rFonts w:ascii="Times New Roman" w:hAnsi="Times New Roman" w:cs="Times New Roman"/>
          <w:sz w:val="24"/>
          <w:szCs w:val="24"/>
        </w:rPr>
        <w:t xml:space="preserve">exceed </w:t>
      </w:r>
      <w:r w:rsidR="00E712B0">
        <w:rPr>
          <w:rFonts w:ascii="Times New Roman" w:hAnsi="Times New Roman" w:cs="Times New Roman"/>
          <w:sz w:val="24"/>
          <w:szCs w:val="24"/>
        </w:rPr>
        <w:t>the utilization rate</w:t>
      </w:r>
      <w:r w:rsidR="00B43FFE">
        <w:rPr>
          <w:rFonts w:ascii="Times New Roman" w:hAnsi="Times New Roman" w:cs="Times New Roman"/>
          <w:sz w:val="24"/>
          <w:szCs w:val="24"/>
        </w:rPr>
        <w:t xml:space="preserve"> (of 0.50).  So, the coefficient would be significantly biased up.</w:t>
      </w:r>
      <w:r w:rsidR="00AE1028">
        <w:rPr>
          <w:rStyle w:val="FootnoteReference"/>
          <w:rFonts w:ascii="Times New Roman" w:hAnsi="Times New Roman" w:cs="Times New Roman"/>
          <w:sz w:val="24"/>
          <w:szCs w:val="24"/>
        </w:rPr>
        <w:footnoteReference w:id="7"/>
      </w:r>
      <w:r w:rsidR="00B43FFE">
        <w:rPr>
          <w:rFonts w:ascii="Times New Roman" w:hAnsi="Times New Roman" w:cs="Times New Roman"/>
          <w:sz w:val="24"/>
          <w:szCs w:val="24"/>
        </w:rPr>
        <w:t xml:space="preserve">  Alternative</w:t>
      </w:r>
      <w:r w:rsidR="003944A3">
        <w:rPr>
          <w:rFonts w:ascii="Times New Roman" w:hAnsi="Times New Roman" w:cs="Times New Roman"/>
          <w:sz w:val="24"/>
          <w:szCs w:val="24"/>
        </w:rPr>
        <w:t>ly, if the expected drop were $4.4</w:t>
      </w:r>
      <w:r w:rsidR="00B43FFE">
        <w:rPr>
          <w:rFonts w:ascii="Times New Roman" w:hAnsi="Times New Roman" w:cs="Times New Roman"/>
          <w:sz w:val="24"/>
          <w:szCs w:val="24"/>
        </w:rPr>
        <w:t xml:space="preserve">0, </w:t>
      </w:r>
      <w:r>
        <w:rPr>
          <w:rFonts w:ascii="Times New Roman" w:hAnsi="Times New Roman" w:cs="Times New Roman"/>
          <w:sz w:val="24"/>
          <w:szCs w:val="24"/>
        </w:rPr>
        <w:t xml:space="preserve">comprising the cash dividend of $4 and $0.40 for the credits (20% of their face value of $2) </w:t>
      </w:r>
      <w:r w:rsidR="00B43FFE">
        <w:rPr>
          <w:rFonts w:ascii="Times New Roman" w:hAnsi="Times New Roman" w:cs="Times New Roman"/>
          <w:sz w:val="24"/>
          <w:szCs w:val="24"/>
        </w:rPr>
        <w:t xml:space="preserve">regressing </w:t>
      </w:r>
      <w:r>
        <w:rPr>
          <w:rFonts w:ascii="Times New Roman" w:hAnsi="Times New Roman" w:cs="Times New Roman"/>
          <w:sz w:val="24"/>
          <w:szCs w:val="24"/>
        </w:rPr>
        <w:t xml:space="preserve">the price change on the cash dividends and the imputation credits </w:t>
      </w:r>
      <w:r w:rsidR="00B43FFE">
        <w:rPr>
          <w:rFonts w:ascii="Times New Roman" w:hAnsi="Times New Roman" w:cs="Times New Roman"/>
          <w:sz w:val="24"/>
          <w:szCs w:val="24"/>
        </w:rPr>
        <w:t xml:space="preserve">would </w:t>
      </w:r>
      <w:r>
        <w:rPr>
          <w:rFonts w:ascii="Times New Roman" w:hAnsi="Times New Roman" w:cs="Times New Roman"/>
          <w:sz w:val="24"/>
          <w:szCs w:val="24"/>
        </w:rPr>
        <w:t xml:space="preserve">produce an expected </w:t>
      </w:r>
      <w:r w:rsidR="00B43FFE">
        <w:rPr>
          <w:rFonts w:ascii="Times New Roman" w:hAnsi="Times New Roman" w:cs="Times New Roman"/>
          <w:sz w:val="24"/>
          <w:szCs w:val="24"/>
        </w:rPr>
        <w:t xml:space="preserve">coefficient on </w:t>
      </w:r>
      <w:r>
        <w:rPr>
          <w:rFonts w:ascii="Times New Roman" w:hAnsi="Times New Roman" w:cs="Times New Roman"/>
          <w:sz w:val="24"/>
          <w:szCs w:val="24"/>
        </w:rPr>
        <w:t xml:space="preserve">the credits of </w:t>
      </w:r>
      <w:r w:rsidR="00B43FFE">
        <w:rPr>
          <w:rFonts w:ascii="Times New Roman" w:hAnsi="Times New Roman" w:cs="Times New Roman"/>
          <w:sz w:val="24"/>
          <w:szCs w:val="24"/>
        </w:rPr>
        <w:t xml:space="preserve">0.20, which would </w:t>
      </w:r>
      <w:r>
        <w:rPr>
          <w:rFonts w:ascii="Times New Roman" w:hAnsi="Times New Roman" w:cs="Times New Roman"/>
          <w:sz w:val="24"/>
          <w:szCs w:val="24"/>
        </w:rPr>
        <w:t xml:space="preserve">be less than the </w:t>
      </w:r>
      <w:r w:rsidR="00E712B0">
        <w:rPr>
          <w:rFonts w:ascii="Times New Roman" w:hAnsi="Times New Roman" w:cs="Times New Roman"/>
          <w:sz w:val="24"/>
          <w:szCs w:val="24"/>
        </w:rPr>
        <w:t xml:space="preserve">utilization rate </w:t>
      </w:r>
      <w:r w:rsidR="00B43FFE">
        <w:rPr>
          <w:rFonts w:ascii="Times New Roman" w:hAnsi="Times New Roman" w:cs="Times New Roman"/>
          <w:sz w:val="24"/>
          <w:szCs w:val="24"/>
        </w:rPr>
        <w:t>(of 0.50).  So, the coefficient wou</w:t>
      </w:r>
      <w:r w:rsidR="006A5F38">
        <w:rPr>
          <w:rFonts w:ascii="Times New Roman" w:hAnsi="Times New Roman" w:cs="Times New Roman"/>
          <w:sz w:val="24"/>
          <w:szCs w:val="24"/>
        </w:rPr>
        <w:t>ld be significantly biased down.  Thus, Frontier’s belief that tax-induced trading around ex-dividend days would necessarily “inflate” the estimate of the utilization rate is wrong; such trading could drive the estimate of the utilization rate in either direction</w:t>
      </w:r>
      <w:r w:rsidR="00C466F8">
        <w:rPr>
          <w:rFonts w:ascii="Times New Roman" w:hAnsi="Times New Roman" w:cs="Times New Roman"/>
          <w:sz w:val="24"/>
          <w:szCs w:val="24"/>
        </w:rPr>
        <w:t>, and there is no apparent means of determining which is the case</w:t>
      </w:r>
      <w:r w:rsidR="006A5F38">
        <w:rPr>
          <w:rFonts w:ascii="Times New Roman" w:hAnsi="Times New Roman" w:cs="Times New Roman"/>
          <w:sz w:val="24"/>
          <w:szCs w:val="24"/>
        </w:rPr>
        <w:t>.</w:t>
      </w:r>
    </w:p>
    <w:p w:rsidR="00983030" w:rsidRDefault="00983030" w:rsidP="00122250">
      <w:pPr>
        <w:pStyle w:val="ListParagraph"/>
        <w:spacing w:after="0" w:line="360" w:lineRule="auto"/>
        <w:ind w:left="0"/>
        <w:jc w:val="both"/>
        <w:rPr>
          <w:rFonts w:ascii="Times New Roman" w:hAnsi="Times New Roman" w:cs="Times New Roman"/>
          <w:sz w:val="24"/>
          <w:szCs w:val="24"/>
        </w:rPr>
      </w:pPr>
    </w:p>
    <w:p w:rsidR="00983030" w:rsidRDefault="00BF500B" w:rsidP="00122250">
      <w:pPr>
        <w:pStyle w:val="ListParagraph"/>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Frontier (2016b</w:t>
      </w:r>
      <w:r w:rsidR="00983030">
        <w:rPr>
          <w:rFonts w:ascii="Times New Roman" w:hAnsi="Times New Roman" w:cs="Times New Roman"/>
          <w:sz w:val="24"/>
          <w:szCs w:val="24"/>
        </w:rPr>
        <w:t xml:space="preserve">, para 78) </w:t>
      </w:r>
      <w:r w:rsidR="00971EEE">
        <w:rPr>
          <w:rFonts w:ascii="Times New Roman" w:hAnsi="Times New Roman" w:cs="Times New Roman"/>
          <w:sz w:val="24"/>
          <w:szCs w:val="24"/>
        </w:rPr>
        <w:t xml:space="preserve">cites </w:t>
      </w:r>
      <w:r w:rsidR="00983030">
        <w:rPr>
          <w:rFonts w:ascii="Times New Roman" w:hAnsi="Times New Roman" w:cs="Times New Roman"/>
          <w:sz w:val="24"/>
          <w:szCs w:val="24"/>
        </w:rPr>
        <w:t>Ainsworth et al (2015</w:t>
      </w:r>
      <w:r w:rsidR="00ED7382">
        <w:rPr>
          <w:rFonts w:ascii="Times New Roman" w:hAnsi="Times New Roman" w:cs="Times New Roman"/>
          <w:sz w:val="24"/>
          <w:szCs w:val="24"/>
        </w:rPr>
        <w:t>, page 17</w:t>
      </w:r>
      <w:r w:rsidR="00983030">
        <w:rPr>
          <w:rFonts w:ascii="Times New Roman" w:hAnsi="Times New Roman" w:cs="Times New Roman"/>
          <w:sz w:val="24"/>
          <w:szCs w:val="24"/>
        </w:rPr>
        <w:t xml:space="preserve">) </w:t>
      </w:r>
      <w:r w:rsidR="00ED7382">
        <w:rPr>
          <w:rFonts w:ascii="Times New Roman" w:hAnsi="Times New Roman" w:cs="Times New Roman"/>
          <w:sz w:val="24"/>
          <w:szCs w:val="24"/>
        </w:rPr>
        <w:t>in support of the claim that imputation credits do not add to the value of a business.  This claim is false.  Ainsworth et al (2015, page 17) summarise evidence on the value of credits and conclude that “imputation credits are priced at about $0.38 in the dollar”.  Ainsworth et al (ibid) also note that some types of studies point to no valuation impact but they are sceptical of such studies.  Thus, Frontier are misrepr</w:t>
      </w:r>
      <w:r w:rsidR="00D54D29">
        <w:rPr>
          <w:rFonts w:ascii="Times New Roman" w:hAnsi="Times New Roman" w:cs="Times New Roman"/>
          <w:sz w:val="24"/>
          <w:szCs w:val="24"/>
        </w:rPr>
        <w:t>esenting Ainsworth et al (2015)</w:t>
      </w:r>
      <w:r w:rsidR="00674680">
        <w:rPr>
          <w:rFonts w:ascii="Times New Roman" w:hAnsi="Times New Roman" w:cs="Times New Roman"/>
          <w:sz w:val="24"/>
          <w:szCs w:val="24"/>
        </w:rPr>
        <w:t xml:space="preserve"> by selective referencing</w:t>
      </w:r>
      <w:r w:rsidR="00D54D29">
        <w:rPr>
          <w:rFonts w:ascii="Times New Roman" w:hAnsi="Times New Roman" w:cs="Times New Roman"/>
          <w:sz w:val="24"/>
          <w:szCs w:val="24"/>
        </w:rPr>
        <w:t>.</w:t>
      </w:r>
    </w:p>
    <w:p w:rsidR="00D54D29" w:rsidRDefault="00D54D29" w:rsidP="00122250">
      <w:pPr>
        <w:pStyle w:val="ListParagraph"/>
        <w:spacing w:after="0" w:line="360" w:lineRule="auto"/>
        <w:ind w:left="0"/>
        <w:jc w:val="both"/>
        <w:rPr>
          <w:rFonts w:ascii="Times New Roman" w:hAnsi="Times New Roman" w:cs="Times New Roman"/>
          <w:sz w:val="24"/>
          <w:szCs w:val="24"/>
        </w:rPr>
      </w:pPr>
    </w:p>
    <w:p w:rsidR="00FE4794" w:rsidRDefault="00BF500B" w:rsidP="00FE4794">
      <w:pPr>
        <w:pStyle w:val="ListParagraph"/>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Frontier (2016b</w:t>
      </w:r>
      <w:r w:rsidR="00D54D29">
        <w:rPr>
          <w:rFonts w:ascii="Times New Roman" w:hAnsi="Times New Roman" w:cs="Times New Roman"/>
          <w:sz w:val="24"/>
          <w:szCs w:val="24"/>
        </w:rPr>
        <w:t xml:space="preserve">, paras 79-80) cite Ainsworth et al (2015, page 27) in respect of the claim that </w:t>
      </w:r>
      <w:r w:rsidR="00DF0676">
        <w:rPr>
          <w:rFonts w:ascii="Times New Roman" w:hAnsi="Times New Roman" w:cs="Times New Roman"/>
          <w:sz w:val="24"/>
          <w:szCs w:val="24"/>
        </w:rPr>
        <w:t>Australian companies in general do not explicitly take account of imputation credits in their assessment of investment projects.  However, Frontier fails to note tha</w:t>
      </w:r>
      <w:r w:rsidR="000F04AF">
        <w:rPr>
          <w:rFonts w:ascii="Times New Roman" w:hAnsi="Times New Roman" w:cs="Times New Roman"/>
          <w:sz w:val="24"/>
          <w:szCs w:val="24"/>
        </w:rPr>
        <w:t xml:space="preserve">t Ainsworth et al (2015, </w:t>
      </w:r>
      <w:r w:rsidR="000F04AF" w:rsidRPr="00D60E41">
        <w:rPr>
          <w:rFonts w:ascii="Times New Roman" w:hAnsi="Times New Roman" w:cs="Times New Roman"/>
          <w:sz w:val="24"/>
          <w:szCs w:val="24"/>
        </w:rPr>
        <w:t>page 26</w:t>
      </w:r>
      <w:r w:rsidR="00DF0676" w:rsidRPr="00D60E41">
        <w:rPr>
          <w:rFonts w:ascii="Times New Roman" w:hAnsi="Times New Roman" w:cs="Times New Roman"/>
          <w:sz w:val="24"/>
          <w:szCs w:val="24"/>
        </w:rPr>
        <w:t xml:space="preserve">) </w:t>
      </w:r>
      <w:r w:rsidR="000F04AF" w:rsidRPr="00D60E41">
        <w:rPr>
          <w:rFonts w:ascii="Times New Roman" w:hAnsi="Times New Roman" w:cs="Times New Roman"/>
          <w:sz w:val="24"/>
          <w:szCs w:val="24"/>
        </w:rPr>
        <w:t>approvingly cite another paper that</w:t>
      </w:r>
      <w:r w:rsidR="000F04AF" w:rsidRPr="000F04AF">
        <w:rPr>
          <w:rFonts w:ascii="Times New Roman" w:hAnsi="Times New Roman" w:cs="Times New Roman"/>
          <w:sz w:val="24"/>
          <w:szCs w:val="24"/>
        </w:rPr>
        <w:t xml:space="preserve"> </w:t>
      </w:r>
      <w:r w:rsidR="00DF0676">
        <w:rPr>
          <w:rFonts w:ascii="Times New Roman" w:hAnsi="Times New Roman" w:cs="Times New Roman"/>
          <w:sz w:val="24"/>
          <w:szCs w:val="24"/>
        </w:rPr>
        <w:t>argues that there are potentially offsetting errors from not explicitly accounting for credits and that this mitigates the consequences of not explicitly accounting for them.</w:t>
      </w:r>
      <w:r w:rsidR="00674680">
        <w:rPr>
          <w:rFonts w:ascii="Times New Roman" w:hAnsi="Times New Roman" w:cs="Times New Roman"/>
          <w:sz w:val="24"/>
          <w:szCs w:val="24"/>
        </w:rPr>
        <w:t xml:space="preserve">  So, again, Frontier </w:t>
      </w:r>
      <w:r w:rsidR="00FE4794">
        <w:rPr>
          <w:rFonts w:ascii="Times New Roman" w:hAnsi="Times New Roman" w:cs="Times New Roman"/>
          <w:sz w:val="24"/>
          <w:szCs w:val="24"/>
        </w:rPr>
        <w:t xml:space="preserve">are misrepresenting Ainsworth et al </w:t>
      </w:r>
      <w:r w:rsidR="00FE4794">
        <w:rPr>
          <w:rFonts w:ascii="Times New Roman" w:hAnsi="Times New Roman" w:cs="Times New Roman"/>
          <w:sz w:val="24"/>
          <w:szCs w:val="24"/>
        </w:rPr>
        <w:lastRenderedPageBreak/>
        <w:t>(2015) by selective referencing.</w:t>
      </w:r>
      <w:r w:rsidR="00FC75AA">
        <w:rPr>
          <w:rFonts w:ascii="Times New Roman" w:hAnsi="Times New Roman" w:cs="Times New Roman"/>
          <w:sz w:val="24"/>
          <w:szCs w:val="24"/>
        </w:rPr>
        <w:t xml:space="preserve">  Furthermore, Lally (2013, section 3.7) argues that, even without explicit allowance for imputation credits, practitioners will on average correctly value firms in a world in which </w:t>
      </w:r>
      <w:r w:rsidR="00296A13">
        <w:rPr>
          <w:rFonts w:ascii="Times New Roman" w:hAnsi="Times New Roman" w:cs="Times New Roman"/>
          <w:sz w:val="24"/>
          <w:szCs w:val="24"/>
        </w:rPr>
        <w:t>the utilization rate</w:t>
      </w:r>
      <w:r w:rsidR="00FC75AA">
        <w:rPr>
          <w:rFonts w:ascii="Times New Roman" w:hAnsi="Times New Roman" w:cs="Times New Roman"/>
          <w:sz w:val="24"/>
          <w:szCs w:val="24"/>
        </w:rPr>
        <w:t xml:space="preserve"> is positive so long as they correctly estimate the values of other parameters, and therefore the crucial issue is not whether practitioners explicitly allow for </w:t>
      </w:r>
      <w:r w:rsidR="00296A13">
        <w:rPr>
          <w:rFonts w:ascii="Times New Roman" w:hAnsi="Times New Roman" w:cs="Times New Roman"/>
          <w:sz w:val="24"/>
          <w:szCs w:val="24"/>
        </w:rPr>
        <w:t>the utilization rate</w:t>
      </w:r>
      <w:r w:rsidR="00FC75AA">
        <w:rPr>
          <w:rFonts w:ascii="Times New Roman" w:hAnsi="Times New Roman" w:cs="Times New Roman"/>
          <w:sz w:val="24"/>
          <w:szCs w:val="24"/>
        </w:rPr>
        <w:t xml:space="preserve"> but what value for </w:t>
      </w:r>
      <w:r w:rsidR="00296A13">
        <w:rPr>
          <w:rFonts w:ascii="Times New Roman" w:hAnsi="Times New Roman" w:cs="Times New Roman"/>
          <w:sz w:val="24"/>
          <w:szCs w:val="24"/>
        </w:rPr>
        <w:t>the utilization rate</w:t>
      </w:r>
      <w:r w:rsidR="00FC75AA">
        <w:rPr>
          <w:rFonts w:ascii="Times New Roman" w:hAnsi="Times New Roman" w:cs="Times New Roman"/>
          <w:sz w:val="24"/>
          <w:szCs w:val="24"/>
        </w:rPr>
        <w:t xml:space="preserve"> is embedded in market prices and whether analysts reflect this in their estimate of the MRP.  Fro</w:t>
      </w:r>
      <w:r>
        <w:rPr>
          <w:rFonts w:ascii="Times New Roman" w:hAnsi="Times New Roman" w:cs="Times New Roman"/>
          <w:sz w:val="24"/>
          <w:szCs w:val="24"/>
        </w:rPr>
        <w:t>ntier (2016b</w:t>
      </w:r>
      <w:r w:rsidR="00FC75AA">
        <w:rPr>
          <w:rFonts w:ascii="Times New Roman" w:hAnsi="Times New Roman" w:cs="Times New Roman"/>
          <w:sz w:val="24"/>
          <w:szCs w:val="24"/>
        </w:rPr>
        <w:t xml:space="preserve">, footnote 37) are aware of </w:t>
      </w:r>
      <w:r w:rsidR="00296A13">
        <w:rPr>
          <w:rFonts w:ascii="Times New Roman" w:hAnsi="Times New Roman" w:cs="Times New Roman"/>
          <w:sz w:val="24"/>
          <w:szCs w:val="24"/>
        </w:rPr>
        <w:t xml:space="preserve">Lally (2013), </w:t>
      </w:r>
      <w:r w:rsidR="00FC75AA">
        <w:rPr>
          <w:rFonts w:ascii="Times New Roman" w:hAnsi="Times New Roman" w:cs="Times New Roman"/>
          <w:sz w:val="24"/>
          <w:szCs w:val="24"/>
        </w:rPr>
        <w:t>because they cite it on another matter, but do n</w:t>
      </w:r>
      <w:r w:rsidR="00296A13">
        <w:rPr>
          <w:rFonts w:ascii="Times New Roman" w:hAnsi="Times New Roman" w:cs="Times New Roman"/>
          <w:sz w:val="24"/>
          <w:szCs w:val="24"/>
        </w:rPr>
        <w:t>ot cite it on this point.</w:t>
      </w:r>
    </w:p>
    <w:p w:rsidR="00D54D29" w:rsidRDefault="00D54D29" w:rsidP="00122250">
      <w:pPr>
        <w:pStyle w:val="ListParagraph"/>
        <w:spacing w:after="0" w:line="360" w:lineRule="auto"/>
        <w:ind w:left="0"/>
        <w:jc w:val="both"/>
        <w:rPr>
          <w:rFonts w:ascii="Times New Roman" w:hAnsi="Times New Roman" w:cs="Times New Roman"/>
          <w:sz w:val="24"/>
          <w:szCs w:val="24"/>
        </w:rPr>
      </w:pPr>
    </w:p>
    <w:p w:rsidR="002A6202" w:rsidRDefault="00BF500B" w:rsidP="00122250">
      <w:pPr>
        <w:pStyle w:val="ListParagraph"/>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Frontier (2016b</w:t>
      </w:r>
      <w:r w:rsidR="00FC75AA">
        <w:rPr>
          <w:rFonts w:ascii="Times New Roman" w:hAnsi="Times New Roman" w:cs="Times New Roman"/>
          <w:sz w:val="24"/>
          <w:szCs w:val="24"/>
        </w:rPr>
        <w:t xml:space="preserve">, paras 82-87) </w:t>
      </w:r>
      <w:r w:rsidR="00380839">
        <w:rPr>
          <w:rFonts w:ascii="Times New Roman" w:hAnsi="Times New Roman" w:cs="Times New Roman"/>
          <w:sz w:val="24"/>
          <w:szCs w:val="24"/>
        </w:rPr>
        <w:t>cite Ainsworth et al (2015</w:t>
      </w:r>
      <w:r w:rsidR="00413E1E">
        <w:rPr>
          <w:rFonts w:ascii="Times New Roman" w:hAnsi="Times New Roman" w:cs="Times New Roman"/>
          <w:sz w:val="24"/>
          <w:szCs w:val="24"/>
        </w:rPr>
        <w:t>, page 14) in support of the claim that the AER’s approach to estimating the utilization rate is “inconsistent with standard economic concepts of equilibrium”</w:t>
      </w:r>
      <w:r w:rsidR="003B18FC">
        <w:rPr>
          <w:rFonts w:ascii="Times New Roman" w:hAnsi="Times New Roman" w:cs="Times New Roman"/>
          <w:sz w:val="24"/>
          <w:szCs w:val="24"/>
        </w:rPr>
        <w:t>.</w:t>
      </w:r>
      <w:r w:rsidR="00413E1E">
        <w:rPr>
          <w:rFonts w:ascii="Times New Roman" w:hAnsi="Times New Roman" w:cs="Times New Roman"/>
          <w:sz w:val="24"/>
          <w:szCs w:val="24"/>
        </w:rPr>
        <w:t xml:space="preserve">  </w:t>
      </w:r>
      <w:r w:rsidR="003B18FC">
        <w:rPr>
          <w:rFonts w:ascii="Times New Roman" w:hAnsi="Times New Roman" w:cs="Times New Roman"/>
          <w:sz w:val="24"/>
          <w:szCs w:val="24"/>
        </w:rPr>
        <w:t xml:space="preserve">In turn, </w:t>
      </w:r>
      <w:r w:rsidR="00413E1E">
        <w:rPr>
          <w:rFonts w:ascii="Times New Roman" w:hAnsi="Times New Roman" w:cs="Times New Roman"/>
          <w:sz w:val="24"/>
          <w:szCs w:val="24"/>
        </w:rPr>
        <w:t>Ainsworth et al (2015, page 14)</w:t>
      </w:r>
      <w:r w:rsidR="003B18FC">
        <w:rPr>
          <w:rFonts w:ascii="Times New Roman" w:hAnsi="Times New Roman" w:cs="Times New Roman"/>
          <w:sz w:val="24"/>
          <w:szCs w:val="24"/>
        </w:rPr>
        <w:t xml:space="preserve"> make numerous critical comments about what they call the “aggregation approach” of </w:t>
      </w:r>
      <w:r w:rsidR="00200012">
        <w:rPr>
          <w:rFonts w:ascii="Times New Roman" w:hAnsi="Times New Roman" w:cs="Times New Roman"/>
          <w:sz w:val="24"/>
          <w:szCs w:val="24"/>
        </w:rPr>
        <w:t xml:space="preserve">Monkhouse (1993) and </w:t>
      </w:r>
      <w:r w:rsidR="003B18FC">
        <w:rPr>
          <w:rFonts w:ascii="Times New Roman" w:hAnsi="Times New Roman" w:cs="Times New Roman"/>
          <w:sz w:val="24"/>
          <w:szCs w:val="24"/>
        </w:rPr>
        <w:t xml:space="preserve">Lally and van Zijl (2003).  </w:t>
      </w:r>
      <w:r w:rsidR="00A508CD">
        <w:rPr>
          <w:rFonts w:ascii="Times New Roman" w:hAnsi="Times New Roman" w:cs="Times New Roman"/>
          <w:sz w:val="24"/>
          <w:szCs w:val="24"/>
        </w:rPr>
        <w:t xml:space="preserve">The first of these claims is that the </w:t>
      </w:r>
      <w:r w:rsidR="00200012">
        <w:rPr>
          <w:rFonts w:ascii="Times New Roman" w:hAnsi="Times New Roman" w:cs="Times New Roman"/>
          <w:sz w:val="24"/>
          <w:szCs w:val="24"/>
        </w:rPr>
        <w:t xml:space="preserve">aggregation approach assumes that investors have found their equilibrium position and thus does not directly address how the market equilibrium </w:t>
      </w:r>
      <w:r w:rsidR="00575659">
        <w:rPr>
          <w:rFonts w:ascii="Times New Roman" w:hAnsi="Times New Roman" w:cs="Times New Roman"/>
          <w:sz w:val="24"/>
          <w:szCs w:val="24"/>
        </w:rPr>
        <w:t>emerges (Ainsworth et al, 2015, page 27).</w:t>
      </w:r>
      <w:r w:rsidR="00F31C17">
        <w:rPr>
          <w:rFonts w:ascii="Times New Roman" w:hAnsi="Times New Roman" w:cs="Times New Roman"/>
          <w:sz w:val="24"/>
          <w:szCs w:val="24"/>
        </w:rPr>
        <w:t xml:space="preserve">  </w:t>
      </w:r>
      <w:r w:rsidR="002C0D3E">
        <w:rPr>
          <w:rFonts w:ascii="Times New Roman" w:hAnsi="Times New Roman" w:cs="Times New Roman"/>
          <w:sz w:val="24"/>
          <w:szCs w:val="24"/>
        </w:rPr>
        <w:t>The exact nature of the</w:t>
      </w:r>
      <w:r w:rsidR="00870DB9">
        <w:rPr>
          <w:rFonts w:ascii="Times New Roman" w:hAnsi="Times New Roman" w:cs="Times New Roman"/>
          <w:sz w:val="24"/>
          <w:szCs w:val="24"/>
        </w:rPr>
        <w:t xml:space="preserve">ir concern is not clear to me.  </w:t>
      </w:r>
      <w:r w:rsidR="00105C84">
        <w:rPr>
          <w:rFonts w:ascii="Times New Roman" w:hAnsi="Times New Roman" w:cs="Times New Roman"/>
          <w:sz w:val="24"/>
          <w:szCs w:val="24"/>
        </w:rPr>
        <w:t>Prima facie, their point is that this aggregation approach should be accompanied by a description of the mechanics by which equilibrium is attained</w:t>
      </w:r>
      <w:r w:rsidR="002A6202">
        <w:rPr>
          <w:rFonts w:ascii="Times New Roman" w:hAnsi="Times New Roman" w:cs="Times New Roman"/>
          <w:sz w:val="24"/>
          <w:szCs w:val="24"/>
        </w:rPr>
        <w:t xml:space="preserve">, which would be </w:t>
      </w:r>
      <w:r w:rsidR="00545810">
        <w:rPr>
          <w:rFonts w:ascii="Times New Roman" w:hAnsi="Times New Roman" w:cs="Times New Roman"/>
          <w:sz w:val="24"/>
          <w:szCs w:val="24"/>
        </w:rPr>
        <w:t>something of the following kind:</w:t>
      </w:r>
    </w:p>
    <w:p w:rsidR="002A6202" w:rsidRPr="002A6202" w:rsidRDefault="006A3CEE" w:rsidP="002A6202">
      <w:pPr>
        <w:pStyle w:val="ListParagraph"/>
        <w:spacing w:after="0" w:line="360" w:lineRule="auto"/>
        <w:ind w:left="360" w:right="386"/>
        <w:jc w:val="both"/>
        <w:rPr>
          <w:rFonts w:ascii="Times New Roman" w:hAnsi="Times New Roman" w:cs="Times New Roman"/>
          <w:i/>
          <w:sz w:val="24"/>
          <w:szCs w:val="24"/>
        </w:rPr>
      </w:pPr>
      <w:r>
        <w:rPr>
          <w:rFonts w:ascii="Times New Roman" w:hAnsi="Times New Roman" w:cs="Times New Roman"/>
          <w:i/>
          <w:sz w:val="24"/>
          <w:szCs w:val="24"/>
        </w:rPr>
        <w:t xml:space="preserve">Equilibrium is </w:t>
      </w:r>
      <w:r w:rsidR="00105C84" w:rsidRPr="002A6202">
        <w:rPr>
          <w:rFonts w:ascii="Times New Roman" w:hAnsi="Times New Roman" w:cs="Times New Roman"/>
          <w:i/>
          <w:sz w:val="24"/>
          <w:szCs w:val="24"/>
        </w:rPr>
        <w:t xml:space="preserve">attained by each investor treating prices as given, estimating expected returns and the covariance matrix, and choosing a portfolio (desired units for each asset) that maximizes their expected utility.   If the aggregate of these desired holdings over all investors matches the supply for each asset, equilibrium has been attained.  If not, the assets with excess demand will face upward price pressure and those with insufficient demand will face downward price pressure.  These prices will continue moving until equilibrium has been attained.  </w:t>
      </w:r>
    </w:p>
    <w:p w:rsidR="00105C84" w:rsidRDefault="00105C84" w:rsidP="00122250">
      <w:pPr>
        <w:pStyle w:val="ListParagraph"/>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However, the failure to append such a description to the aggregation approach could not </w:t>
      </w:r>
      <w:r w:rsidR="00CB4E46">
        <w:rPr>
          <w:rFonts w:ascii="Times New Roman" w:hAnsi="Times New Roman" w:cs="Times New Roman"/>
          <w:sz w:val="24"/>
          <w:szCs w:val="24"/>
        </w:rPr>
        <w:t xml:space="preserve">constitute a </w:t>
      </w:r>
      <w:r>
        <w:rPr>
          <w:rFonts w:ascii="Times New Roman" w:hAnsi="Times New Roman" w:cs="Times New Roman"/>
          <w:sz w:val="24"/>
          <w:szCs w:val="24"/>
        </w:rPr>
        <w:t>criticism of the approach itself</w:t>
      </w:r>
      <w:r w:rsidR="00CB4E46">
        <w:rPr>
          <w:rFonts w:ascii="Times New Roman" w:hAnsi="Times New Roman" w:cs="Times New Roman"/>
          <w:sz w:val="24"/>
          <w:szCs w:val="24"/>
        </w:rPr>
        <w:t>, or even constitute an unwarranted omission (because the mechanics by which equilibrium is attained could be expected to be understood by any reader of this literature)</w:t>
      </w:r>
      <w:r w:rsidR="002A6202">
        <w:rPr>
          <w:rFonts w:ascii="Times New Roman" w:hAnsi="Times New Roman" w:cs="Times New Roman"/>
          <w:sz w:val="24"/>
          <w:szCs w:val="24"/>
        </w:rPr>
        <w:t xml:space="preserve">.  So, </w:t>
      </w:r>
      <w:r w:rsidR="006B4ABD">
        <w:rPr>
          <w:rFonts w:ascii="Times New Roman" w:hAnsi="Times New Roman" w:cs="Times New Roman"/>
          <w:sz w:val="24"/>
          <w:szCs w:val="24"/>
        </w:rPr>
        <w:t xml:space="preserve">their </w:t>
      </w:r>
      <w:r w:rsidR="00D14301">
        <w:rPr>
          <w:rFonts w:ascii="Times New Roman" w:hAnsi="Times New Roman" w:cs="Times New Roman"/>
          <w:sz w:val="24"/>
          <w:szCs w:val="24"/>
        </w:rPr>
        <w:t xml:space="preserve">concern </w:t>
      </w:r>
      <w:r w:rsidR="00D14301" w:rsidRPr="00D60E41">
        <w:rPr>
          <w:rFonts w:ascii="Times New Roman" w:hAnsi="Times New Roman" w:cs="Times New Roman"/>
          <w:sz w:val="24"/>
          <w:szCs w:val="24"/>
        </w:rPr>
        <w:t>is presumably</w:t>
      </w:r>
      <w:r w:rsidR="00D14301">
        <w:rPr>
          <w:rFonts w:ascii="Times New Roman" w:hAnsi="Times New Roman" w:cs="Times New Roman"/>
          <w:sz w:val="24"/>
          <w:szCs w:val="24"/>
        </w:rPr>
        <w:t xml:space="preserve"> </w:t>
      </w:r>
      <w:r w:rsidR="002A6202">
        <w:rPr>
          <w:rFonts w:ascii="Times New Roman" w:hAnsi="Times New Roman" w:cs="Times New Roman"/>
          <w:sz w:val="24"/>
          <w:szCs w:val="24"/>
        </w:rPr>
        <w:t>otherwise.</w:t>
      </w:r>
    </w:p>
    <w:p w:rsidR="00105C84" w:rsidRDefault="00105C84" w:rsidP="00122250">
      <w:pPr>
        <w:pStyle w:val="ListParagraph"/>
        <w:spacing w:after="0" w:line="360" w:lineRule="auto"/>
        <w:ind w:left="0"/>
        <w:jc w:val="both"/>
        <w:rPr>
          <w:rFonts w:ascii="Times New Roman" w:hAnsi="Times New Roman" w:cs="Times New Roman"/>
          <w:sz w:val="24"/>
          <w:szCs w:val="24"/>
        </w:rPr>
      </w:pPr>
    </w:p>
    <w:p w:rsidR="002A6202" w:rsidRDefault="0035683E" w:rsidP="00122250">
      <w:pPr>
        <w:pStyle w:val="ListParagraph"/>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Alternatively, </w:t>
      </w:r>
      <w:r w:rsidR="007C2B22">
        <w:rPr>
          <w:rFonts w:ascii="Times New Roman" w:hAnsi="Times New Roman" w:cs="Times New Roman"/>
          <w:sz w:val="24"/>
          <w:szCs w:val="24"/>
        </w:rPr>
        <w:t xml:space="preserve">Ainsworth et al </w:t>
      </w:r>
      <w:r w:rsidR="006A3CEE">
        <w:rPr>
          <w:rFonts w:ascii="Times New Roman" w:hAnsi="Times New Roman" w:cs="Times New Roman"/>
          <w:sz w:val="24"/>
          <w:szCs w:val="24"/>
        </w:rPr>
        <w:t xml:space="preserve">(2015) </w:t>
      </w:r>
      <w:r>
        <w:rPr>
          <w:rFonts w:ascii="Times New Roman" w:hAnsi="Times New Roman" w:cs="Times New Roman"/>
          <w:sz w:val="24"/>
          <w:szCs w:val="24"/>
        </w:rPr>
        <w:t xml:space="preserve">may be </w:t>
      </w:r>
      <w:r w:rsidR="005E7729">
        <w:rPr>
          <w:rFonts w:ascii="Times New Roman" w:hAnsi="Times New Roman" w:cs="Times New Roman"/>
          <w:sz w:val="24"/>
          <w:szCs w:val="24"/>
        </w:rPr>
        <w:t xml:space="preserve">simply questioning </w:t>
      </w:r>
      <w:r w:rsidR="002C0D3E">
        <w:rPr>
          <w:rFonts w:ascii="Times New Roman" w:hAnsi="Times New Roman" w:cs="Times New Roman"/>
          <w:sz w:val="24"/>
          <w:szCs w:val="24"/>
        </w:rPr>
        <w:t xml:space="preserve">where </w:t>
      </w:r>
      <w:r w:rsidR="005E7729">
        <w:rPr>
          <w:rFonts w:ascii="Times New Roman" w:hAnsi="Times New Roman" w:cs="Times New Roman"/>
          <w:sz w:val="24"/>
          <w:szCs w:val="24"/>
        </w:rPr>
        <w:t xml:space="preserve">the </w:t>
      </w:r>
      <w:r w:rsidR="002C0D3E">
        <w:rPr>
          <w:rFonts w:ascii="Times New Roman" w:hAnsi="Times New Roman" w:cs="Times New Roman"/>
          <w:sz w:val="24"/>
          <w:szCs w:val="24"/>
        </w:rPr>
        <w:t xml:space="preserve">equilibrium condition </w:t>
      </w:r>
      <w:r w:rsidR="00CE57D9">
        <w:rPr>
          <w:rFonts w:ascii="Times New Roman" w:hAnsi="Times New Roman" w:cs="Times New Roman"/>
          <w:sz w:val="24"/>
          <w:szCs w:val="24"/>
        </w:rPr>
        <w:t xml:space="preserve">arises </w:t>
      </w:r>
      <w:r w:rsidR="002C0D3E">
        <w:rPr>
          <w:rFonts w:ascii="Times New Roman" w:hAnsi="Times New Roman" w:cs="Times New Roman"/>
          <w:sz w:val="24"/>
          <w:szCs w:val="24"/>
        </w:rPr>
        <w:t xml:space="preserve">in the derivation of these </w:t>
      </w:r>
      <w:r w:rsidR="006B4ABD">
        <w:rPr>
          <w:rFonts w:ascii="Times New Roman" w:hAnsi="Times New Roman" w:cs="Times New Roman"/>
          <w:sz w:val="24"/>
          <w:szCs w:val="24"/>
        </w:rPr>
        <w:t xml:space="preserve">aggregation </w:t>
      </w:r>
      <w:r w:rsidR="002C0D3E">
        <w:rPr>
          <w:rFonts w:ascii="Times New Roman" w:hAnsi="Times New Roman" w:cs="Times New Roman"/>
          <w:sz w:val="24"/>
          <w:szCs w:val="24"/>
        </w:rPr>
        <w:t xml:space="preserve">models.  </w:t>
      </w:r>
      <w:r w:rsidR="005E7729">
        <w:rPr>
          <w:rFonts w:ascii="Times New Roman" w:hAnsi="Times New Roman" w:cs="Times New Roman"/>
          <w:sz w:val="24"/>
          <w:szCs w:val="24"/>
        </w:rPr>
        <w:t xml:space="preserve">I therefore elaborate upon this </w:t>
      </w:r>
      <w:r w:rsidR="006B4ABD">
        <w:rPr>
          <w:rFonts w:ascii="Times New Roman" w:hAnsi="Times New Roman" w:cs="Times New Roman"/>
          <w:sz w:val="24"/>
          <w:szCs w:val="24"/>
        </w:rPr>
        <w:t xml:space="preserve">issue </w:t>
      </w:r>
      <w:r w:rsidR="005E7729">
        <w:rPr>
          <w:rFonts w:ascii="Times New Roman" w:hAnsi="Times New Roman" w:cs="Times New Roman"/>
          <w:sz w:val="24"/>
          <w:szCs w:val="24"/>
        </w:rPr>
        <w:t>for the model</w:t>
      </w:r>
      <w:r w:rsidR="006B4ABD">
        <w:rPr>
          <w:rFonts w:ascii="Times New Roman" w:hAnsi="Times New Roman" w:cs="Times New Roman"/>
          <w:sz w:val="24"/>
          <w:szCs w:val="24"/>
        </w:rPr>
        <w:t xml:space="preserve"> of Lally and van Zijl (2003).  </w:t>
      </w:r>
      <w:r w:rsidR="005E7729">
        <w:rPr>
          <w:rFonts w:ascii="Times New Roman" w:hAnsi="Times New Roman" w:cs="Times New Roman"/>
          <w:sz w:val="24"/>
          <w:szCs w:val="24"/>
        </w:rPr>
        <w:t xml:space="preserve">Defining </w:t>
      </w:r>
      <w:r w:rsidR="00F31C17" w:rsidRPr="00080184">
        <w:rPr>
          <w:rFonts w:ascii="Times New Roman" w:hAnsi="Times New Roman" w:cs="Times New Roman"/>
          <w:i/>
          <w:sz w:val="24"/>
          <w:szCs w:val="24"/>
        </w:rPr>
        <w:t>K</w:t>
      </w:r>
      <w:r w:rsidR="00F31C17" w:rsidRPr="00080184">
        <w:rPr>
          <w:rFonts w:ascii="Times New Roman" w:hAnsi="Times New Roman" w:cs="Times New Roman"/>
          <w:i/>
          <w:sz w:val="24"/>
          <w:szCs w:val="24"/>
          <w:vertAlign w:val="subscript"/>
        </w:rPr>
        <w:t>i</w:t>
      </w:r>
      <w:r w:rsidR="00F31C17">
        <w:rPr>
          <w:rFonts w:ascii="Times New Roman" w:hAnsi="Times New Roman" w:cs="Times New Roman"/>
          <w:sz w:val="24"/>
          <w:szCs w:val="24"/>
        </w:rPr>
        <w:t xml:space="preserve"> to be the tangency portfolio </w:t>
      </w:r>
      <w:r w:rsidR="00F31C17">
        <w:rPr>
          <w:rFonts w:ascii="Times New Roman" w:hAnsi="Times New Roman" w:cs="Times New Roman"/>
          <w:sz w:val="24"/>
          <w:szCs w:val="24"/>
        </w:rPr>
        <w:lastRenderedPageBreak/>
        <w:t xml:space="preserve">chosen by investor </w:t>
      </w:r>
      <w:r w:rsidR="00F31C17" w:rsidRPr="00080184">
        <w:rPr>
          <w:rFonts w:ascii="Times New Roman" w:hAnsi="Times New Roman" w:cs="Times New Roman"/>
          <w:i/>
          <w:sz w:val="24"/>
          <w:szCs w:val="24"/>
        </w:rPr>
        <w:t>i</w:t>
      </w:r>
      <w:r w:rsidR="001D46CD">
        <w:rPr>
          <w:rFonts w:ascii="Times New Roman" w:hAnsi="Times New Roman" w:cs="Times New Roman"/>
          <w:sz w:val="24"/>
          <w:szCs w:val="24"/>
        </w:rPr>
        <w:t xml:space="preserve">, </w:t>
      </w:r>
      <w:r w:rsidR="00F31C17" w:rsidRPr="00080184">
        <w:rPr>
          <w:rFonts w:ascii="Times New Roman" w:hAnsi="Times New Roman" w:cs="Times New Roman"/>
          <w:i/>
          <w:sz w:val="24"/>
          <w:szCs w:val="24"/>
        </w:rPr>
        <w:t>w</w:t>
      </w:r>
      <w:r w:rsidR="00F31C17" w:rsidRPr="00080184">
        <w:rPr>
          <w:rFonts w:ascii="Times New Roman" w:hAnsi="Times New Roman" w:cs="Times New Roman"/>
          <w:i/>
          <w:sz w:val="24"/>
          <w:szCs w:val="24"/>
          <w:vertAlign w:val="subscript"/>
        </w:rPr>
        <w:t>i</w:t>
      </w:r>
      <w:r w:rsidR="00F31C17">
        <w:rPr>
          <w:rFonts w:ascii="Times New Roman" w:hAnsi="Times New Roman" w:cs="Times New Roman"/>
          <w:sz w:val="24"/>
          <w:szCs w:val="24"/>
        </w:rPr>
        <w:t xml:space="preserve"> to be the fraction of risky assets</w:t>
      </w:r>
      <w:r w:rsidR="00827CE2">
        <w:rPr>
          <w:rFonts w:ascii="Times New Roman" w:hAnsi="Times New Roman" w:cs="Times New Roman"/>
          <w:sz w:val="24"/>
          <w:szCs w:val="24"/>
        </w:rPr>
        <w:t xml:space="preserve"> </w:t>
      </w:r>
      <w:r w:rsidR="00080184">
        <w:rPr>
          <w:rFonts w:ascii="Times New Roman" w:hAnsi="Times New Roman" w:cs="Times New Roman"/>
          <w:sz w:val="24"/>
          <w:szCs w:val="24"/>
        </w:rPr>
        <w:t xml:space="preserve">desired by investor </w:t>
      </w:r>
      <w:r w:rsidR="00080184" w:rsidRPr="00080184">
        <w:rPr>
          <w:rFonts w:ascii="Times New Roman" w:hAnsi="Times New Roman" w:cs="Times New Roman"/>
          <w:i/>
          <w:sz w:val="24"/>
          <w:szCs w:val="24"/>
        </w:rPr>
        <w:t>i</w:t>
      </w:r>
      <w:r w:rsidR="00827CE2">
        <w:rPr>
          <w:rFonts w:ascii="Times New Roman" w:hAnsi="Times New Roman" w:cs="Times New Roman"/>
          <w:sz w:val="24"/>
          <w:szCs w:val="24"/>
        </w:rPr>
        <w:t xml:space="preserve">, </w:t>
      </w:r>
      <w:r w:rsidR="001D46CD" w:rsidRPr="00080184">
        <w:rPr>
          <w:rFonts w:ascii="Times New Roman" w:hAnsi="Times New Roman" w:cs="Times New Roman"/>
          <w:i/>
          <w:sz w:val="24"/>
          <w:szCs w:val="24"/>
        </w:rPr>
        <w:t>R</w:t>
      </w:r>
      <w:r w:rsidR="001D46CD" w:rsidRPr="00080184">
        <w:rPr>
          <w:rFonts w:ascii="Times New Roman" w:hAnsi="Times New Roman" w:cs="Times New Roman"/>
          <w:i/>
          <w:sz w:val="24"/>
          <w:szCs w:val="24"/>
          <w:vertAlign w:val="subscript"/>
        </w:rPr>
        <w:t>m</w:t>
      </w:r>
      <w:r w:rsidR="001D46CD">
        <w:rPr>
          <w:rFonts w:ascii="Times New Roman" w:hAnsi="Times New Roman" w:cs="Times New Roman"/>
          <w:sz w:val="24"/>
          <w:szCs w:val="24"/>
        </w:rPr>
        <w:t xml:space="preserve"> to be the rate of return on the market portfolio, and </w:t>
      </w:r>
      <w:r w:rsidR="001D46CD" w:rsidRPr="00080184">
        <w:rPr>
          <w:rFonts w:ascii="Times New Roman" w:hAnsi="Times New Roman" w:cs="Times New Roman"/>
          <w:i/>
          <w:sz w:val="24"/>
          <w:szCs w:val="24"/>
        </w:rPr>
        <w:t>R</w:t>
      </w:r>
      <w:r w:rsidR="001D46CD" w:rsidRPr="00080184">
        <w:rPr>
          <w:rFonts w:ascii="Times New Roman" w:hAnsi="Times New Roman" w:cs="Times New Roman"/>
          <w:i/>
          <w:sz w:val="24"/>
          <w:szCs w:val="24"/>
          <w:vertAlign w:val="subscript"/>
        </w:rPr>
        <w:t>ki</w:t>
      </w:r>
      <w:r w:rsidR="001D46CD">
        <w:rPr>
          <w:rFonts w:ascii="Times New Roman" w:hAnsi="Times New Roman" w:cs="Times New Roman"/>
          <w:sz w:val="24"/>
          <w:szCs w:val="24"/>
        </w:rPr>
        <w:t xml:space="preserve"> to be the rate of return on portfolio </w:t>
      </w:r>
      <w:r w:rsidR="001D46CD" w:rsidRPr="00080184">
        <w:rPr>
          <w:rFonts w:ascii="Times New Roman" w:hAnsi="Times New Roman" w:cs="Times New Roman"/>
          <w:i/>
          <w:sz w:val="24"/>
          <w:szCs w:val="24"/>
        </w:rPr>
        <w:t>K</w:t>
      </w:r>
      <w:r w:rsidR="001D46CD" w:rsidRPr="00080184">
        <w:rPr>
          <w:rFonts w:ascii="Times New Roman" w:hAnsi="Times New Roman" w:cs="Times New Roman"/>
          <w:i/>
          <w:sz w:val="24"/>
          <w:szCs w:val="24"/>
          <w:vertAlign w:val="subscript"/>
        </w:rPr>
        <w:t>i</w:t>
      </w:r>
      <w:r w:rsidR="001D46CD">
        <w:rPr>
          <w:rFonts w:ascii="Times New Roman" w:hAnsi="Times New Roman" w:cs="Times New Roman"/>
          <w:sz w:val="24"/>
          <w:szCs w:val="24"/>
        </w:rPr>
        <w:t xml:space="preserve">, </w:t>
      </w:r>
      <w:r w:rsidR="00827CE2">
        <w:rPr>
          <w:rFonts w:ascii="Times New Roman" w:hAnsi="Times New Roman" w:cs="Times New Roman"/>
          <w:sz w:val="24"/>
          <w:szCs w:val="24"/>
        </w:rPr>
        <w:t>Lally and van Zijl (2003, page 194) note that the following condition must be satisfied</w:t>
      </w:r>
      <w:r w:rsidR="001D46CD">
        <w:rPr>
          <w:rFonts w:ascii="Times New Roman" w:hAnsi="Times New Roman" w:cs="Times New Roman"/>
          <w:sz w:val="24"/>
          <w:szCs w:val="24"/>
        </w:rPr>
        <w:t xml:space="preserve"> wh</w:t>
      </w:r>
      <w:r w:rsidR="002A6202">
        <w:rPr>
          <w:rFonts w:ascii="Times New Roman" w:hAnsi="Times New Roman" w:cs="Times New Roman"/>
          <w:sz w:val="24"/>
          <w:szCs w:val="24"/>
        </w:rPr>
        <w:t>en aggregating across investors:</w:t>
      </w:r>
    </w:p>
    <w:p w:rsidR="001D46CD" w:rsidRDefault="00080184" w:rsidP="00080184">
      <w:pPr>
        <w:pStyle w:val="ListParagraph"/>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1D46CD" w:rsidRPr="001D46CD">
        <w:rPr>
          <w:rFonts w:ascii="Times New Roman" w:hAnsi="Times New Roman" w:cs="Times New Roman"/>
          <w:position w:val="-28"/>
          <w:sz w:val="24"/>
          <w:szCs w:val="24"/>
        </w:rPr>
        <w:object w:dxaOrig="1400" w:dyaOrig="700">
          <v:shape id="_x0000_i1029" type="#_x0000_t75" style="width:70.5pt;height:34.85pt" o:ole="">
            <v:imagedata r:id="rId17" o:title=""/>
          </v:shape>
          <o:OLEObject Type="Embed" ProgID="Equation.3" ShapeID="_x0000_i1029" DrawAspect="Content" ObjectID="_1554554735" r:id="rId18"/>
        </w:object>
      </w:r>
      <w:r>
        <w:rPr>
          <w:rFonts w:ascii="Times New Roman" w:hAnsi="Times New Roman" w:cs="Times New Roman"/>
          <w:sz w:val="24"/>
          <w:szCs w:val="24"/>
        </w:rPr>
        <w:t xml:space="preserve">                          </w:t>
      </w:r>
      <w:r w:rsidR="00D15AC8">
        <w:rPr>
          <w:rFonts w:ascii="Times New Roman" w:hAnsi="Times New Roman" w:cs="Times New Roman"/>
          <w:sz w:val="24"/>
          <w:szCs w:val="24"/>
        </w:rPr>
        <w:t xml:space="preserve">                              (2</w:t>
      </w:r>
      <w:r>
        <w:rPr>
          <w:rFonts w:ascii="Times New Roman" w:hAnsi="Times New Roman" w:cs="Times New Roman"/>
          <w:sz w:val="24"/>
          <w:szCs w:val="24"/>
        </w:rPr>
        <w:t>)</w:t>
      </w:r>
    </w:p>
    <w:p w:rsidR="001D46CD" w:rsidRDefault="001D46CD" w:rsidP="00080184">
      <w:pPr>
        <w:pStyle w:val="ListParagraph"/>
        <w:spacing w:after="0" w:line="360" w:lineRule="auto"/>
        <w:ind w:left="0"/>
        <w:jc w:val="center"/>
        <w:rPr>
          <w:rFonts w:ascii="Times New Roman" w:hAnsi="Times New Roman" w:cs="Times New Roman"/>
          <w:sz w:val="24"/>
          <w:szCs w:val="24"/>
        </w:rPr>
      </w:pPr>
    </w:p>
    <w:p w:rsidR="00E75CC4" w:rsidRDefault="00080184" w:rsidP="00122250">
      <w:pPr>
        <w:pStyle w:val="ListParagraph"/>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This is </w:t>
      </w:r>
      <w:r w:rsidR="005E7729">
        <w:rPr>
          <w:rFonts w:ascii="Times New Roman" w:hAnsi="Times New Roman" w:cs="Times New Roman"/>
          <w:sz w:val="24"/>
          <w:szCs w:val="24"/>
        </w:rPr>
        <w:t xml:space="preserve">a consequence of </w:t>
      </w:r>
      <w:r>
        <w:rPr>
          <w:rFonts w:ascii="Times New Roman" w:hAnsi="Times New Roman" w:cs="Times New Roman"/>
          <w:sz w:val="24"/>
          <w:szCs w:val="24"/>
        </w:rPr>
        <w:t xml:space="preserve">the equilibrium condition.  </w:t>
      </w:r>
      <w:r w:rsidR="00B847B9">
        <w:rPr>
          <w:rFonts w:ascii="Times New Roman" w:hAnsi="Times New Roman" w:cs="Times New Roman"/>
          <w:sz w:val="24"/>
          <w:szCs w:val="24"/>
        </w:rPr>
        <w:t xml:space="preserve">To see this, </w:t>
      </w:r>
      <w:r>
        <w:rPr>
          <w:rFonts w:ascii="Times New Roman" w:hAnsi="Times New Roman" w:cs="Times New Roman"/>
          <w:sz w:val="24"/>
          <w:szCs w:val="24"/>
        </w:rPr>
        <w:t xml:space="preserve">letting </w:t>
      </w:r>
      <w:r w:rsidR="00E74E18" w:rsidRPr="00080184">
        <w:rPr>
          <w:rFonts w:ascii="Times New Roman" w:hAnsi="Times New Roman" w:cs="Times New Roman"/>
          <w:i/>
          <w:sz w:val="24"/>
          <w:szCs w:val="24"/>
        </w:rPr>
        <w:t>x</w:t>
      </w:r>
      <w:r w:rsidR="00E74E18" w:rsidRPr="00080184">
        <w:rPr>
          <w:rFonts w:ascii="Times New Roman" w:hAnsi="Times New Roman" w:cs="Times New Roman"/>
          <w:i/>
          <w:sz w:val="24"/>
          <w:szCs w:val="24"/>
          <w:vertAlign w:val="subscript"/>
        </w:rPr>
        <w:t>j</w:t>
      </w:r>
      <w:r w:rsidR="00E74E18">
        <w:rPr>
          <w:rFonts w:ascii="Times New Roman" w:hAnsi="Times New Roman" w:cs="Times New Roman"/>
          <w:sz w:val="24"/>
          <w:szCs w:val="24"/>
        </w:rPr>
        <w:t xml:space="preserve"> denote the market weight of asset</w:t>
      </w:r>
      <w:r w:rsidR="00E74E18" w:rsidRPr="00080184">
        <w:rPr>
          <w:rFonts w:ascii="Times New Roman" w:hAnsi="Times New Roman" w:cs="Times New Roman"/>
          <w:i/>
          <w:sz w:val="24"/>
          <w:szCs w:val="24"/>
        </w:rPr>
        <w:t xml:space="preserve"> </w:t>
      </w:r>
      <w:r w:rsidR="00E74E18" w:rsidRPr="007C2B22">
        <w:rPr>
          <w:rFonts w:ascii="Times New Roman" w:hAnsi="Times New Roman" w:cs="Times New Roman"/>
          <w:i/>
          <w:sz w:val="24"/>
          <w:szCs w:val="24"/>
        </w:rPr>
        <w:t>j</w:t>
      </w:r>
      <w:r w:rsidR="00E74E18">
        <w:rPr>
          <w:rFonts w:ascii="Times New Roman" w:hAnsi="Times New Roman" w:cs="Times New Roman"/>
          <w:sz w:val="24"/>
          <w:szCs w:val="24"/>
        </w:rPr>
        <w:t xml:space="preserve"> and </w:t>
      </w:r>
      <w:r w:rsidR="00E74E18" w:rsidRPr="00080184">
        <w:rPr>
          <w:rFonts w:ascii="Times New Roman" w:hAnsi="Times New Roman" w:cs="Times New Roman"/>
          <w:i/>
          <w:sz w:val="24"/>
          <w:szCs w:val="24"/>
        </w:rPr>
        <w:t>w</w:t>
      </w:r>
      <w:r w:rsidR="00E74E18" w:rsidRPr="00080184">
        <w:rPr>
          <w:rFonts w:ascii="Times New Roman" w:hAnsi="Times New Roman" w:cs="Times New Roman"/>
          <w:i/>
          <w:sz w:val="24"/>
          <w:szCs w:val="24"/>
          <w:vertAlign w:val="subscript"/>
        </w:rPr>
        <w:t>ij</w:t>
      </w:r>
      <w:r w:rsidR="00E74E18">
        <w:rPr>
          <w:rFonts w:ascii="Times New Roman" w:hAnsi="Times New Roman" w:cs="Times New Roman"/>
          <w:sz w:val="24"/>
          <w:szCs w:val="24"/>
        </w:rPr>
        <w:t xml:space="preserve"> the desired weight of </w:t>
      </w:r>
      <w:r w:rsidR="002230BF">
        <w:rPr>
          <w:rFonts w:ascii="Times New Roman" w:hAnsi="Times New Roman" w:cs="Times New Roman"/>
          <w:sz w:val="24"/>
          <w:szCs w:val="24"/>
        </w:rPr>
        <w:t xml:space="preserve">risky </w:t>
      </w:r>
      <w:r w:rsidR="00E74E18">
        <w:rPr>
          <w:rFonts w:ascii="Times New Roman" w:hAnsi="Times New Roman" w:cs="Times New Roman"/>
          <w:sz w:val="24"/>
          <w:szCs w:val="24"/>
        </w:rPr>
        <w:t xml:space="preserve">asset </w:t>
      </w:r>
      <w:r w:rsidR="00E74E18" w:rsidRPr="00080184">
        <w:rPr>
          <w:rFonts w:ascii="Times New Roman" w:hAnsi="Times New Roman" w:cs="Times New Roman"/>
          <w:i/>
          <w:sz w:val="24"/>
          <w:szCs w:val="24"/>
        </w:rPr>
        <w:t>j</w:t>
      </w:r>
      <w:r w:rsidR="00E74E18">
        <w:rPr>
          <w:rFonts w:ascii="Times New Roman" w:hAnsi="Times New Roman" w:cs="Times New Roman"/>
          <w:sz w:val="24"/>
          <w:szCs w:val="24"/>
        </w:rPr>
        <w:t xml:space="preserve"> in the</w:t>
      </w:r>
      <w:r w:rsidR="00E75CC4">
        <w:rPr>
          <w:rFonts w:ascii="Times New Roman" w:hAnsi="Times New Roman" w:cs="Times New Roman"/>
          <w:sz w:val="24"/>
          <w:szCs w:val="24"/>
        </w:rPr>
        <w:t xml:space="preserve"> tangency portfolio of investor</w:t>
      </w:r>
      <w:r w:rsidR="002230BF">
        <w:rPr>
          <w:rFonts w:ascii="Times New Roman" w:hAnsi="Times New Roman" w:cs="Times New Roman"/>
          <w:sz w:val="24"/>
          <w:szCs w:val="24"/>
        </w:rPr>
        <w:t xml:space="preserve"> </w:t>
      </w:r>
      <w:r w:rsidR="002230BF" w:rsidRPr="00080184">
        <w:rPr>
          <w:rFonts w:ascii="Times New Roman" w:hAnsi="Times New Roman" w:cs="Times New Roman"/>
          <w:i/>
          <w:sz w:val="24"/>
          <w:szCs w:val="24"/>
        </w:rPr>
        <w:t>i</w:t>
      </w:r>
      <w:r w:rsidR="00E75CC4">
        <w:rPr>
          <w:rFonts w:ascii="Times New Roman" w:hAnsi="Times New Roman" w:cs="Times New Roman"/>
          <w:sz w:val="24"/>
          <w:szCs w:val="24"/>
        </w:rPr>
        <w:t>, the last equation is equ</w:t>
      </w:r>
      <w:r w:rsidR="00497C2B">
        <w:rPr>
          <w:rFonts w:ascii="Times New Roman" w:hAnsi="Times New Roman" w:cs="Times New Roman"/>
          <w:sz w:val="24"/>
          <w:szCs w:val="24"/>
        </w:rPr>
        <w:t>ivalent to:</w:t>
      </w:r>
    </w:p>
    <w:p w:rsidR="00497C2B" w:rsidRDefault="00497C2B" w:rsidP="00122250">
      <w:pPr>
        <w:pStyle w:val="ListParagraph"/>
        <w:spacing w:after="0" w:line="360" w:lineRule="auto"/>
        <w:ind w:left="0"/>
        <w:jc w:val="both"/>
        <w:rPr>
          <w:rFonts w:ascii="Times New Roman" w:hAnsi="Times New Roman" w:cs="Times New Roman"/>
          <w:sz w:val="24"/>
          <w:szCs w:val="24"/>
        </w:rPr>
      </w:pPr>
    </w:p>
    <w:p w:rsidR="00E75CC4" w:rsidRDefault="009279F4" w:rsidP="00E75CC4">
      <w:pPr>
        <w:pStyle w:val="ListParagraph"/>
        <w:spacing w:after="0" w:line="360" w:lineRule="auto"/>
        <w:ind w:left="0"/>
        <w:jc w:val="center"/>
        <w:rPr>
          <w:rFonts w:ascii="Times New Roman" w:hAnsi="Times New Roman" w:cs="Times New Roman"/>
          <w:sz w:val="24"/>
          <w:szCs w:val="24"/>
        </w:rPr>
      </w:pPr>
      <w:r w:rsidRPr="002230BF">
        <w:rPr>
          <w:rFonts w:ascii="Times New Roman" w:hAnsi="Times New Roman" w:cs="Times New Roman"/>
          <w:position w:val="-32"/>
          <w:sz w:val="24"/>
          <w:szCs w:val="24"/>
        </w:rPr>
        <w:object w:dxaOrig="2580" w:dyaOrig="760">
          <v:shape id="_x0000_i1030" type="#_x0000_t75" style="width:129.6pt;height:37.9pt" o:ole="">
            <v:imagedata r:id="rId19" o:title=""/>
          </v:shape>
          <o:OLEObject Type="Embed" ProgID="Equation.3" ShapeID="_x0000_i1030" DrawAspect="Content" ObjectID="_1554554736" r:id="rId20"/>
        </w:object>
      </w:r>
    </w:p>
    <w:p w:rsidR="00E74E18" w:rsidRPr="00E74E18" w:rsidRDefault="00E74E18" w:rsidP="00122250">
      <w:pPr>
        <w:pStyle w:val="ListParagraph"/>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p>
    <w:p w:rsidR="009279F4" w:rsidRDefault="00D51882" w:rsidP="00122250">
      <w:pPr>
        <w:pStyle w:val="ListParagraph"/>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The order of addition does not affect the result, and therefore the last equation is equivalent to</w:t>
      </w:r>
    </w:p>
    <w:p w:rsidR="00D51882" w:rsidRDefault="00D51882" w:rsidP="00122250">
      <w:pPr>
        <w:pStyle w:val="ListParagraph"/>
        <w:spacing w:after="0" w:line="360" w:lineRule="auto"/>
        <w:ind w:left="0"/>
        <w:jc w:val="both"/>
        <w:rPr>
          <w:rFonts w:ascii="Times New Roman" w:hAnsi="Times New Roman" w:cs="Times New Roman"/>
          <w:sz w:val="24"/>
          <w:szCs w:val="24"/>
        </w:rPr>
      </w:pPr>
    </w:p>
    <w:p w:rsidR="009279F4" w:rsidRDefault="009279F4" w:rsidP="009279F4">
      <w:pPr>
        <w:pStyle w:val="ListParagraph"/>
        <w:spacing w:after="0" w:line="360" w:lineRule="auto"/>
        <w:ind w:left="0"/>
        <w:jc w:val="center"/>
        <w:rPr>
          <w:rFonts w:ascii="Times New Roman" w:hAnsi="Times New Roman" w:cs="Times New Roman"/>
          <w:sz w:val="24"/>
          <w:szCs w:val="24"/>
        </w:rPr>
      </w:pPr>
      <w:r w:rsidRPr="002230BF">
        <w:rPr>
          <w:rFonts w:ascii="Times New Roman" w:hAnsi="Times New Roman" w:cs="Times New Roman"/>
          <w:position w:val="-32"/>
          <w:sz w:val="24"/>
          <w:szCs w:val="24"/>
        </w:rPr>
        <w:object w:dxaOrig="2580" w:dyaOrig="760">
          <v:shape id="_x0000_i1031" type="#_x0000_t75" style="width:129.6pt;height:37.9pt" o:ole="">
            <v:imagedata r:id="rId21" o:title=""/>
          </v:shape>
          <o:OLEObject Type="Embed" ProgID="Equation.3" ShapeID="_x0000_i1031" DrawAspect="Content" ObjectID="_1554554737" r:id="rId22"/>
        </w:object>
      </w:r>
    </w:p>
    <w:p w:rsidR="009279F4" w:rsidRDefault="009279F4" w:rsidP="00122250">
      <w:pPr>
        <w:pStyle w:val="ListParagraph"/>
        <w:spacing w:after="0" w:line="360" w:lineRule="auto"/>
        <w:ind w:left="0"/>
        <w:jc w:val="both"/>
        <w:rPr>
          <w:rFonts w:ascii="Times New Roman" w:hAnsi="Times New Roman" w:cs="Times New Roman"/>
          <w:sz w:val="24"/>
          <w:szCs w:val="24"/>
        </w:rPr>
      </w:pPr>
    </w:p>
    <w:p w:rsidR="002230BF" w:rsidRDefault="009279F4" w:rsidP="00122250">
      <w:pPr>
        <w:pStyle w:val="ListParagraph"/>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The bracketed term here is the </w:t>
      </w:r>
      <w:r w:rsidR="002230BF">
        <w:rPr>
          <w:rFonts w:ascii="Times New Roman" w:hAnsi="Times New Roman" w:cs="Times New Roman"/>
          <w:sz w:val="24"/>
          <w:szCs w:val="24"/>
        </w:rPr>
        <w:t xml:space="preserve">desired weight of </w:t>
      </w:r>
      <w:r>
        <w:rPr>
          <w:rFonts w:ascii="Times New Roman" w:hAnsi="Times New Roman" w:cs="Times New Roman"/>
          <w:sz w:val="24"/>
          <w:szCs w:val="24"/>
        </w:rPr>
        <w:t xml:space="preserve">asset </w:t>
      </w:r>
      <w:r w:rsidRPr="00080184">
        <w:rPr>
          <w:rFonts w:ascii="Times New Roman" w:hAnsi="Times New Roman" w:cs="Times New Roman"/>
          <w:i/>
          <w:sz w:val="24"/>
          <w:szCs w:val="24"/>
        </w:rPr>
        <w:t>j</w:t>
      </w:r>
      <w:r>
        <w:rPr>
          <w:rFonts w:ascii="Times New Roman" w:hAnsi="Times New Roman" w:cs="Times New Roman"/>
          <w:sz w:val="24"/>
          <w:szCs w:val="24"/>
        </w:rPr>
        <w:t xml:space="preserve"> in the aggregate portfolios of </w:t>
      </w:r>
      <w:r w:rsidR="00080184">
        <w:rPr>
          <w:rFonts w:ascii="Times New Roman" w:hAnsi="Times New Roman" w:cs="Times New Roman"/>
          <w:sz w:val="24"/>
          <w:szCs w:val="24"/>
        </w:rPr>
        <w:t xml:space="preserve">all </w:t>
      </w:r>
      <w:r>
        <w:rPr>
          <w:rFonts w:ascii="Times New Roman" w:hAnsi="Times New Roman" w:cs="Times New Roman"/>
          <w:sz w:val="24"/>
          <w:szCs w:val="24"/>
        </w:rPr>
        <w:t xml:space="preserve">investors, and is denoted </w:t>
      </w:r>
      <w:r w:rsidRPr="00080184">
        <w:rPr>
          <w:rFonts w:ascii="Times New Roman" w:hAnsi="Times New Roman" w:cs="Times New Roman"/>
          <w:i/>
          <w:sz w:val="24"/>
          <w:szCs w:val="24"/>
        </w:rPr>
        <w:t>w</w:t>
      </w:r>
      <w:r w:rsidRPr="00080184">
        <w:rPr>
          <w:rFonts w:ascii="Times New Roman" w:hAnsi="Times New Roman" w:cs="Times New Roman"/>
          <w:i/>
          <w:sz w:val="24"/>
          <w:szCs w:val="24"/>
          <w:vertAlign w:val="subscript"/>
        </w:rPr>
        <w:t>j</w:t>
      </w:r>
      <w:r>
        <w:rPr>
          <w:rFonts w:ascii="Times New Roman" w:hAnsi="Times New Roman" w:cs="Times New Roman"/>
          <w:sz w:val="24"/>
          <w:szCs w:val="24"/>
        </w:rPr>
        <w:t>.  So, the last equation is</w:t>
      </w:r>
    </w:p>
    <w:p w:rsidR="009279F4" w:rsidRDefault="009279F4" w:rsidP="00122250">
      <w:pPr>
        <w:pStyle w:val="ListParagraph"/>
        <w:spacing w:after="0" w:line="360" w:lineRule="auto"/>
        <w:ind w:left="0"/>
        <w:jc w:val="both"/>
        <w:rPr>
          <w:rFonts w:ascii="Times New Roman" w:hAnsi="Times New Roman" w:cs="Times New Roman"/>
          <w:sz w:val="24"/>
          <w:szCs w:val="24"/>
        </w:rPr>
      </w:pPr>
    </w:p>
    <w:p w:rsidR="009279F4" w:rsidRPr="009279F4" w:rsidRDefault="009279F4" w:rsidP="009279F4">
      <w:pPr>
        <w:pStyle w:val="ListParagraph"/>
        <w:spacing w:after="0" w:line="360" w:lineRule="auto"/>
        <w:ind w:left="0"/>
        <w:jc w:val="center"/>
        <w:rPr>
          <w:rFonts w:ascii="Times New Roman" w:hAnsi="Times New Roman" w:cs="Times New Roman"/>
          <w:sz w:val="24"/>
          <w:szCs w:val="24"/>
        </w:rPr>
      </w:pPr>
      <w:r w:rsidRPr="009279F4">
        <w:rPr>
          <w:rFonts w:ascii="Times New Roman" w:hAnsi="Times New Roman" w:cs="Times New Roman"/>
          <w:position w:val="-30"/>
          <w:sz w:val="24"/>
          <w:szCs w:val="24"/>
        </w:rPr>
        <w:object w:dxaOrig="1840" w:dyaOrig="720">
          <v:shape id="_x0000_i1032" type="#_x0000_t75" style="width:91.7pt;height:36.4pt" o:ole="">
            <v:imagedata r:id="rId23" o:title=""/>
          </v:shape>
          <o:OLEObject Type="Embed" ProgID="Equation.3" ShapeID="_x0000_i1032" DrawAspect="Content" ObjectID="_1554554738" r:id="rId24"/>
        </w:object>
      </w:r>
    </w:p>
    <w:p w:rsidR="002230BF" w:rsidRDefault="002230BF" w:rsidP="00122250">
      <w:pPr>
        <w:pStyle w:val="ListParagraph"/>
        <w:spacing w:after="0" w:line="360" w:lineRule="auto"/>
        <w:ind w:left="0"/>
        <w:jc w:val="both"/>
        <w:rPr>
          <w:rFonts w:ascii="Times New Roman" w:hAnsi="Times New Roman" w:cs="Times New Roman"/>
          <w:sz w:val="24"/>
          <w:szCs w:val="24"/>
        </w:rPr>
      </w:pPr>
    </w:p>
    <w:p w:rsidR="00CE57D9" w:rsidRDefault="00080184" w:rsidP="00122250">
      <w:pPr>
        <w:pStyle w:val="ListParagraph"/>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This implies that </w:t>
      </w:r>
      <w:r w:rsidRPr="00080184">
        <w:rPr>
          <w:rFonts w:ascii="Times New Roman" w:hAnsi="Times New Roman" w:cs="Times New Roman"/>
          <w:i/>
          <w:sz w:val="24"/>
          <w:szCs w:val="24"/>
        </w:rPr>
        <w:t>w</w:t>
      </w:r>
      <w:r w:rsidRPr="00080184">
        <w:rPr>
          <w:rFonts w:ascii="Times New Roman" w:hAnsi="Times New Roman" w:cs="Times New Roman"/>
          <w:i/>
          <w:sz w:val="24"/>
          <w:szCs w:val="24"/>
          <w:vertAlign w:val="subscript"/>
        </w:rPr>
        <w:t>j</w:t>
      </w:r>
      <w:r>
        <w:rPr>
          <w:rFonts w:ascii="Times New Roman" w:hAnsi="Times New Roman" w:cs="Times New Roman"/>
          <w:sz w:val="24"/>
          <w:szCs w:val="24"/>
        </w:rPr>
        <w:t xml:space="preserve"> = </w:t>
      </w:r>
      <w:r w:rsidRPr="00080184">
        <w:rPr>
          <w:rFonts w:ascii="Times New Roman" w:hAnsi="Times New Roman" w:cs="Times New Roman"/>
          <w:i/>
          <w:sz w:val="24"/>
          <w:szCs w:val="24"/>
        </w:rPr>
        <w:t>x</w:t>
      </w:r>
      <w:r w:rsidRPr="00080184">
        <w:rPr>
          <w:rFonts w:ascii="Times New Roman" w:hAnsi="Times New Roman" w:cs="Times New Roman"/>
          <w:i/>
          <w:sz w:val="24"/>
          <w:szCs w:val="24"/>
          <w:vertAlign w:val="subscript"/>
        </w:rPr>
        <w:t>j</w:t>
      </w:r>
      <w:r>
        <w:rPr>
          <w:rFonts w:ascii="Times New Roman" w:hAnsi="Times New Roman" w:cs="Times New Roman"/>
          <w:sz w:val="24"/>
          <w:szCs w:val="24"/>
        </w:rPr>
        <w:t xml:space="preserve"> for each asset </w:t>
      </w:r>
      <w:r w:rsidRPr="00080184">
        <w:rPr>
          <w:rFonts w:ascii="Times New Roman" w:hAnsi="Times New Roman" w:cs="Times New Roman"/>
          <w:i/>
          <w:sz w:val="24"/>
          <w:szCs w:val="24"/>
        </w:rPr>
        <w:t>j</w:t>
      </w:r>
      <w:r>
        <w:rPr>
          <w:rFonts w:ascii="Times New Roman" w:hAnsi="Times New Roman" w:cs="Times New Roman"/>
          <w:sz w:val="24"/>
          <w:szCs w:val="24"/>
        </w:rPr>
        <w:t xml:space="preserve">.  </w:t>
      </w:r>
      <w:r w:rsidR="001D46CD">
        <w:rPr>
          <w:rFonts w:ascii="Times New Roman" w:hAnsi="Times New Roman" w:cs="Times New Roman"/>
          <w:sz w:val="24"/>
          <w:szCs w:val="24"/>
        </w:rPr>
        <w:t xml:space="preserve">In plain English, this says that </w:t>
      </w:r>
      <w:r>
        <w:rPr>
          <w:rFonts w:ascii="Times New Roman" w:hAnsi="Times New Roman" w:cs="Times New Roman"/>
          <w:sz w:val="24"/>
          <w:szCs w:val="24"/>
        </w:rPr>
        <w:t xml:space="preserve">the </w:t>
      </w:r>
      <w:r w:rsidR="001D46CD">
        <w:rPr>
          <w:rFonts w:ascii="Times New Roman" w:hAnsi="Times New Roman" w:cs="Times New Roman"/>
          <w:sz w:val="24"/>
          <w:szCs w:val="24"/>
        </w:rPr>
        <w:t>aggregate dema</w:t>
      </w:r>
      <w:r w:rsidR="00E75CC4">
        <w:rPr>
          <w:rFonts w:ascii="Times New Roman" w:hAnsi="Times New Roman" w:cs="Times New Roman"/>
          <w:sz w:val="24"/>
          <w:szCs w:val="24"/>
        </w:rPr>
        <w:t xml:space="preserve">nd for </w:t>
      </w:r>
      <w:r>
        <w:rPr>
          <w:rFonts w:ascii="Times New Roman" w:hAnsi="Times New Roman" w:cs="Times New Roman"/>
          <w:sz w:val="24"/>
          <w:szCs w:val="24"/>
        </w:rPr>
        <w:t xml:space="preserve">each asset </w:t>
      </w:r>
      <w:r w:rsidR="00E75CC4">
        <w:rPr>
          <w:rFonts w:ascii="Times New Roman" w:hAnsi="Times New Roman" w:cs="Times New Roman"/>
          <w:sz w:val="24"/>
          <w:szCs w:val="24"/>
        </w:rPr>
        <w:t xml:space="preserve">equals </w:t>
      </w:r>
      <w:r>
        <w:rPr>
          <w:rFonts w:ascii="Times New Roman" w:hAnsi="Times New Roman" w:cs="Times New Roman"/>
          <w:sz w:val="24"/>
          <w:szCs w:val="24"/>
        </w:rPr>
        <w:t xml:space="preserve">its </w:t>
      </w:r>
      <w:r w:rsidR="00E75CC4">
        <w:rPr>
          <w:rFonts w:ascii="Times New Roman" w:hAnsi="Times New Roman" w:cs="Times New Roman"/>
          <w:sz w:val="24"/>
          <w:szCs w:val="24"/>
        </w:rPr>
        <w:t>supply.</w:t>
      </w:r>
      <w:r>
        <w:rPr>
          <w:rFonts w:ascii="Times New Roman" w:hAnsi="Times New Roman" w:cs="Times New Roman"/>
          <w:sz w:val="24"/>
          <w:szCs w:val="24"/>
        </w:rPr>
        <w:t xml:space="preserve">  So, equation (</w:t>
      </w:r>
      <w:r w:rsidR="00D15AC8">
        <w:rPr>
          <w:rFonts w:ascii="Times New Roman" w:hAnsi="Times New Roman" w:cs="Times New Roman"/>
          <w:sz w:val="24"/>
          <w:szCs w:val="24"/>
        </w:rPr>
        <w:t>2</w:t>
      </w:r>
      <w:r w:rsidR="002032D1">
        <w:rPr>
          <w:rFonts w:ascii="Times New Roman" w:hAnsi="Times New Roman" w:cs="Times New Roman"/>
          <w:sz w:val="24"/>
          <w:szCs w:val="24"/>
        </w:rPr>
        <w:t xml:space="preserve">) is </w:t>
      </w:r>
      <w:r w:rsidR="007D42F5">
        <w:rPr>
          <w:rFonts w:ascii="Times New Roman" w:hAnsi="Times New Roman" w:cs="Times New Roman"/>
          <w:sz w:val="24"/>
          <w:szCs w:val="24"/>
        </w:rPr>
        <w:t xml:space="preserve">a consequence of the </w:t>
      </w:r>
      <w:r w:rsidR="002032D1">
        <w:rPr>
          <w:rFonts w:ascii="Times New Roman" w:hAnsi="Times New Roman" w:cs="Times New Roman"/>
          <w:sz w:val="24"/>
          <w:szCs w:val="24"/>
        </w:rPr>
        <w:t xml:space="preserve">equilibrium condition.  </w:t>
      </w:r>
      <w:r w:rsidR="007C2B22">
        <w:rPr>
          <w:rFonts w:ascii="Times New Roman" w:hAnsi="Times New Roman" w:cs="Times New Roman"/>
          <w:sz w:val="24"/>
          <w:szCs w:val="24"/>
        </w:rPr>
        <w:t xml:space="preserve">However, if Ainsworth et al </w:t>
      </w:r>
      <w:r w:rsidR="00585BB3">
        <w:rPr>
          <w:rFonts w:ascii="Times New Roman" w:hAnsi="Times New Roman" w:cs="Times New Roman"/>
          <w:sz w:val="24"/>
          <w:szCs w:val="24"/>
        </w:rPr>
        <w:t xml:space="preserve">(2015) </w:t>
      </w:r>
      <w:r w:rsidR="007C2B22">
        <w:rPr>
          <w:rFonts w:ascii="Times New Roman" w:hAnsi="Times New Roman" w:cs="Times New Roman"/>
          <w:sz w:val="24"/>
          <w:szCs w:val="24"/>
        </w:rPr>
        <w:t>are simply questioning where the equilibrium condition arises in the derivation of these aggregation models, it is simply a request for clarification rather than a c</w:t>
      </w:r>
      <w:r w:rsidR="00CB4E46">
        <w:rPr>
          <w:rFonts w:ascii="Times New Roman" w:hAnsi="Times New Roman" w:cs="Times New Roman"/>
          <w:sz w:val="24"/>
          <w:szCs w:val="24"/>
        </w:rPr>
        <w:t xml:space="preserve">riticism of the approach itself.  So, </w:t>
      </w:r>
      <w:r w:rsidR="001B5188">
        <w:rPr>
          <w:rFonts w:ascii="Times New Roman" w:hAnsi="Times New Roman" w:cs="Times New Roman"/>
          <w:sz w:val="24"/>
          <w:szCs w:val="24"/>
        </w:rPr>
        <w:t xml:space="preserve">again, </w:t>
      </w:r>
      <w:r w:rsidR="00CB4E46">
        <w:rPr>
          <w:rFonts w:ascii="Times New Roman" w:hAnsi="Times New Roman" w:cs="Times New Roman"/>
          <w:sz w:val="24"/>
          <w:szCs w:val="24"/>
        </w:rPr>
        <w:t xml:space="preserve">their concern </w:t>
      </w:r>
      <w:r w:rsidR="00A907FA">
        <w:rPr>
          <w:rFonts w:ascii="Times New Roman" w:hAnsi="Times New Roman" w:cs="Times New Roman"/>
          <w:sz w:val="24"/>
          <w:szCs w:val="24"/>
          <w:u w:val="single"/>
        </w:rPr>
        <w:t>is presumably</w:t>
      </w:r>
      <w:r w:rsidR="00CB4E46">
        <w:rPr>
          <w:rFonts w:ascii="Times New Roman" w:hAnsi="Times New Roman" w:cs="Times New Roman"/>
          <w:sz w:val="24"/>
          <w:szCs w:val="24"/>
        </w:rPr>
        <w:t xml:space="preserve"> otherwise.</w:t>
      </w:r>
    </w:p>
    <w:p w:rsidR="00CE57D9" w:rsidRDefault="00CE57D9" w:rsidP="00122250">
      <w:pPr>
        <w:pStyle w:val="ListParagraph"/>
        <w:spacing w:after="0" w:line="360" w:lineRule="auto"/>
        <w:ind w:left="0"/>
        <w:jc w:val="both"/>
        <w:rPr>
          <w:rFonts w:ascii="Times New Roman" w:hAnsi="Times New Roman" w:cs="Times New Roman"/>
          <w:sz w:val="24"/>
          <w:szCs w:val="24"/>
        </w:rPr>
      </w:pPr>
    </w:p>
    <w:p w:rsidR="00CE57D9" w:rsidRDefault="002C0D3E" w:rsidP="00122250">
      <w:pPr>
        <w:pStyle w:val="ListParagraph"/>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lastRenderedPageBreak/>
        <w:t xml:space="preserve">Alternatively, </w:t>
      </w:r>
      <w:r w:rsidR="007D42F5">
        <w:rPr>
          <w:rFonts w:ascii="Times New Roman" w:hAnsi="Times New Roman" w:cs="Times New Roman"/>
          <w:sz w:val="24"/>
          <w:szCs w:val="24"/>
        </w:rPr>
        <w:t xml:space="preserve">since </w:t>
      </w:r>
      <w:r w:rsidR="002032D1">
        <w:rPr>
          <w:rFonts w:ascii="Times New Roman" w:hAnsi="Times New Roman" w:cs="Times New Roman"/>
          <w:sz w:val="24"/>
          <w:szCs w:val="24"/>
        </w:rPr>
        <w:t xml:space="preserve">Ainsworth et </w:t>
      </w:r>
      <w:r w:rsidR="007D42F5">
        <w:rPr>
          <w:rFonts w:ascii="Times New Roman" w:hAnsi="Times New Roman" w:cs="Times New Roman"/>
          <w:sz w:val="24"/>
          <w:szCs w:val="24"/>
        </w:rPr>
        <w:t xml:space="preserve">al </w:t>
      </w:r>
      <w:r w:rsidR="002032D1">
        <w:rPr>
          <w:rFonts w:ascii="Times New Roman" w:hAnsi="Times New Roman" w:cs="Times New Roman"/>
          <w:sz w:val="24"/>
          <w:szCs w:val="24"/>
        </w:rPr>
        <w:t xml:space="preserve">(2015) </w:t>
      </w:r>
      <w:r w:rsidR="007D42F5">
        <w:rPr>
          <w:rFonts w:ascii="Times New Roman" w:hAnsi="Times New Roman" w:cs="Times New Roman"/>
          <w:sz w:val="24"/>
          <w:szCs w:val="24"/>
        </w:rPr>
        <w:t xml:space="preserve">contrast this aggregation approach with a “marginal investor” approach as shown in their Figure 3, Ainsworth et al’s (2015) </w:t>
      </w:r>
      <w:r w:rsidR="008B0DCE">
        <w:rPr>
          <w:rFonts w:ascii="Times New Roman" w:hAnsi="Times New Roman" w:cs="Times New Roman"/>
          <w:sz w:val="24"/>
          <w:szCs w:val="24"/>
        </w:rPr>
        <w:t xml:space="preserve">concern </w:t>
      </w:r>
      <w:r>
        <w:rPr>
          <w:rFonts w:ascii="Times New Roman" w:hAnsi="Times New Roman" w:cs="Times New Roman"/>
          <w:sz w:val="24"/>
          <w:szCs w:val="24"/>
        </w:rPr>
        <w:t xml:space="preserve">may instead be </w:t>
      </w:r>
      <w:r w:rsidR="00C048A8">
        <w:rPr>
          <w:rFonts w:ascii="Times New Roman" w:hAnsi="Times New Roman" w:cs="Times New Roman"/>
          <w:sz w:val="24"/>
          <w:szCs w:val="24"/>
        </w:rPr>
        <w:t xml:space="preserve">that this </w:t>
      </w:r>
      <w:r w:rsidR="00CE57D9">
        <w:rPr>
          <w:rFonts w:ascii="Times New Roman" w:hAnsi="Times New Roman" w:cs="Times New Roman"/>
          <w:sz w:val="24"/>
          <w:szCs w:val="24"/>
        </w:rPr>
        <w:t xml:space="preserve">aggregation approach </w:t>
      </w:r>
      <w:r>
        <w:rPr>
          <w:rFonts w:ascii="Times New Roman" w:hAnsi="Times New Roman" w:cs="Times New Roman"/>
          <w:sz w:val="24"/>
          <w:szCs w:val="24"/>
        </w:rPr>
        <w:t xml:space="preserve">does not </w:t>
      </w:r>
      <w:r w:rsidR="006A3CEE">
        <w:rPr>
          <w:rFonts w:ascii="Times New Roman" w:hAnsi="Times New Roman" w:cs="Times New Roman"/>
          <w:sz w:val="24"/>
          <w:szCs w:val="24"/>
        </w:rPr>
        <w:t xml:space="preserve">include a </w:t>
      </w:r>
      <w:r w:rsidR="000777E1">
        <w:rPr>
          <w:rFonts w:ascii="Times New Roman" w:hAnsi="Times New Roman" w:cs="Times New Roman"/>
          <w:sz w:val="24"/>
          <w:szCs w:val="24"/>
        </w:rPr>
        <w:t xml:space="preserve">graph of demand and supply at each possible level of expected return, as in their Figure 3.  However, the expected return in </w:t>
      </w:r>
      <w:r w:rsidR="00C048A8">
        <w:rPr>
          <w:rFonts w:ascii="Times New Roman" w:hAnsi="Times New Roman" w:cs="Times New Roman"/>
          <w:sz w:val="24"/>
          <w:szCs w:val="24"/>
        </w:rPr>
        <w:t xml:space="preserve">Figure 3 </w:t>
      </w:r>
      <w:r w:rsidR="000777E1">
        <w:rPr>
          <w:rFonts w:ascii="Times New Roman" w:hAnsi="Times New Roman" w:cs="Times New Roman"/>
          <w:sz w:val="24"/>
          <w:szCs w:val="24"/>
        </w:rPr>
        <w:t>is for the market portfolio</w:t>
      </w:r>
      <w:r w:rsidR="00A508CD">
        <w:rPr>
          <w:rFonts w:ascii="Times New Roman" w:hAnsi="Times New Roman" w:cs="Times New Roman"/>
          <w:sz w:val="24"/>
          <w:szCs w:val="24"/>
        </w:rPr>
        <w:t xml:space="preserve">, it </w:t>
      </w:r>
      <w:r w:rsidR="008F6BEB">
        <w:rPr>
          <w:rFonts w:ascii="Times New Roman" w:hAnsi="Times New Roman" w:cs="Times New Roman"/>
          <w:sz w:val="24"/>
          <w:szCs w:val="24"/>
        </w:rPr>
        <w:t>assumes that investors are risk neutral</w:t>
      </w:r>
      <w:r w:rsidR="00A508CD">
        <w:rPr>
          <w:rFonts w:ascii="Times New Roman" w:hAnsi="Times New Roman" w:cs="Times New Roman"/>
          <w:sz w:val="24"/>
          <w:szCs w:val="24"/>
        </w:rPr>
        <w:t>, and it treats the ERP and the dividend yield as exogenous</w:t>
      </w:r>
      <w:r w:rsidR="008F6BEB">
        <w:rPr>
          <w:rFonts w:ascii="Times New Roman" w:hAnsi="Times New Roman" w:cs="Times New Roman"/>
          <w:sz w:val="24"/>
          <w:szCs w:val="24"/>
        </w:rPr>
        <w:t xml:space="preserve">.  By contrast, </w:t>
      </w:r>
      <w:r w:rsidR="000777E1">
        <w:rPr>
          <w:rFonts w:ascii="Times New Roman" w:hAnsi="Times New Roman" w:cs="Times New Roman"/>
          <w:sz w:val="24"/>
          <w:szCs w:val="24"/>
        </w:rPr>
        <w:t xml:space="preserve">equilibrium requires the matching of demand to supply for each asset.  Thus, one would require a figure of this </w:t>
      </w:r>
      <w:r w:rsidR="00F6267C">
        <w:rPr>
          <w:rFonts w:ascii="Times New Roman" w:hAnsi="Times New Roman" w:cs="Times New Roman"/>
          <w:sz w:val="24"/>
          <w:szCs w:val="24"/>
        </w:rPr>
        <w:t>kind</w:t>
      </w:r>
      <w:r w:rsidR="000777E1">
        <w:rPr>
          <w:rFonts w:ascii="Times New Roman" w:hAnsi="Times New Roman" w:cs="Times New Roman"/>
          <w:sz w:val="24"/>
          <w:szCs w:val="24"/>
        </w:rPr>
        <w:t xml:space="preserve"> for every asset, not simply for the market.  Furthermore, for any such asset, the aggregate demand would depend not only on the expected rate of return on that asset but the expected rates </w:t>
      </w:r>
      <w:r w:rsidR="006F3DC3">
        <w:rPr>
          <w:rFonts w:ascii="Times New Roman" w:hAnsi="Times New Roman" w:cs="Times New Roman"/>
          <w:sz w:val="24"/>
          <w:szCs w:val="24"/>
        </w:rPr>
        <w:t xml:space="preserve">of return </w:t>
      </w:r>
      <w:r w:rsidR="000777E1">
        <w:rPr>
          <w:rFonts w:ascii="Times New Roman" w:hAnsi="Times New Roman" w:cs="Times New Roman"/>
          <w:sz w:val="24"/>
          <w:szCs w:val="24"/>
        </w:rPr>
        <w:t>on all assets</w:t>
      </w:r>
      <w:r w:rsidR="008F6BEB">
        <w:rPr>
          <w:rFonts w:ascii="Times New Roman" w:hAnsi="Times New Roman" w:cs="Times New Roman"/>
          <w:sz w:val="24"/>
          <w:szCs w:val="24"/>
        </w:rPr>
        <w:t xml:space="preserve">.  In addition, investors are risk averse, and therefore the aggregate demand for any asset would also depend upon the </w:t>
      </w:r>
      <w:r w:rsidR="00F6267C">
        <w:rPr>
          <w:rFonts w:ascii="Times New Roman" w:hAnsi="Times New Roman" w:cs="Times New Roman"/>
          <w:sz w:val="24"/>
          <w:szCs w:val="24"/>
        </w:rPr>
        <w:t xml:space="preserve">covariance </w:t>
      </w:r>
      <w:r w:rsidR="008F6BEB">
        <w:rPr>
          <w:rFonts w:ascii="Times New Roman" w:hAnsi="Times New Roman" w:cs="Times New Roman"/>
          <w:sz w:val="24"/>
          <w:szCs w:val="24"/>
        </w:rPr>
        <w:t>matrix</w:t>
      </w:r>
      <w:r w:rsidR="00F6267C">
        <w:rPr>
          <w:rFonts w:ascii="Times New Roman" w:hAnsi="Times New Roman" w:cs="Times New Roman"/>
          <w:sz w:val="24"/>
          <w:szCs w:val="24"/>
        </w:rPr>
        <w:t xml:space="preserve"> and the utility functions of all investors.  This cannot be reduc</w:t>
      </w:r>
      <w:r w:rsidR="008F6BEB">
        <w:rPr>
          <w:rFonts w:ascii="Times New Roman" w:hAnsi="Times New Roman" w:cs="Times New Roman"/>
          <w:sz w:val="24"/>
          <w:szCs w:val="24"/>
        </w:rPr>
        <w:t>ed to a two-dimensional diagram</w:t>
      </w:r>
      <w:r w:rsidR="007D42F5">
        <w:rPr>
          <w:rFonts w:ascii="Times New Roman" w:hAnsi="Times New Roman" w:cs="Times New Roman"/>
          <w:sz w:val="24"/>
          <w:szCs w:val="24"/>
        </w:rPr>
        <w:t xml:space="preserve"> as in Figure 3</w:t>
      </w:r>
      <w:r w:rsidR="008F6BEB">
        <w:rPr>
          <w:rFonts w:ascii="Times New Roman" w:hAnsi="Times New Roman" w:cs="Times New Roman"/>
          <w:sz w:val="24"/>
          <w:szCs w:val="24"/>
        </w:rPr>
        <w:t xml:space="preserve">.  Even if it could, the utility functions chosen would be entirely speculative and therefore the exercise would serve </w:t>
      </w:r>
      <w:r w:rsidR="005A16F2" w:rsidRPr="00D60E41">
        <w:rPr>
          <w:rFonts w:ascii="Times New Roman" w:hAnsi="Times New Roman" w:cs="Times New Roman"/>
          <w:sz w:val="24"/>
          <w:szCs w:val="24"/>
        </w:rPr>
        <w:t xml:space="preserve">only to illustrate </w:t>
      </w:r>
      <w:r w:rsidR="00A508CD" w:rsidRPr="00D60E41">
        <w:rPr>
          <w:rFonts w:ascii="Times New Roman" w:hAnsi="Times New Roman" w:cs="Times New Roman"/>
          <w:sz w:val="24"/>
          <w:szCs w:val="24"/>
        </w:rPr>
        <w:t>one of the numerous possible scenarios</w:t>
      </w:r>
      <w:r w:rsidR="008F6BEB" w:rsidRPr="00D60E41">
        <w:rPr>
          <w:rFonts w:ascii="Times New Roman" w:hAnsi="Times New Roman" w:cs="Times New Roman"/>
          <w:sz w:val="24"/>
          <w:szCs w:val="24"/>
        </w:rPr>
        <w:t>.</w:t>
      </w:r>
      <w:r w:rsidR="00A508CD" w:rsidRPr="00D60E41">
        <w:rPr>
          <w:rFonts w:ascii="Times New Roman" w:hAnsi="Times New Roman" w:cs="Times New Roman"/>
          <w:sz w:val="24"/>
          <w:szCs w:val="24"/>
        </w:rPr>
        <w:t xml:space="preserve">  </w:t>
      </w:r>
      <w:r w:rsidR="007D42F5" w:rsidRPr="00D60E41">
        <w:rPr>
          <w:rFonts w:ascii="Times New Roman" w:hAnsi="Times New Roman" w:cs="Times New Roman"/>
          <w:sz w:val="24"/>
          <w:szCs w:val="24"/>
        </w:rPr>
        <w:t xml:space="preserve">Furthermore, the </w:t>
      </w:r>
      <w:r w:rsidR="00A508CD" w:rsidRPr="00D60E41">
        <w:rPr>
          <w:rFonts w:ascii="Times New Roman" w:hAnsi="Times New Roman" w:cs="Times New Roman"/>
          <w:sz w:val="24"/>
          <w:szCs w:val="24"/>
        </w:rPr>
        <w:t xml:space="preserve">ERP and the dividend yield are endogenous to the equilibrium process rather than exogenous.  So, Figure 3 </w:t>
      </w:r>
      <w:r w:rsidR="00922AB8" w:rsidRPr="00D60E41">
        <w:rPr>
          <w:rFonts w:ascii="Times New Roman" w:hAnsi="Times New Roman" w:cs="Times New Roman"/>
          <w:sz w:val="24"/>
          <w:szCs w:val="24"/>
        </w:rPr>
        <w:t>does not reflect</w:t>
      </w:r>
      <w:r w:rsidR="00A508CD" w:rsidRPr="00D60E41">
        <w:rPr>
          <w:rFonts w:ascii="Times New Roman" w:hAnsi="Times New Roman" w:cs="Times New Roman"/>
          <w:sz w:val="24"/>
          <w:szCs w:val="24"/>
        </w:rPr>
        <w:t xml:space="preserve"> the process by which equilibrium is attained</w:t>
      </w:r>
      <w:r w:rsidR="00CB74D4" w:rsidRPr="00D60E41">
        <w:rPr>
          <w:rFonts w:ascii="Times New Roman" w:hAnsi="Times New Roman" w:cs="Times New Roman"/>
          <w:sz w:val="24"/>
          <w:szCs w:val="24"/>
        </w:rPr>
        <w:t xml:space="preserve"> and is at best a highly simplified version of it</w:t>
      </w:r>
      <w:r w:rsidR="00A508CD" w:rsidRPr="00D60E41">
        <w:rPr>
          <w:rFonts w:ascii="Times New Roman" w:hAnsi="Times New Roman" w:cs="Times New Roman"/>
          <w:sz w:val="24"/>
          <w:szCs w:val="24"/>
        </w:rPr>
        <w:t>.</w:t>
      </w:r>
      <w:r w:rsidR="002714C4">
        <w:rPr>
          <w:rFonts w:ascii="Times New Roman" w:hAnsi="Times New Roman" w:cs="Times New Roman"/>
          <w:sz w:val="24"/>
          <w:szCs w:val="24"/>
        </w:rPr>
        <w:t xml:space="preserve">  </w:t>
      </w:r>
      <w:r w:rsidR="008078F3">
        <w:rPr>
          <w:rFonts w:ascii="Times New Roman" w:hAnsi="Times New Roman" w:cs="Times New Roman"/>
          <w:sz w:val="24"/>
          <w:szCs w:val="24"/>
        </w:rPr>
        <w:t>The actual process by which equilibrium would be att</w:t>
      </w:r>
      <w:r w:rsidR="006F3DC3">
        <w:rPr>
          <w:rFonts w:ascii="Times New Roman" w:hAnsi="Times New Roman" w:cs="Times New Roman"/>
          <w:sz w:val="24"/>
          <w:szCs w:val="24"/>
        </w:rPr>
        <w:t>ained has been provided earlier.  So, again, nothing here constitutes a criticism of the aggregation approach</w:t>
      </w:r>
      <w:r w:rsidR="008C2E4F">
        <w:rPr>
          <w:rFonts w:ascii="Times New Roman" w:hAnsi="Times New Roman" w:cs="Times New Roman"/>
          <w:sz w:val="24"/>
          <w:szCs w:val="24"/>
        </w:rPr>
        <w:t xml:space="preserve">.  In summary, I cannot discern any criticism of the aggregation approach </w:t>
      </w:r>
      <w:r w:rsidR="008F3969">
        <w:rPr>
          <w:rFonts w:ascii="Times New Roman" w:hAnsi="Times New Roman" w:cs="Times New Roman"/>
          <w:sz w:val="24"/>
          <w:szCs w:val="24"/>
        </w:rPr>
        <w:t xml:space="preserve">resulting from </w:t>
      </w:r>
      <w:r w:rsidR="008C2E4F">
        <w:rPr>
          <w:rFonts w:ascii="Times New Roman" w:hAnsi="Times New Roman" w:cs="Times New Roman"/>
          <w:sz w:val="24"/>
          <w:szCs w:val="24"/>
        </w:rPr>
        <w:t xml:space="preserve">Ainsworth et al’s </w:t>
      </w:r>
      <w:r w:rsidR="006A3CEE">
        <w:rPr>
          <w:rFonts w:ascii="Times New Roman" w:hAnsi="Times New Roman" w:cs="Times New Roman"/>
          <w:sz w:val="24"/>
          <w:szCs w:val="24"/>
        </w:rPr>
        <w:t xml:space="preserve">(2015, page 14) </w:t>
      </w:r>
      <w:r w:rsidR="008C2E4F">
        <w:rPr>
          <w:rFonts w:ascii="Times New Roman" w:hAnsi="Times New Roman" w:cs="Times New Roman"/>
          <w:sz w:val="24"/>
          <w:szCs w:val="24"/>
        </w:rPr>
        <w:t>claim that this approach assumes that investors have found their equilibrium position and thus does not directly address how the market equilibrium emerges.</w:t>
      </w:r>
    </w:p>
    <w:p w:rsidR="00222E18" w:rsidRDefault="00222E18" w:rsidP="00122250">
      <w:pPr>
        <w:pStyle w:val="ListParagraph"/>
        <w:spacing w:after="0" w:line="360" w:lineRule="auto"/>
        <w:ind w:left="0"/>
        <w:jc w:val="both"/>
        <w:rPr>
          <w:rFonts w:ascii="Times New Roman" w:hAnsi="Times New Roman" w:cs="Times New Roman"/>
          <w:sz w:val="24"/>
          <w:szCs w:val="24"/>
        </w:rPr>
      </w:pPr>
    </w:p>
    <w:p w:rsidR="00222E18" w:rsidRDefault="00882369" w:rsidP="00122250">
      <w:pPr>
        <w:pStyle w:val="ListParagraph"/>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Ainsworth et al’s (2015, page 14) second claim is that there is “no clear consensus on the appropriate approach”</w:t>
      </w:r>
      <w:r w:rsidR="008078F3">
        <w:rPr>
          <w:rFonts w:ascii="Times New Roman" w:hAnsi="Times New Roman" w:cs="Times New Roman"/>
          <w:sz w:val="24"/>
          <w:szCs w:val="24"/>
        </w:rPr>
        <w:t xml:space="preserve"> to pricing imputation credits</w:t>
      </w:r>
      <w:r>
        <w:rPr>
          <w:rFonts w:ascii="Times New Roman" w:hAnsi="Times New Roman" w:cs="Times New Roman"/>
          <w:sz w:val="24"/>
          <w:szCs w:val="24"/>
        </w:rPr>
        <w:t>, with the choices being the aggregation approach of Monkhouse</w:t>
      </w:r>
      <w:r w:rsidR="00F46205">
        <w:rPr>
          <w:rFonts w:ascii="Times New Roman" w:hAnsi="Times New Roman" w:cs="Times New Roman"/>
          <w:sz w:val="24"/>
          <w:szCs w:val="24"/>
        </w:rPr>
        <w:t xml:space="preserve"> (1993)</w:t>
      </w:r>
      <w:r>
        <w:rPr>
          <w:rFonts w:ascii="Times New Roman" w:hAnsi="Times New Roman" w:cs="Times New Roman"/>
          <w:sz w:val="24"/>
          <w:szCs w:val="24"/>
        </w:rPr>
        <w:t xml:space="preserve"> and Lally and van Zijl</w:t>
      </w:r>
      <w:r w:rsidR="00F46205">
        <w:rPr>
          <w:rFonts w:ascii="Times New Roman" w:hAnsi="Times New Roman" w:cs="Times New Roman"/>
          <w:sz w:val="24"/>
          <w:szCs w:val="24"/>
        </w:rPr>
        <w:t xml:space="preserve"> (2003) </w:t>
      </w:r>
      <w:r>
        <w:rPr>
          <w:rFonts w:ascii="Times New Roman" w:hAnsi="Times New Roman" w:cs="Times New Roman"/>
          <w:sz w:val="24"/>
          <w:szCs w:val="24"/>
        </w:rPr>
        <w:t xml:space="preserve">or the marginal investor approach (as in Figure 3).  </w:t>
      </w:r>
      <w:r w:rsidR="00CD7F01" w:rsidRPr="008A068C">
        <w:rPr>
          <w:rFonts w:ascii="Times New Roman" w:hAnsi="Times New Roman" w:cs="Times New Roman"/>
          <w:sz w:val="24"/>
          <w:szCs w:val="24"/>
        </w:rPr>
        <w:t>I do not think that this claim is correct</w:t>
      </w:r>
      <w:r w:rsidRPr="008A068C">
        <w:rPr>
          <w:rFonts w:ascii="Times New Roman" w:hAnsi="Times New Roman" w:cs="Times New Roman"/>
          <w:sz w:val="24"/>
          <w:szCs w:val="24"/>
        </w:rPr>
        <w:t xml:space="preserve">.  </w:t>
      </w:r>
      <w:r w:rsidR="00F46205" w:rsidRPr="008A068C">
        <w:rPr>
          <w:rFonts w:ascii="Times New Roman" w:hAnsi="Times New Roman" w:cs="Times New Roman"/>
          <w:sz w:val="24"/>
          <w:szCs w:val="24"/>
        </w:rPr>
        <w:t xml:space="preserve">As explained above, </w:t>
      </w:r>
      <w:r w:rsidRPr="008A068C">
        <w:rPr>
          <w:rFonts w:ascii="Times New Roman" w:hAnsi="Times New Roman" w:cs="Times New Roman"/>
          <w:sz w:val="24"/>
          <w:szCs w:val="24"/>
        </w:rPr>
        <w:t xml:space="preserve">Figure 3 is not an alternative to the aggregation approach but </w:t>
      </w:r>
      <w:r w:rsidR="00CB74D4" w:rsidRPr="008A068C">
        <w:rPr>
          <w:rFonts w:ascii="Times New Roman" w:hAnsi="Times New Roman" w:cs="Times New Roman"/>
          <w:sz w:val="24"/>
          <w:szCs w:val="24"/>
        </w:rPr>
        <w:t>at best a highly simplified version of that process</w:t>
      </w:r>
      <w:r w:rsidRPr="008A068C">
        <w:rPr>
          <w:rFonts w:ascii="Times New Roman" w:hAnsi="Times New Roman" w:cs="Times New Roman"/>
          <w:sz w:val="24"/>
          <w:szCs w:val="24"/>
        </w:rPr>
        <w:t>.</w:t>
      </w:r>
      <w:r w:rsidR="008078F3">
        <w:rPr>
          <w:rFonts w:ascii="Times New Roman" w:hAnsi="Times New Roman" w:cs="Times New Roman"/>
          <w:sz w:val="24"/>
          <w:szCs w:val="24"/>
        </w:rPr>
        <w:t xml:space="preserve">  Furthermore, since the AER uses the Officer (1994) model, as do all Australian regulators, the relevant approach </w:t>
      </w:r>
      <w:r w:rsidR="00F2721C">
        <w:rPr>
          <w:rFonts w:ascii="Times New Roman" w:hAnsi="Times New Roman" w:cs="Times New Roman"/>
          <w:sz w:val="24"/>
          <w:szCs w:val="24"/>
        </w:rPr>
        <w:t xml:space="preserve">to pricing imputation credits must be that </w:t>
      </w:r>
      <w:r w:rsidR="008078F3">
        <w:rPr>
          <w:rFonts w:ascii="Times New Roman" w:hAnsi="Times New Roman" w:cs="Times New Roman"/>
          <w:sz w:val="24"/>
          <w:szCs w:val="24"/>
        </w:rPr>
        <w:t xml:space="preserve">reflected in a rigorous derivation of the model, and this appears in Lally and van Zijl (2003).  Having chosen the Officer model, </w:t>
      </w:r>
      <w:r w:rsidR="00041084">
        <w:rPr>
          <w:rFonts w:ascii="Times New Roman" w:hAnsi="Times New Roman" w:cs="Times New Roman"/>
          <w:sz w:val="24"/>
          <w:szCs w:val="24"/>
        </w:rPr>
        <w:t xml:space="preserve">which is an “aggregation approach”, </w:t>
      </w:r>
      <w:r w:rsidR="008078F3">
        <w:rPr>
          <w:rFonts w:ascii="Times New Roman" w:hAnsi="Times New Roman" w:cs="Times New Roman"/>
          <w:sz w:val="24"/>
          <w:szCs w:val="24"/>
        </w:rPr>
        <w:t xml:space="preserve">the </w:t>
      </w:r>
      <w:r w:rsidR="00726A79">
        <w:rPr>
          <w:rFonts w:ascii="Times New Roman" w:hAnsi="Times New Roman" w:cs="Times New Roman"/>
          <w:sz w:val="24"/>
          <w:szCs w:val="24"/>
        </w:rPr>
        <w:t xml:space="preserve">regulator is </w:t>
      </w:r>
      <w:r w:rsidR="008078F3">
        <w:rPr>
          <w:rFonts w:ascii="Times New Roman" w:hAnsi="Times New Roman" w:cs="Times New Roman"/>
          <w:sz w:val="24"/>
          <w:szCs w:val="24"/>
        </w:rPr>
        <w:t xml:space="preserve">not free to then choose an </w:t>
      </w:r>
      <w:r w:rsidR="00191602">
        <w:rPr>
          <w:rFonts w:ascii="Times New Roman" w:hAnsi="Times New Roman" w:cs="Times New Roman"/>
          <w:sz w:val="24"/>
          <w:szCs w:val="24"/>
        </w:rPr>
        <w:t xml:space="preserve">alternative approach to </w:t>
      </w:r>
      <w:r w:rsidR="000D6730">
        <w:rPr>
          <w:rFonts w:ascii="Times New Roman" w:hAnsi="Times New Roman" w:cs="Times New Roman"/>
          <w:sz w:val="24"/>
          <w:szCs w:val="24"/>
        </w:rPr>
        <w:t>pricing imputation credits.</w:t>
      </w:r>
    </w:p>
    <w:p w:rsidR="00882369" w:rsidRDefault="00882369" w:rsidP="00122250">
      <w:pPr>
        <w:pStyle w:val="ListParagraph"/>
        <w:spacing w:after="0" w:line="360" w:lineRule="auto"/>
        <w:ind w:left="0"/>
        <w:jc w:val="both"/>
        <w:rPr>
          <w:rFonts w:ascii="Times New Roman" w:hAnsi="Times New Roman" w:cs="Times New Roman"/>
          <w:sz w:val="24"/>
          <w:szCs w:val="24"/>
        </w:rPr>
      </w:pPr>
    </w:p>
    <w:p w:rsidR="003A78DB" w:rsidRDefault="00882369" w:rsidP="00122250">
      <w:pPr>
        <w:pStyle w:val="ListParagraph"/>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lastRenderedPageBreak/>
        <w:t xml:space="preserve">Ainsworth et al’s (2015, page 14) third claim is that </w:t>
      </w:r>
      <w:r w:rsidR="00E7173A">
        <w:rPr>
          <w:rFonts w:ascii="Times New Roman" w:hAnsi="Times New Roman" w:cs="Times New Roman"/>
          <w:sz w:val="24"/>
          <w:szCs w:val="24"/>
        </w:rPr>
        <w:t xml:space="preserve">“both approaches are often applied as if tax were the only determinant of differences in demand”.  </w:t>
      </w:r>
      <w:r w:rsidR="00585BB3" w:rsidRPr="00367F54">
        <w:rPr>
          <w:rFonts w:ascii="Times New Roman" w:hAnsi="Times New Roman" w:cs="Times New Roman"/>
          <w:sz w:val="24"/>
          <w:szCs w:val="24"/>
        </w:rPr>
        <w:t>Again I do not think that this claim is correct</w:t>
      </w:r>
      <w:r w:rsidR="000D6730">
        <w:rPr>
          <w:rFonts w:ascii="Times New Roman" w:hAnsi="Times New Roman" w:cs="Times New Roman"/>
          <w:sz w:val="24"/>
          <w:szCs w:val="24"/>
        </w:rPr>
        <w:t xml:space="preserve"> </w:t>
      </w:r>
      <w:r w:rsidR="00E7173A">
        <w:rPr>
          <w:rFonts w:ascii="Times New Roman" w:hAnsi="Times New Roman" w:cs="Times New Roman"/>
          <w:sz w:val="24"/>
          <w:szCs w:val="24"/>
        </w:rPr>
        <w:t>in respect of the aggregation approach.</w:t>
      </w:r>
      <w:r w:rsidR="0049138F">
        <w:rPr>
          <w:rFonts w:ascii="Times New Roman" w:hAnsi="Times New Roman" w:cs="Times New Roman"/>
          <w:sz w:val="24"/>
          <w:szCs w:val="24"/>
        </w:rPr>
        <w:t xml:space="preserve">  As with all </w:t>
      </w:r>
      <w:r w:rsidR="000D6730">
        <w:rPr>
          <w:rFonts w:ascii="Times New Roman" w:hAnsi="Times New Roman" w:cs="Times New Roman"/>
          <w:sz w:val="24"/>
          <w:szCs w:val="24"/>
        </w:rPr>
        <w:t xml:space="preserve">versions of the CAPM, </w:t>
      </w:r>
      <w:r w:rsidR="0049138F">
        <w:rPr>
          <w:rFonts w:ascii="Times New Roman" w:hAnsi="Times New Roman" w:cs="Times New Roman"/>
          <w:sz w:val="24"/>
          <w:szCs w:val="24"/>
        </w:rPr>
        <w:t xml:space="preserve">risk aversion of investors is recognized and therefore the demand for an asset is affected by its volatility and </w:t>
      </w:r>
      <w:r w:rsidR="006B4ABD">
        <w:rPr>
          <w:rFonts w:ascii="Times New Roman" w:hAnsi="Times New Roman" w:cs="Times New Roman"/>
          <w:sz w:val="24"/>
          <w:szCs w:val="24"/>
        </w:rPr>
        <w:t xml:space="preserve">its </w:t>
      </w:r>
      <w:r w:rsidR="0049138F">
        <w:rPr>
          <w:rFonts w:ascii="Times New Roman" w:hAnsi="Times New Roman" w:cs="Times New Roman"/>
          <w:sz w:val="24"/>
          <w:szCs w:val="24"/>
        </w:rPr>
        <w:t xml:space="preserve">correlation with all other assets.  </w:t>
      </w:r>
      <w:r w:rsidR="00F46205">
        <w:rPr>
          <w:rFonts w:ascii="Times New Roman" w:hAnsi="Times New Roman" w:cs="Times New Roman"/>
          <w:sz w:val="24"/>
          <w:szCs w:val="24"/>
        </w:rPr>
        <w:t xml:space="preserve">This is reflected in the fact that all CAPMs contain the parameter beta, which is determined by the asset’s volatility and its correlations with other assets.  </w:t>
      </w:r>
    </w:p>
    <w:p w:rsidR="004517DC" w:rsidRDefault="004517DC" w:rsidP="00122250">
      <w:pPr>
        <w:pStyle w:val="ListParagraph"/>
        <w:spacing w:after="0" w:line="360" w:lineRule="auto"/>
        <w:ind w:left="0"/>
        <w:jc w:val="both"/>
        <w:rPr>
          <w:rFonts w:ascii="Times New Roman" w:hAnsi="Times New Roman" w:cs="Times New Roman"/>
          <w:sz w:val="24"/>
          <w:szCs w:val="24"/>
        </w:rPr>
      </w:pPr>
    </w:p>
    <w:p w:rsidR="003A78DB" w:rsidRDefault="003A78DB" w:rsidP="00122250">
      <w:pPr>
        <w:pStyle w:val="ListParagraph"/>
        <w:spacing w:after="0" w:line="360" w:lineRule="auto"/>
        <w:ind w:left="0"/>
        <w:jc w:val="both"/>
        <w:rPr>
          <w:rFonts w:ascii="Times New Roman" w:hAnsi="Times New Roman" w:cs="Times New Roman"/>
          <w:sz w:val="24"/>
          <w:szCs w:val="24"/>
        </w:rPr>
      </w:pPr>
      <w:r w:rsidRPr="00634FDC">
        <w:rPr>
          <w:rFonts w:ascii="Times New Roman" w:hAnsi="Times New Roman" w:cs="Times New Roman"/>
          <w:sz w:val="24"/>
          <w:szCs w:val="24"/>
        </w:rPr>
        <w:t xml:space="preserve">In summary, </w:t>
      </w:r>
      <w:r w:rsidR="00C003E5" w:rsidRPr="00634FDC">
        <w:rPr>
          <w:rFonts w:ascii="Times New Roman" w:hAnsi="Times New Roman" w:cs="Times New Roman"/>
          <w:sz w:val="24"/>
          <w:szCs w:val="24"/>
        </w:rPr>
        <w:t xml:space="preserve">I do not think that there is anything in the analysis by </w:t>
      </w:r>
      <w:r w:rsidRPr="00634FDC">
        <w:rPr>
          <w:rFonts w:ascii="Times New Roman" w:hAnsi="Times New Roman" w:cs="Times New Roman"/>
          <w:sz w:val="24"/>
          <w:szCs w:val="24"/>
        </w:rPr>
        <w:t xml:space="preserve">Ainsworth et al (2015, page 14) </w:t>
      </w:r>
      <w:r w:rsidR="00C003E5" w:rsidRPr="00634FDC">
        <w:rPr>
          <w:rFonts w:ascii="Times New Roman" w:hAnsi="Times New Roman" w:cs="Times New Roman"/>
          <w:sz w:val="24"/>
          <w:szCs w:val="24"/>
        </w:rPr>
        <w:t xml:space="preserve">that would </w:t>
      </w:r>
      <w:r w:rsidR="00BB6FC2" w:rsidRPr="00634FDC">
        <w:rPr>
          <w:rFonts w:ascii="Times New Roman" w:hAnsi="Times New Roman" w:cs="Times New Roman"/>
          <w:sz w:val="24"/>
          <w:szCs w:val="24"/>
        </w:rPr>
        <w:t>support Frontier’s claim that the aggregation approach is “inconsistent with standard economic concepts of equilibrium”.</w:t>
      </w:r>
      <w:r w:rsidR="009E5DAB" w:rsidRPr="00634FDC">
        <w:rPr>
          <w:rFonts w:ascii="Times New Roman" w:hAnsi="Times New Roman" w:cs="Times New Roman"/>
          <w:sz w:val="24"/>
          <w:szCs w:val="24"/>
        </w:rPr>
        <w:t xml:space="preserve">  Furthermore, it would be remarkable if this were the case because the “aggregation approach” is the CAPM and the CAPM is the standard equilibrium economic model for pricing financial assets.</w:t>
      </w:r>
      <w:r>
        <w:rPr>
          <w:rFonts w:ascii="Times New Roman" w:hAnsi="Times New Roman" w:cs="Times New Roman"/>
          <w:sz w:val="24"/>
          <w:szCs w:val="24"/>
        </w:rPr>
        <w:t xml:space="preserve">  </w:t>
      </w:r>
      <w:r w:rsidR="00BF500B">
        <w:rPr>
          <w:rFonts w:ascii="Times New Roman" w:hAnsi="Times New Roman" w:cs="Times New Roman"/>
          <w:sz w:val="24"/>
          <w:szCs w:val="24"/>
        </w:rPr>
        <w:t>Frontier (2016b</w:t>
      </w:r>
      <w:r>
        <w:rPr>
          <w:rFonts w:ascii="Times New Roman" w:hAnsi="Times New Roman" w:cs="Times New Roman"/>
          <w:sz w:val="24"/>
          <w:szCs w:val="24"/>
        </w:rPr>
        <w:t>, paras</w:t>
      </w:r>
      <w:r w:rsidR="003320CA">
        <w:rPr>
          <w:rFonts w:ascii="Times New Roman" w:hAnsi="Times New Roman" w:cs="Times New Roman"/>
          <w:sz w:val="24"/>
          <w:szCs w:val="24"/>
        </w:rPr>
        <w:t xml:space="preserve"> 82-84) adds the claim that the “AER’s aggregation approach simply counts up the number of credits that are distributed to domestic investors and assumes that those investors value all credits at the full face amount and that this is reflected in the equilibrium share price and cost of capital”.  The AER adopts the Officer (1994) CAPM, as do all Australian regulators.  Having made that choice, the AER must then adopt definitions for parameters within that model in accordance with a rigorous derivation of the model.  This leads to </w:t>
      </w:r>
      <w:r w:rsidR="00EF05D4">
        <w:rPr>
          <w:rFonts w:ascii="Times New Roman" w:hAnsi="Times New Roman" w:cs="Times New Roman"/>
          <w:sz w:val="24"/>
          <w:szCs w:val="24"/>
        </w:rPr>
        <w:t xml:space="preserve">the utilization rate being </w:t>
      </w:r>
      <w:r w:rsidR="003320CA">
        <w:rPr>
          <w:rFonts w:ascii="Times New Roman" w:hAnsi="Times New Roman" w:cs="Times New Roman"/>
          <w:sz w:val="24"/>
          <w:szCs w:val="24"/>
        </w:rPr>
        <w:t xml:space="preserve">defined as </w:t>
      </w:r>
      <w:r w:rsidR="00265A11">
        <w:rPr>
          <w:rFonts w:ascii="Times New Roman" w:hAnsi="Times New Roman" w:cs="Times New Roman"/>
          <w:sz w:val="24"/>
          <w:szCs w:val="24"/>
        </w:rPr>
        <w:t xml:space="preserve">the </w:t>
      </w:r>
      <w:r w:rsidR="003320CA">
        <w:rPr>
          <w:rFonts w:ascii="Times New Roman" w:hAnsi="Times New Roman" w:cs="Times New Roman"/>
          <w:sz w:val="24"/>
          <w:szCs w:val="24"/>
        </w:rPr>
        <w:t>weighted average over investors’ utilization rates for imputation credits.</w:t>
      </w:r>
      <w:r w:rsidR="00A24BC2">
        <w:rPr>
          <w:rFonts w:ascii="Times New Roman" w:hAnsi="Times New Roman" w:cs="Times New Roman"/>
          <w:sz w:val="24"/>
          <w:szCs w:val="24"/>
        </w:rPr>
        <w:t xml:space="preserve">  Consistent with Australian tax law, the AER (sensibly) adopts utilization rates of 1 and 0 for local and foreign investors respectively.  </w:t>
      </w:r>
      <w:r w:rsidR="00EF05D4">
        <w:rPr>
          <w:rFonts w:ascii="Times New Roman" w:hAnsi="Times New Roman" w:cs="Times New Roman"/>
          <w:sz w:val="24"/>
          <w:szCs w:val="24"/>
        </w:rPr>
        <w:t xml:space="preserve">Frontier’s critique is clearly </w:t>
      </w:r>
      <w:r w:rsidR="001047EB">
        <w:rPr>
          <w:rFonts w:ascii="Times New Roman" w:hAnsi="Times New Roman" w:cs="Times New Roman"/>
          <w:sz w:val="24"/>
          <w:szCs w:val="24"/>
        </w:rPr>
        <w:t xml:space="preserve">referring to this </w:t>
      </w:r>
      <w:r w:rsidR="00A24BC2">
        <w:rPr>
          <w:rFonts w:ascii="Times New Roman" w:hAnsi="Times New Roman" w:cs="Times New Roman"/>
          <w:sz w:val="24"/>
          <w:szCs w:val="24"/>
        </w:rPr>
        <w:t>process, but fails to identify which part of it they object to and why.</w:t>
      </w:r>
      <w:r w:rsidR="003B38D8">
        <w:rPr>
          <w:rFonts w:ascii="Times New Roman" w:hAnsi="Times New Roman" w:cs="Times New Roman"/>
          <w:sz w:val="24"/>
          <w:szCs w:val="24"/>
        </w:rPr>
        <w:t xml:space="preserve">  Presumably, </w:t>
      </w:r>
      <w:r w:rsidR="00EF05D4">
        <w:rPr>
          <w:rFonts w:ascii="Times New Roman" w:hAnsi="Times New Roman" w:cs="Times New Roman"/>
          <w:sz w:val="24"/>
          <w:szCs w:val="24"/>
        </w:rPr>
        <w:t xml:space="preserve">their </w:t>
      </w:r>
      <w:r w:rsidR="003B38D8">
        <w:rPr>
          <w:rFonts w:ascii="Times New Roman" w:hAnsi="Times New Roman" w:cs="Times New Roman"/>
          <w:sz w:val="24"/>
          <w:szCs w:val="24"/>
        </w:rPr>
        <w:t>objection is to defining a parameter within a model (</w:t>
      </w:r>
      <w:r w:rsidR="00EF05D4">
        <w:rPr>
          <w:rFonts w:ascii="Times New Roman" w:hAnsi="Times New Roman" w:cs="Times New Roman"/>
          <w:sz w:val="24"/>
          <w:szCs w:val="24"/>
        </w:rPr>
        <w:t>the utilization rate</w:t>
      </w:r>
      <w:r w:rsidR="003B38D8">
        <w:rPr>
          <w:rFonts w:ascii="Times New Roman" w:hAnsi="Times New Roman" w:cs="Times New Roman"/>
          <w:sz w:val="24"/>
          <w:szCs w:val="24"/>
        </w:rPr>
        <w:t xml:space="preserve">) in accordance with a rigorous derivation of the model, </w:t>
      </w:r>
      <w:r w:rsidR="001047EB">
        <w:rPr>
          <w:rFonts w:ascii="Times New Roman" w:hAnsi="Times New Roman" w:cs="Times New Roman"/>
          <w:sz w:val="24"/>
          <w:szCs w:val="24"/>
        </w:rPr>
        <w:t>but such an ob</w:t>
      </w:r>
      <w:r w:rsidR="00EF05D4">
        <w:rPr>
          <w:rFonts w:ascii="Times New Roman" w:hAnsi="Times New Roman" w:cs="Times New Roman"/>
          <w:sz w:val="24"/>
          <w:szCs w:val="24"/>
        </w:rPr>
        <w:t>jection has no merit.  Parameters must be defined in accordance with a proof of the model; they cannot be defined according to the whims or the intuition of an observer.</w:t>
      </w:r>
    </w:p>
    <w:p w:rsidR="00E75CC4" w:rsidRDefault="00E75CC4" w:rsidP="00122250">
      <w:pPr>
        <w:pStyle w:val="ListParagraph"/>
        <w:spacing w:after="0" w:line="360" w:lineRule="auto"/>
        <w:ind w:left="0"/>
        <w:jc w:val="both"/>
        <w:rPr>
          <w:rFonts w:ascii="Times New Roman" w:hAnsi="Times New Roman" w:cs="Times New Roman"/>
          <w:sz w:val="24"/>
          <w:szCs w:val="24"/>
        </w:rPr>
      </w:pPr>
    </w:p>
    <w:p w:rsidR="000E7349" w:rsidRDefault="00640E8F" w:rsidP="00122250">
      <w:pPr>
        <w:pStyle w:val="ListParagraph"/>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Frontier (20</w:t>
      </w:r>
      <w:r w:rsidR="00BF500B">
        <w:rPr>
          <w:rFonts w:ascii="Times New Roman" w:hAnsi="Times New Roman" w:cs="Times New Roman"/>
          <w:sz w:val="24"/>
          <w:szCs w:val="24"/>
        </w:rPr>
        <w:t>16b</w:t>
      </w:r>
      <w:r>
        <w:rPr>
          <w:rFonts w:ascii="Times New Roman" w:hAnsi="Times New Roman" w:cs="Times New Roman"/>
          <w:sz w:val="24"/>
          <w:szCs w:val="24"/>
        </w:rPr>
        <w:t xml:space="preserve">, paras 91-93) argues that </w:t>
      </w:r>
      <w:r w:rsidR="00B060B0">
        <w:rPr>
          <w:rFonts w:ascii="Times New Roman" w:hAnsi="Times New Roman" w:cs="Times New Roman"/>
          <w:sz w:val="24"/>
          <w:szCs w:val="24"/>
        </w:rPr>
        <w:t xml:space="preserve">the AER’s practice of </w:t>
      </w:r>
      <w:r>
        <w:rPr>
          <w:rFonts w:ascii="Times New Roman" w:hAnsi="Times New Roman" w:cs="Times New Roman"/>
          <w:sz w:val="24"/>
          <w:szCs w:val="24"/>
        </w:rPr>
        <w:t xml:space="preserve">dividing the estimated coefficient on </w:t>
      </w:r>
      <w:r w:rsidR="0032366D">
        <w:rPr>
          <w:rFonts w:ascii="Times New Roman" w:hAnsi="Times New Roman" w:cs="Times New Roman"/>
          <w:sz w:val="24"/>
          <w:szCs w:val="24"/>
        </w:rPr>
        <w:t xml:space="preserve">the imputation </w:t>
      </w:r>
      <w:r>
        <w:rPr>
          <w:rFonts w:ascii="Times New Roman" w:hAnsi="Times New Roman" w:cs="Times New Roman"/>
          <w:sz w:val="24"/>
          <w:szCs w:val="24"/>
        </w:rPr>
        <w:t xml:space="preserve">credits in a </w:t>
      </w:r>
      <w:r w:rsidR="00F2721C">
        <w:rPr>
          <w:rFonts w:ascii="Times New Roman" w:hAnsi="Times New Roman" w:cs="Times New Roman"/>
          <w:sz w:val="24"/>
          <w:szCs w:val="24"/>
        </w:rPr>
        <w:t xml:space="preserve">DDO study by </w:t>
      </w:r>
      <w:r>
        <w:rPr>
          <w:rFonts w:ascii="Times New Roman" w:hAnsi="Times New Roman" w:cs="Times New Roman"/>
          <w:sz w:val="24"/>
          <w:szCs w:val="24"/>
        </w:rPr>
        <w:t xml:space="preserve">the estimated coefficient on </w:t>
      </w:r>
      <w:r w:rsidR="003B38D8">
        <w:rPr>
          <w:rFonts w:ascii="Times New Roman" w:hAnsi="Times New Roman" w:cs="Times New Roman"/>
          <w:sz w:val="24"/>
          <w:szCs w:val="24"/>
        </w:rPr>
        <w:t xml:space="preserve">the </w:t>
      </w:r>
      <w:r>
        <w:rPr>
          <w:rFonts w:ascii="Times New Roman" w:hAnsi="Times New Roman" w:cs="Times New Roman"/>
          <w:sz w:val="24"/>
          <w:szCs w:val="24"/>
        </w:rPr>
        <w:t>cash dividend, to produce an estimate of the utilization rate on credits</w:t>
      </w:r>
      <w:r w:rsidR="0049593C">
        <w:rPr>
          <w:rFonts w:ascii="Times New Roman" w:hAnsi="Times New Roman" w:cs="Times New Roman"/>
          <w:sz w:val="24"/>
          <w:szCs w:val="24"/>
        </w:rPr>
        <w:t xml:space="preserve">, is unwarranted.  In particular, </w:t>
      </w:r>
      <w:r w:rsidR="004D62FA">
        <w:rPr>
          <w:rFonts w:ascii="Times New Roman" w:hAnsi="Times New Roman" w:cs="Times New Roman"/>
          <w:sz w:val="24"/>
          <w:szCs w:val="24"/>
        </w:rPr>
        <w:t xml:space="preserve">they argue that </w:t>
      </w:r>
      <w:r w:rsidR="0049593C">
        <w:rPr>
          <w:rFonts w:ascii="Times New Roman" w:hAnsi="Times New Roman" w:cs="Times New Roman"/>
          <w:sz w:val="24"/>
          <w:szCs w:val="24"/>
        </w:rPr>
        <w:t xml:space="preserve">if the </w:t>
      </w:r>
      <w:r w:rsidR="00A042E3">
        <w:rPr>
          <w:rFonts w:ascii="Times New Roman" w:hAnsi="Times New Roman" w:cs="Times New Roman"/>
          <w:sz w:val="24"/>
          <w:szCs w:val="24"/>
        </w:rPr>
        <w:t xml:space="preserve">estimated </w:t>
      </w:r>
      <w:r w:rsidR="0049593C">
        <w:rPr>
          <w:rFonts w:ascii="Times New Roman" w:hAnsi="Times New Roman" w:cs="Times New Roman"/>
          <w:sz w:val="24"/>
          <w:szCs w:val="24"/>
        </w:rPr>
        <w:t xml:space="preserve">coefficient on cash dividends is less than 1, the effect of </w:t>
      </w:r>
      <w:r w:rsidR="00A042E3">
        <w:rPr>
          <w:rFonts w:ascii="Times New Roman" w:hAnsi="Times New Roman" w:cs="Times New Roman"/>
          <w:sz w:val="24"/>
          <w:szCs w:val="24"/>
        </w:rPr>
        <w:t xml:space="preserve">dividing this </w:t>
      </w:r>
      <w:r w:rsidR="003B38D8">
        <w:rPr>
          <w:rFonts w:ascii="Times New Roman" w:hAnsi="Times New Roman" w:cs="Times New Roman"/>
          <w:sz w:val="24"/>
          <w:szCs w:val="24"/>
        </w:rPr>
        <w:t xml:space="preserve">estimated coefficient </w:t>
      </w:r>
      <w:r w:rsidR="00A042E3">
        <w:rPr>
          <w:rFonts w:ascii="Times New Roman" w:hAnsi="Times New Roman" w:cs="Times New Roman"/>
          <w:sz w:val="24"/>
          <w:szCs w:val="24"/>
        </w:rPr>
        <w:t xml:space="preserve">into the estimated coefficient on the credits is to </w:t>
      </w:r>
      <w:r w:rsidR="0049593C">
        <w:rPr>
          <w:rFonts w:ascii="Times New Roman" w:hAnsi="Times New Roman" w:cs="Times New Roman"/>
          <w:sz w:val="24"/>
          <w:szCs w:val="24"/>
        </w:rPr>
        <w:t xml:space="preserve">increase the estimate of the utilization rate, which reduces the allowed revenues under the </w:t>
      </w:r>
      <w:r w:rsidR="0049593C">
        <w:rPr>
          <w:rFonts w:ascii="Times New Roman" w:hAnsi="Times New Roman" w:cs="Times New Roman"/>
          <w:sz w:val="24"/>
          <w:szCs w:val="24"/>
        </w:rPr>
        <w:lastRenderedPageBreak/>
        <w:t>Officer model.  By contrast, if the coefficient on cash dividends is less than 1, this implies that shareholders do not value dividends as hig</w:t>
      </w:r>
      <w:r w:rsidR="000C7B68">
        <w:rPr>
          <w:rFonts w:ascii="Times New Roman" w:hAnsi="Times New Roman" w:cs="Times New Roman"/>
          <w:sz w:val="24"/>
          <w:szCs w:val="24"/>
        </w:rPr>
        <w:t xml:space="preserve">hly and would therefore require higher revenues.  </w:t>
      </w:r>
      <w:r w:rsidR="00F02FC7">
        <w:rPr>
          <w:rFonts w:ascii="Times New Roman" w:hAnsi="Times New Roman" w:cs="Times New Roman"/>
          <w:sz w:val="24"/>
          <w:szCs w:val="24"/>
        </w:rPr>
        <w:t xml:space="preserve">So, the AER’s behavior </w:t>
      </w:r>
      <w:r w:rsidR="00B060B0">
        <w:rPr>
          <w:rFonts w:ascii="Times New Roman" w:hAnsi="Times New Roman" w:cs="Times New Roman"/>
          <w:sz w:val="24"/>
          <w:szCs w:val="24"/>
        </w:rPr>
        <w:t xml:space="preserve">is in the </w:t>
      </w:r>
      <w:r w:rsidR="00F02FC7">
        <w:rPr>
          <w:rFonts w:ascii="Times New Roman" w:hAnsi="Times New Roman" w:cs="Times New Roman"/>
          <w:sz w:val="24"/>
          <w:szCs w:val="24"/>
        </w:rPr>
        <w:t xml:space="preserve">opposite direction to that required.  </w:t>
      </w:r>
      <w:r w:rsidR="003B38D8">
        <w:rPr>
          <w:rFonts w:ascii="Times New Roman" w:hAnsi="Times New Roman" w:cs="Times New Roman"/>
          <w:sz w:val="24"/>
          <w:szCs w:val="24"/>
        </w:rPr>
        <w:t xml:space="preserve">This </w:t>
      </w:r>
      <w:r w:rsidR="00A042E3">
        <w:rPr>
          <w:rFonts w:ascii="Times New Roman" w:hAnsi="Times New Roman" w:cs="Times New Roman"/>
          <w:sz w:val="24"/>
          <w:szCs w:val="24"/>
        </w:rPr>
        <w:t xml:space="preserve">argument is wrong.  </w:t>
      </w:r>
      <w:r w:rsidR="00F12608">
        <w:rPr>
          <w:rFonts w:ascii="Times New Roman" w:hAnsi="Times New Roman" w:cs="Times New Roman"/>
          <w:sz w:val="24"/>
          <w:szCs w:val="24"/>
        </w:rPr>
        <w:t>Using DDO studies to estimate the utilization rate</w:t>
      </w:r>
      <w:r w:rsidR="000E7349">
        <w:rPr>
          <w:rFonts w:ascii="Times New Roman" w:hAnsi="Times New Roman" w:cs="Times New Roman"/>
          <w:sz w:val="24"/>
          <w:szCs w:val="24"/>
        </w:rPr>
        <w:t xml:space="preserve"> </w:t>
      </w:r>
      <w:r w:rsidR="000E7349" w:rsidRPr="000E7349">
        <w:rPr>
          <w:rFonts w:ascii="Times New Roman" w:hAnsi="Times New Roman" w:cs="Times New Roman"/>
          <w:i/>
          <w:sz w:val="24"/>
          <w:szCs w:val="24"/>
        </w:rPr>
        <w:t>U</w:t>
      </w:r>
      <w:r w:rsidR="00F12608">
        <w:rPr>
          <w:rFonts w:ascii="Times New Roman" w:hAnsi="Times New Roman" w:cs="Times New Roman"/>
          <w:sz w:val="24"/>
          <w:szCs w:val="24"/>
        </w:rPr>
        <w:t xml:space="preserve"> </w:t>
      </w:r>
      <w:r w:rsidR="000E7349">
        <w:rPr>
          <w:rFonts w:ascii="Times New Roman" w:hAnsi="Times New Roman" w:cs="Times New Roman"/>
          <w:sz w:val="24"/>
          <w:szCs w:val="24"/>
        </w:rPr>
        <w:t xml:space="preserve">(the weighted average over investors’ utilization rates) </w:t>
      </w:r>
      <w:r w:rsidR="00F12608">
        <w:rPr>
          <w:rFonts w:ascii="Times New Roman" w:hAnsi="Times New Roman" w:cs="Times New Roman"/>
          <w:sz w:val="24"/>
          <w:szCs w:val="24"/>
        </w:rPr>
        <w:t xml:space="preserve">presumes that the expected </w:t>
      </w:r>
      <w:r w:rsidR="00265A11">
        <w:rPr>
          <w:rFonts w:ascii="Times New Roman" w:hAnsi="Times New Roman" w:cs="Times New Roman"/>
          <w:sz w:val="24"/>
          <w:szCs w:val="24"/>
        </w:rPr>
        <w:t xml:space="preserve">price change around ex-day </w:t>
      </w:r>
      <w:r w:rsidR="00F12608">
        <w:rPr>
          <w:rFonts w:ascii="Times New Roman" w:hAnsi="Times New Roman" w:cs="Times New Roman"/>
          <w:sz w:val="24"/>
          <w:szCs w:val="24"/>
        </w:rPr>
        <w:t>net of capital gains tax</w:t>
      </w:r>
      <w:r w:rsidR="00FE4642">
        <w:rPr>
          <w:rFonts w:ascii="Times New Roman" w:hAnsi="Times New Roman" w:cs="Times New Roman"/>
          <w:sz w:val="24"/>
          <w:szCs w:val="24"/>
        </w:rPr>
        <w:t xml:space="preserve"> </w:t>
      </w:r>
      <w:r w:rsidR="00C8378C">
        <w:rPr>
          <w:rFonts w:ascii="Times New Roman" w:hAnsi="Times New Roman" w:cs="Times New Roman"/>
          <w:sz w:val="24"/>
          <w:szCs w:val="24"/>
        </w:rPr>
        <w:t>(</w:t>
      </w:r>
      <w:r w:rsidR="00FE4642">
        <w:rPr>
          <w:rFonts w:ascii="Times New Roman" w:hAnsi="Times New Roman" w:cs="Times New Roman"/>
          <w:sz w:val="24"/>
          <w:szCs w:val="24"/>
        </w:rPr>
        <w:t xml:space="preserve">at rate </w:t>
      </w:r>
      <w:r w:rsidR="00FE4642" w:rsidRPr="00FE4642">
        <w:rPr>
          <w:rFonts w:ascii="Times New Roman" w:hAnsi="Times New Roman" w:cs="Times New Roman"/>
          <w:i/>
          <w:sz w:val="24"/>
          <w:szCs w:val="24"/>
        </w:rPr>
        <w:t>T</w:t>
      </w:r>
      <w:r w:rsidR="00FE4642" w:rsidRPr="00FE4642">
        <w:rPr>
          <w:rFonts w:ascii="Times New Roman" w:hAnsi="Times New Roman" w:cs="Times New Roman"/>
          <w:i/>
          <w:sz w:val="24"/>
          <w:szCs w:val="24"/>
          <w:vertAlign w:val="subscript"/>
        </w:rPr>
        <w:t>g</w:t>
      </w:r>
      <w:r w:rsidR="00C8378C">
        <w:rPr>
          <w:rFonts w:ascii="Times New Roman" w:hAnsi="Times New Roman" w:cs="Times New Roman"/>
          <w:sz w:val="24"/>
          <w:szCs w:val="24"/>
        </w:rPr>
        <w:t xml:space="preserve">) </w:t>
      </w:r>
      <w:r w:rsidR="00F12608">
        <w:rPr>
          <w:rFonts w:ascii="Times New Roman" w:hAnsi="Times New Roman" w:cs="Times New Roman"/>
          <w:sz w:val="24"/>
          <w:szCs w:val="24"/>
        </w:rPr>
        <w:t xml:space="preserve">is equal to the gross dividend (cash </w:t>
      </w:r>
      <w:r w:rsidR="00B060B0" w:rsidRPr="00B060B0">
        <w:rPr>
          <w:rFonts w:ascii="Times New Roman" w:hAnsi="Times New Roman" w:cs="Times New Roman"/>
          <w:i/>
          <w:sz w:val="24"/>
          <w:szCs w:val="24"/>
        </w:rPr>
        <w:t>D</w:t>
      </w:r>
      <w:r w:rsidR="00B060B0">
        <w:rPr>
          <w:rFonts w:ascii="Times New Roman" w:hAnsi="Times New Roman" w:cs="Times New Roman"/>
          <w:sz w:val="24"/>
          <w:szCs w:val="24"/>
        </w:rPr>
        <w:t xml:space="preserve"> </w:t>
      </w:r>
      <w:r w:rsidR="00F12608">
        <w:rPr>
          <w:rFonts w:ascii="Times New Roman" w:hAnsi="Times New Roman" w:cs="Times New Roman"/>
          <w:sz w:val="24"/>
          <w:szCs w:val="24"/>
        </w:rPr>
        <w:t xml:space="preserve">plus proportion </w:t>
      </w:r>
      <w:r w:rsidR="00F12608" w:rsidRPr="00F12608">
        <w:rPr>
          <w:rFonts w:ascii="Times New Roman" w:hAnsi="Times New Roman" w:cs="Times New Roman"/>
          <w:i/>
          <w:sz w:val="24"/>
          <w:szCs w:val="24"/>
        </w:rPr>
        <w:t>U</w:t>
      </w:r>
      <w:r w:rsidR="00F12608">
        <w:rPr>
          <w:rFonts w:ascii="Times New Roman" w:hAnsi="Times New Roman" w:cs="Times New Roman"/>
          <w:sz w:val="24"/>
          <w:szCs w:val="24"/>
        </w:rPr>
        <w:t xml:space="preserve"> of the imputation credits</w:t>
      </w:r>
      <w:r w:rsidR="00B060B0">
        <w:rPr>
          <w:rFonts w:ascii="Times New Roman" w:hAnsi="Times New Roman" w:cs="Times New Roman"/>
          <w:sz w:val="24"/>
          <w:szCs w:val="24"/>
        </w:rPr>
        <w:t xml:space="preserve"> </w:t>
      </w:r>
      <w:r w:rsidR="00B060B0" w:rsidRPr="00B060B0">
        <w:rPr>
          <w:rFonts w:ascii="Times New Roman" w:hAnsi="Times New Roman" w:cs="Times New Roman"/>
          <w:i/>
          <w:sz w:val="24"/>
          <w:szCs w:val="24"/>
        </w:rPr>
        <w:t>IC</w:t>
      </w:r>
      <w:r w:rsidR="00F12608">
        <w:rPr>
          <w:rFonts w:ascii="Times New Roman" w:hAnsi="Times New Roman" w:cs="Times New Roman"/>
          <w:sz w:val="24"/>
          <w:szCs w:val="24"/>
        </w:rPr>
        <w:t>) net of dividend tax</w:t>
      </w:r>
      <w:r w:rsidR="00FE4642">
        <w:rPr>
          <w:rFonts w:ascii="Times New Roman" w:hAnsi="Times New Roman" w:cs="Times New Roman"/>
          <w:sz w:val="24"/>
          <w:szCs w:val="24"/>
        </w:rPr>
        <w:t xml:space="preserve"> </w:t>
      </w:r>
      <w:r w:rsidR="00C8378C">
        <w:rPr>
          <w:rFonts w:ascii="Times New Roman" w:hAnsi="Times New Roman" w:cs="Times New Roman"/>
          <w:sz w:val="24"/>
          <w:szCs w:val="24"/>
        </w:rPr>
        <w:t>(</w:t>
      </w:r>
      <w:r w:rsidR="00FE4642">
        <w:rPr>
          <w:rFonts w:ascii="Times New Roman" w:hAnsi="Times New Roman" w:cs="Times New Roman"/>
          <w:sz w:val="24"/>
          <w:szCs w:val="24"/>
        </w:rPr>
        <w:t xml:space="preserve">at rate </w:t>
      </w:r>
      <w:r w:rsidR="00FE4642" w:rsidRPr="00FE4642">
        <w:rPr>
          <w:rFonts w:ascii="Times New Roman" w:hAnsi="Times New Roman" w:cs="Times New Roman"/>
          <w:i/>
          <w:sz w:val="24"/>
          <w:szCs w:val="24"/>
        </w:rPr>
        <w:t>T</w:t>
      </w:r>
      <w:r w:rsidR="00FE4642" w:rsidRPr="00FE4642">
        <w:rPr>
          <w:rFonts w:ascii="Times New Roman" w:hAnsi="Times New Roman" w:cs="Times New Roman"/>
          <w:i/>
          <w:sz w:val="24"/>
          <w:szCs w:val="24"/>
          <w:vertAlign w:val="subscript"/>
        </w:rPr>
        <w:t>d</w:t>
      </w:r>
      <w:r w:rsidR="00C8378C">
        <w:rPr>
          <w:rFonts w:ascii="Times New Roman" w:hAnsi="Times New Roman" w:cs="Times New Roman"/>
          <w:sz w:val="24"/>
          <w:szCs w:val="24"/>
        </w:rPr>
        <w:t>)</w:t>
      </w:r>
      <w:r w:rsidR="00F12608">
        <w:rPr>
          <w:rFonts w:ascii="Times New Roman" w:hAnsi="Times New Roman" w:cs="Times New Roman"/>
          <w:sz w:val="24"/>
          <w:szCs w:val="24"/>
        </w:rPr>
        <w:t>:</w:t>
      </w:r>
      <w:r w:rsidR="00D47AB7">
        <w:rPr>
          <w:rStyle w:val="FootnoteReference"/>
          <w:rFonts w:ascii="Times New Roman" w:hAnsi="Times New Roman" w:cs="Times New Roman"/>
          <w:sz w:val="24"/>
          <w:szCs w:val="24"/>
        </w:rPr>
        <w:footnoteReference w:id="8"/>
      </w:r>
    </w:p>
    <w:p w:rsidR="00FE4642" w:rsidRDefault="00FE4642" w:rsidP="00122250">
      <w:pPr>
        <w:pStyle w:val="ListParagraph"/>
        <w:spacing w:after="0" w:line="360" w:lineRule="auto"/>
        <w:ind w:left="0"/>
        <w:jc w:val="both"/>
        <w:rPr>
          <w:rFonts w:ascii="Times New Roman" w:hAnsi="Times New Roman" w:cs="Times New Roman"/>
          <w:sz w:val="24"/>
          <w:szCs w:val="24"/>
        </w:rPr>
      </w:pPr>
    </w:p>
    <w:p w:rsidR="00F12608" w:rsidRDefault="00FE4642" w:rsidP="00F12608">
      <w:pPr>
        <w:pStyle w:val="ListParagraph"/>
        <w:spacing w:after="0" w:line="360" w:lineRule="auto"/>
        <w:ind w:left="0"/>
        <w:jc w:val="center"/>
        <w:rPr>
          <w:rFonts w:ascii="Times New Roman" w:hAnsi="Times New Roman" w:cs="Times New Roman"/>
          <w:sz w:val="24"/>
          <w:szCs w:val="24"/>
        </w:rPr>
      </w:pPr>
      <w:r w:rsidRPr="00F12608">
        <w:rPr>
          <w:rFonts w:ascii="Times New Roman" w:hAnsi="Times New Roman" w:cs="Times New Roman"/>
          <w:position w:val="-14"/>
          <w:sz w:val="24"/>
          <w:szCs w:val="24"/>
        </w:rPr>
        <w:object w:dxaOrig="3620" w:dyaOrig="380">
          <v:shape id="_x0000_i1033" type="#_x0000_t75" style="width:181.15pt;height:19.7pt" o:ole="">
            <v:imagedata r:id="rId25" o:title=""/>
          </v:shape>
          <o:OLEObject Type="Embed" ProgID="Equation.3" ShapeID="_x0000_i1033" DrawAspect="Content" ObjectID="_1554554739" r:id="rId26"/>
        </w:object>
      </w:r>
    </w:p>
    <w:p w:rsidR="00F12608" w:rsidRDefault="00F12608" w:rsidP="00122250">
      <w:pPr>
        <w:pStyle w:val="ListParagraph"/>
        <w:spacing w:after="0" w:line="360" w:lineRule="auto"/>
        <w:ind w:left="0"/>
        <w:jc w:val="both"/>
        <w:rPr>
          <w:rFonts w:ascii="Times New Roman" w:hAnsi="Times New Roman" w:cs="Times New Roman"/>
          <w:sz w:val="24"/>
          <w:szCs w:val="24"/>
        </w:rPr>
      </w:pPr>
    </w:p>
    <w:p w:rsidR="00264B70" w:rsidRDefault="00264B70" w:rsidP="00122250">
      <w:pPr>
        <w:pStyle w:val="ListParagraph"/>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Removing the expectation, and therefore recognizing a noise term (</w:t>
      </w:r>
      <w:r w:rsidRPr="00264B70">
        <w:rPr>
          <w:rFonts w:ascii="Times New Roman" w:hAnsi="Times New Roman" w:cs="Times New Roman"/>
          <w:i/>
          <w:sz w:val="24"/>
          <w:szCs w:val="24"/>
        </w:rPr>
        <w:t>e</w:t>
      </w:r>
      <w:r>
        <w:rPr>
          <w:rFonts w:ascii="Times New Roman" w:hAnsi="Times New Roman" w:cs="Times New Roman"/>
          <w:sz w:val="24"/>
          <w:szCs w:val="24"/>
        </w:rPr>
        <w:t>), followed by dividing through by (1 –</w:t>
      </w:r>
      <w:r w:rsidRPr="00264B70">
        <w:rPr>
          <w:rFonts w:ascii="Times New Roman" w:hAnsi="Times New Roman" w:cs="Times New Roman"/>
          <w:i/>
          <w:sz w:val="24"/>
          <w:szCs w:val="24"/>
        </w:rPr>
        <w:t>T</w:t>
      </w:r>
      <w:r w:rsidRPr="00264B70">
        <w:rPr>
          <w:rFonts w:ascii="Times New Roman" w:hAnsi="Times New Roman" w:cs="Times New Roman"/>
          <w:i/>
          <w:sz w:val="24"/>
          <w:szCs w:val="24"/>
          <w:vertAlign w:val="subscript"/>
        </w:rPr>
        <w:t>g</w:t>
      </w:r>
      <w:r>
        <w:rPr>
          <w:rFonts w:ascii="Times New Roman" w:hAnsi="Times New Roman" w:cs="Times New Roman"/>
          <w:sz w:val="24"/>
          <w:szCs w:val="24"/>
        </w:rPr>
        <w:t>) yields the following regression model:</w:t>
      </w:r>
    </w:p>
    <w:p w:rsidR="00264B70" w:rsidRDefault="00264B70" w:rsidP="00122250">
      <w:pPr>
        <w:pStyle w:val="ListParagraph"/>
        <w:spacing w:after="0" w:line="360" w:lineRule="auto"/>
        <w:ind w:left="0"/>
        <w:jc w:val="both"/>
        <w:rPr>
          <w:rFonts w:ascii="Times New Roman" w:hAnsi="Times New Roman" w:cs="Times New Roman"/>
          <w:sz w:val="24"/>
          <w:szCs w:val="24"/>
        </w:rPr>
      </w:pPr>
    </w:p>
    <w:p w:rsidR="00264B70" w:rsidRDefault="00264B70" w:rsidP="00264B70">
      <w:pPr>
        <w:pStyle w:val="ListParagraph"/>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264B70">
        <w:rPr>
          <w:rFonts w:ascii="Times New Roman" w:hAnsi="Times New Roman" w:cs="Times New Roman"/>
          <w:position w:val="-34"/>
          <w:sz w:val="24"/>
          <w:szCs w:val="24"/>
        </w:rPr>
        <w:object w:dxaOrig="3480" w:dyaOrig="800">
          <v:shape id="_x0000_i1034" type="#_x0000_t75" style="width:173.55pt;height:40.95pt" o:ole="">
            <v:imagedata r:id="rId27" o:title=""/>
          </v:shape>
          <o:OLEObject Type="Embed" ProgID="Equation.3" ShapeID="_x0000_i1034" DrawAspect="Content" ObjectID="_1554554740" r:id="rId28"/>
        </w:object>
      </w:r>
      <w:r>
        <w:rPr>
          <w:rFonts w:ascii="Times New Roman" w:hAnsi="Times New Roman" w:cs="Times New Roman"/>
          <w:sz w:val="24"/>
          <w:szCs w:val="24"/>
        </w:rPr>
        <w:t xml:space="preserve">                                       (3)</w:t>
      </w:r>
    </w:p>
    <w:p w:rsidR="00264B70" w:rsidRDefault="00264B70" w:rsidP="00264B70">
      <w:pPr>
        <w:pStyle w:val="ListParagraph"/>
        <w:spacing w:after="0" w:line="360" w:lineRule="auto"/>
        <w:ind w:left="0"/>
        <w:jc w:val="center"/>
        <w:rPr>
          <w:rFonts w:ascii="Times New Roman" w:hAnsi="Times New Roman" w:cs="Times New Roman"/>
          <w:sz w:val="24"/>
          <w:szCs w:val="24"/>
        </w:rPr>
      </w:pPr>
    </w:p>
    <w:p w:rsidR="008C7227" w:rsidRDefault="00FE4642" w:rsidP="00622B23">
      <w:pPr>
        <w:pStyle w:val="ListParagraph"/>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This is a regression of </w:t>
      </w:r>
      <w:r w:rsidR="00B060B0" w:rsidRPr="00B060B0">
        <w:rPr>
          <w:rFonts w:ascii="Times New Roman" w:hAnsi="Times New Roman" w:cs="Times New Roman"/>
          <w:i/>
          <w:sz w:val="24"/>
          <w:szCs w:val="24"/>
        </w:rPr>
        <w:t>ΔP</w:t>
      </w:r>
      <w:r w:rsidR="00B060B0">
        <w:rPr>
          <w:rFonts w:ascii="Times New Roman" w:hAnsi="Times New Roman" w:cs="Times New Roman"/>
          <w:sz w:val="24"/>
          <w:szCs w:val="24"/>
        </w:rPr>
        <w:t xml:space="preserve"> on </w:t>
      </w:r>
      <w:r w:rsidR="00B060B0" w:rsidRPr="00B060B0">
        <w:rPr>
          <w:rFonts w:ascii="Times New Roman" w:hAnsi="Times New Roman" w:cs="Times New Roman"/>
          <w:i/>
          <w:sz w:val="24"/>
          <w:szCs w:val="24"/>
        </w:rPr>
        <w:t>D</w:t>
      </w:r>
      <w:r w:rsidR="00B060B0">
        <w:rPr>
          <w:rFonts w:ascii="Times New Roman" w:hAnsi="Times New Roman" w:cs="Times New Roman"/>
          <w:sz w:val="24"/>
          <w:szCs w:val="24"/>
        </w:rPr>
        <w:t xml:space="preserve"> and </w:t>
      </w:r>
      <w:r w:rsidR="00B060B0" w:rsidRPr="00B060B0">
        <w:rPr>
          <w:rFonts w:ascii="Times New Roman" w:hAnsi="Times New Roman" w:cs="Times New Roman"/>
          <w:i/>
          <w:sz w:val="24"/>
          <w:szCs w:val="24"/>
        </w:rPr>
        <w:t>IC</w:t>
      </w:r>
      <w:r w:rsidR="00B060B0">
        <w:rPr>
          <w:rFonts w:ascii="Times New Roman" w:hAnsi="Times New Roman" w:cs="Times New Roman"/>
          <w:sz w:val="24"/>
          <w:szCs w:val="24"/>
        </w:rPr>
        <w:t xml:space="preserve">, </w:t>
      </w:r>
      <w:r>
        <w:rPr>
          <w:rFonts w:ascii="Times New Roman" w:hAnsi="Times New Roman" w:cs="Times New Roman"/>
          <w:sz w:val="24"/>
          <w:szCs w:val="24"/>
        </w:rPr>
        <w:t>which is one form of a DDO</w:t>
      </w:r>
      <w:r w:rsidR="00CB6277">
        <w:rPr>
          <w:rFonts w:ascii="Times New Roman" w:hAnsi="Times New Roman" w:cs="Times New Roman"/>
          <w:sz w:val="24"/>
          <w:szCs w:val="24"/>
        </w:rPr>
        <w:t xml:space="preserve"> study</w:t>
      </w:r>
      <w:r>
        <w:rPr>
          <w:rFonts w:ascii="Times New Roman" w:hAnsi="Times New Roman" w:cs="Times New Roman"/>
          <w:sz w:val="24"/>
          <w:szCs w:val="24"/>
        </w:rPr>
        <w:t xml:space="preserve"> (</w:t>
      </w:r>
      <w:r w:rsidR="00C8378C">
        <w:rPr>
          <w:rFonts w:ascii="Times New Roman" w:hAnsi="Times New Roman" w:cs="Times New Roman"/>
          <w:sz w:val="24"/>
          <w:szCs w:val="24"/>
        </w:rPr>
        <w:t xml:space="preserve">the </w:t>
      </w:r>
      <w:r>
        <w:rPr>
          <w:rFonts w:ascii="Times New Roman" w:hAnsi="Times New Roman" w:cs="Times New Roman"/>
          <w:sz w:val="24"/>
          <w:szCs w:val="24"/>
        </w:rPr>
        <w:t xml:space="preserve">others are variants of this).  </w:t>
      </w:r>
      <w:r w:rsidR="000E7349">
        <w:rPr>
          <w:rFonts w:ascii="Times New Roman" w:hAnsi="Times New Roman" w:cs="Times New Roman"/>
          <w:sz w:val="24"/>
          <w:szCs w:val="24"/>
        </w:rPr>
        <w:t xml:space="preserve">Letting the </w:t>
      </w:r>
      <w:r w:rsidR="0028040C">
        <w:rPr>
          <w:rFonts w:ascii="Times New Roman" w:hAnsi="Times New Roman" w:cs="Times New Roman"/>
          <w:sz w:val="24"/>
          <w:szCs w:val="24"/>
        </w:rPr>
        <w:t xml:space="preserve">tax ratio (1 – </w:t>
      </w:r>
      <w:r w:rsidR="0028040C" w:rsidRPr="0028040C">
        <w:rPr>
          <w:rFonts w:ascii="Times New Roman" w:hAnsi="Times New Roman" w:cs="Times New Roman"/>
          <w:i/>
          <w:sz w:val="24"/>
          <w:szCs w:val="24"/>
        </w:rPr>
        <w:t>T</w:t>
      </w:r>
      <w:r w:rsidR="0028040C" w:rsidRPr="0028040C">
        <w:rPr>
          <w:rFonts w:ascii="Times New Roman" w:hAnsi="Times New Roman" w:cs="Times New Roman"/>
          <w:i/>
          <w:sz w:val="24"/>
          <w:szCs w:val="24"/>
          <w:vertAlign w:val="subscript"/>
        </w:rPr>
        <w:t>d</w:t>
      </w:r>
      <w:r w:rsidR="0028040C">
        <w:rPr>
          <w:rFonts w:ascii="Times New Roman" w:hAnsi="Times New Roman" w:cs="Times New Roman"/>
          <w:sz w:val="24"/>
          <w:szCs w:val="24"/>
        </w:rPr>
        <w:t xml:space="preserve">)/(1 – </w:t>
      </w:r>
      <w:r w:rsidR="0028040C" w:rsidRPr="0028040C">
        <w:rPr>
          <w:rFonts w:ascii="Times New Roman" w:hAnsi="Times New Roman" w:cs="Times New Roman"/>
          <w:i/>
          <w:sz w:val="24"/>
          <w:szCs w:val="24"/>
        </w:rPr>
        <w:t>T</w:t>
      </w:r>
      <w:r w:rsidR="0028040C" w:rsidRPr="0028040C">
        <w:rPr>
          <w:rFonts w:ascii="Times New Roman" w:hAnsi="Times New Roman" w:cs="Times New Roman"/>
          <w:i/>
          <w:sz w:val="24"/>
          <w:szCs w:val="24"/>
          <w:vertAlign w:val="subscript"/>
        </w:rPr>
        <w:t>g</w:t>
      </w:r>
      <w:r w:rsidR="0028040C">
        <w:rPr>
          <w:rFonts w:ascii="Times New Roman" w:hAnsi="Times New Roman" w:cs="Times New Roman"/>
          <w:sz w:val="24"/>
          <w:szCs w:val="24"/>
        </w:rPr>
        <w:t xml:space="preserve">) </w:t>
      </w:r>
      <w:r w:rsidR="000E7349">
        <w:rPr>
          <w:rFonts w:ascii="Times New Roman" w:hAnsi="Times New Roman" w:cs="Times New Roman"/>
          <w:sz w:val="24"/>
          <w:szCs w:val="24"/>
        </w:rPr>
        <w:t xml:space="preserve">be </w:t>
      </w:r>
      <w:r w:rsidR="0028040C">
        <w:rPr>
          <w:rFonts w:ascii="Times New Roman" w:hAnsi="Times New Roman" w:cs="Times New Roman"/>
          <w:sz w:val="24"/>
          <w:szCs w:val="24"/>
        </w:rPr>
        <w:t xml:space="preserve">denoted </w:t>
      </w:r>
      <w:r w:rsidR="0028040C" w:rsidRPr="0028040C">
        <w:rPr>
          <w:rFonts w:ascii="Times New Roman" w:hAnsi="Times New Roman" w:cs="Times New Roman"/>
          <w:i/>
          <w:sz w:val="24"/>
          <w:szCs w:val="24"/>
        </w:rPr>
        <w:t>δ</w:t>
      </w:r>
      <w:r w:rsidR="0028040C">
        <w:rPr>
          <w:rFonts w:ascii="Times New Roman" w:hAnsi="Times New Roman" w:cs="Times New Roman"/>
          <w:sz w:val="24"/>
          <w:szCs w:val="24"/>
        </w:rPr>
        <w:t xml:space="preserve">, then the </w:t>
      </w:r>
      <w:r w:rsidR="00521DC2">
        <w:rPr>
          <w:rFonts w:ascii="Times New Roman" w:hAnsi="Times New Roman" w:cs="Times New Roman"/>
          <w:sz w:val="24"/>
          <w:szCs w:val="24"/>
        </w:rPr>
        <w:t xml:space="preserve">coefficient on cash dividends </w:t>
      </w:r>
      <w:r w:rsidR="00C8378C">
        <w:rPr>
          <w:rFonts w:ascii="Times New Roman" w:hAnsi="Times New Roman" w:cs="Times New Roman"/>
          <w:sz w:val="24"/>
          <w:szCs w:val="24"/>
        </w:rPr>
        <w:t xml:space="preserve">in equation (3) </w:t>
      </w:r>
      <w:r w:rsidR="00521DC2">
        <w:rPr>
          <w:rFonts w:ascii="Times New Roman" w:hAnsi="Times New Roman" w:cs="Times New Roman"/>
          <w:sz w:val="24"/>
          <w:szCs w:val="24"/>
        </w:rPr>
        <w:t xml:space="preserve">is </w:t>
      </w:r>
      <w:r w:rsidR="00521DC2" w:rsidRPr="00521DC2">
        <w:rPr>
          <w:rFonts w:ascii="Times New Roman" w:hAnsi="Times New Roman" w:cs="Times New Roman"/>
          <w:i/>
          <w:sz w:val="24"/>
          <w:szCs w:val="24"/>
        </w:rPr>
        <w:t>δ</w:t>
      </w:r>
      <w:r w:rsidR="00521DC2">
        <w:rPr>
          <w:rFonts w:ascii="Times New Roman" w:hAnsi="Times New Roman" w:cs="Times New Roman"/>
          <w:sz w:val="24"/>
          <w:szCs w:val="24"/>
        </w:rPr>
        <w:t xml:space="preserve"> and that on franking credits is </w:t>
      </w:r>
      <w:r w:rsidR="00521DC2" w:rsidRPr="00521DC2">
        <w:rPr>
          <w:rFonts w:ascii="Times New Roman" w:hAnsi="Times New Roman" w:cs="Times New Roman"/>
          <w:i/>
          <w:sz w:val="24"/>
          <w:szCs w:val="24"/>
        </w:rPr>
        <w:t>δU</w:t>
      </w:r>
      <w:r w:rsidR="00521DC2">
        <w:rPr>
          <w:rFonts w:ascii="Times New Roman" w:hAnsi="Times New Roman" w:cs="Times New Roman"/>
          <w:sz w:val="24"/>
          <w:szCs w:val="24"/>
        </w:rPr>
        <w:t xml:space="preserve">.  Dividing the estimated coefficient on the franking credits by that on cash dividends then produces an estimate of </w:t>
      </w:r>
      <w:r w:rsidR="00521DC2" w:rsidRPr="00521DC2">
        <w:rPr>
          <w:rFonts w:ascii="Times New Roman" w:hAnsi="Times New Roman" w:cs="Times New Roman"/>
          <w:i/>
          <w:sz w:val="24"/>
          <w:szCs w:val="24"/>
        </w:rPr>
        <w:t>U</w:t>
      </w:r>
      <w:r w:rsidR="00521DC2">
        <w:rPr>
          <w:rFonts w:ascii="Times New Roman" w:hAnsi="Times New Roman" w:cs="Times New Roman"/>
          <w:sz w:val="24"/>
          <w:szCs w:val="24"/>
        </w:rPr>
        <w:t xml:space="preserve">.  Thus, if </w:t>
      </w:r>
      <w:r w:rsidR="00521DC2" w:rsidRPr="00521DC2">
        <w:rPr>
          <w:rFonts w:ascii="Times New Roman" w:hAnsi="Times New Roman" w:cs="Times New Roman"/>
          <w:i/>
          <w:sz w:val="24"/>
          <w:szCs w:val="24"/>
        </w:rPr>
        <w:t>δ</w:t>
      </w:r>
      <w:r w:rsidR="00521DC2">
        <w:rPr>
          <w:rFonts w:ascii="Times New Roman" w:hAnsi="Times New Roman" w:cs="Times New Roman"/>
          <w:sz w:val="24"/>
          <w:szCs w:val="24"/>
        </w:rPr>
        <w:t xml:space="preserve"> falls, so does the coefficient </w:t>
      </w:r>
      <w:r w:rsidR="009B7EF5" w:rsidRPr="00521DC2">
        <w:rPr>
          <w:rFonts w:ascii="Times New Roman" w:hAnsi="Times New Roman" w:cs="Times New Roman"/>
          <w:i/>
          <w:sz w:val="24"/>
          <w:szCs w:val="24"/>
        </w:rPr>
        <w:t>δU</w:t>
      </w:r>
      <w:r w:rsidR="009B7EF5">
        <w:rPr>
          <w:rFonts w:ascii="Times New Roman" w:hAnsi="Times New Roman" w:cs="Times New Roman"/>
          <w:sz w:val="24"/>
          <w:szCs w:val="24"/>
        </w:rPr>
        <w:t xml:space="preserve"> </w:t>
      </w:r>
      <w:r w:rsidR="00521DC2">
        <w:rPr>
          <w:rFonts w:ascii="Times New Roman" w:hAnsi="Times New Roman" w:cs="Times New Roman"/>
          <w:sz w:val="24"/>
          <w:szCs w:val="24"/>
        </w:rPr>
        <w:t xml:space="preserve">on the credits, and dividing the latter by the former </w:t>
      </w:r>
      <w:r w:rsidR="003B38D8">
        <w:rPr>
          <w:rFonts w:ascii="Times New Roman" w:hAnsi="Times New Roman" w:cs="Times New Roman"/>
          <w:sz w:val="24"/>
          <w:szCs w:val="24"/>
        </w:rPr>
        <w:t xml:space="preserve">will not </w:t>
      </w:r>
      <w:r w:rsidR="00521DC2">
        <w:rPr>
          <w:rFonts w:ascii="Times New Roman" w:hAnsi="Times New Roman" w:cs="Times New Roman"/>
          <w:sz w:val="24"/>
          <w:szCs w:val="24"/>
        </w:rPr>
        <w:t xml:space="preserve">change the estimate of </w:t>
      </w:r>
      <w:r w:rsidR="00521DC2" w:rsidRPr="00521DC2">
        <w:rPr>
          <w:rFonts w:ascii="Times New Roman" w:hAnsi="Times New Roman" w:cs="Times New Roman"/>
          <w:i/>
          <w:sz w:val="24"/>
          <w:szCs w:val="24"/>
        </w:rPr>
        <w:t>U</w:t>
      </w:r>
      <w:r w:rsidR="009B7EF5">
        <w:rPr>
          <w:rFonts w:ascii="Times New Roman" w:hAnsi="Times New Roman" w:cs="Times New Roman"/>
          <w:sz w:val="24"/>
          <w:szCs w:val="24"/>
        </w:rPr>
        <w:t>.</w:t>
      </w:r>
      <w:r w:rsidR="00521DC2">
        <w:rPr>
          <w:rFonts w:ascii="Times New Roman" w:hAnsi="Times New Roman" w:cs="Times New Roman"/>
          <w:sz w:val="24"/>
          <w:szCs w:val="24"/>
        </w:rPr>
        <w:t xml:space="preserve">  So, Frontier’s claim that a fall in </w:t>
      </w:r>
      <w:r w:rsidR="00521DC2" w:rsidRPr="00521DC2">
        <w:rPr>
          <w:rFonts w:ascii="Times New Roman" w:hAnsi="Times New Roman" w:cs="Times New Roman"/>
          <w:i/>
          <w:sz w:val="24"/>
          <w:szCs w:val="24"/>
        </w:rPr>
        <w:t>δ</w:t>
      </w:r>
      <w:r w:rsidR="00521DC2">
        <w:rPr>
          <w:rFonts w:ascii="Times New Roman" w:hAnsi="Times New Roman" w:cs="Times New Roman"/>
          <w:sz w:val="24"/>
          <w:szCs w:val="24"/>
        </w:rPr>
        <w:t xml:space="preserve"> will reduce the estimate of </w:t>
      </w:r>
      <w:r w:rsidR="00521DC2" w:rsidRPr="00521DC2">
        <w:rPr>
          <w:rFonts w:ascii="Times New Roman" w:hAnsi="Times New Roman" w:cs="Times New Roman"/>
          <w:i/>
          <w:sz w:val="24"/>
          <w:szCs w:val="24"/>
        </w:rPr>
        <w:t>U</w:t>
      </w:r>
      <w:r w:rsidR="000C7B68">
        <w:rPr>
          <w:rFonts w:ascii="Times New Roman" w:hAnsi="Times New Roman" w:cs="Times New Roman"/>
          <w:sz w:val="24"/>
          <w:szCs w:val="24"/>
        </w:rPr>
        <w:t xml:space="preserve"> is false.  </w:t>
      </w:r>
    </w:p>
    <w:p w:rsidR="008C7227" w:rsidRDefault="008C7227" w:rsidP="00622B23">
      <w:pPr>
        <w:pStyle w:val="ListParagraph"/>
        <w:spacing w:after="0" w:line="360" w:lineRule="auto"/>
        <w:ind w:left="0"/>
        <w:jc w:val="both"/>
        <w:rPr>
          <w:rFonts w:ascii="Times New Roman" w:hAnsi="Times New Roman" w:cs="Times New Roman"/>
          <w:sz w:val="24"/>
          <w:szCs w:val="24"/>
        </w:rPr>
      </w:pPr>
    </w:p>
    <w:p w:rsidR="00622B23" w:rsidRPr="00622B23" w:rsidRDefault="000C7B68" w:rsidP="00622B23">
      <w:pPr>
        <w:pStyle w:val="ListParagraph"/>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Furthermore, if </w:t>
      </w:r>
      <w:r w:rsidRPr="0074324D">
        <w:rPr>
          <w:rFonts w:ascii="Times New Roman" w:hAnsi="Times New Roman" w:cs="Times New Roman"/>
          <w:i/>
          <w:sz w:val="24"/>
          <w:szCs w:val="24"/>
        </w:rPr>
        <w:t>δ</w:t>
      </w:r>
      <w:r>
        <w:rPr>
          <w:rFonts w:ascii="Times New Roman" w:hAnsi="Times New Roman" w:cs="Times New Roman"/>
          <w:sz w:val="24"/>
          <w:szCs w:val="24"/>
        </w:rPr>
        <w:t xml:space="preserve"> is less than 1, it implies that shareholders do not value dividends as highly as capital gains, but this does not imply that regulatory revenues must be increased.  Starting at a position in which dividends and capital gains are equally taxed, and hence </w:t>
      </w:r>
      <w:r w:rsidRPr="0074324D">
        <w:rPr>
          <w:rFonts w:ascii="Times New Roman" w:hAnsi="Times New Roman" w:cs="Times New Roman"/>
          <w:i/>
          <w:sz w:val="24"/>
          <w:szCs w:val="24"/>
        </w:rPr>
        <w:t>δ</w:t>
      </w:r>
      <w:r>
        <w:rPr>
          <w:rFonts w:ascii="Times New Roman" w:hAnsi="Times New Roman" w:cs="Times New Roman"/>
          <w:sz w:val="24"/>
          <w:szCs w:val="24"/>
        </w:rPr>
        <w:t xml:space="preserve"> = 1, </w:t>
      </w:r>
      <w:r w:rsidR="00BF6B47">
        <w:rPr>
          <w:rFonts w:ascii="Times New Roman" w:hAnsi="Times New Roman" w:cs="Times New Roman"/>
          <w:sz w:val="24"/>
          <w:szCs w:val="24"/>
        </w:rPr>
        <w:t xml:space="preserve">a reduction in capital </w:t>
      </w:r>
      <w:r>
        <w:rPr>
          <w:rFonts w:ascii="Times New Roman" w:hAnsi="Times New Roman" w:cs="Times New Roman"/>
          <w:sz w:val="24"/>
          <w:szCs w:val="24"/>
        </w:rPr>
        <w:t xml:space="preserve">gains tax would cause </w:t>
      </w:r>
      <w:r w:rsidRPr="0074324D">
        <w:rPr>
          <w:rFonts w:ascii="Times New Roman" w:hAnsi="Times New Roman" w:cs="Times New Roman"/>
          <w:i/>
          <w:sz w:val="24"/>
          <w:szCs w:val="24"/>
        </w:rPr>
        <w:t>δ</w:t>
      </w:r>
      <w:r>
        <w:rPr>
          <w:rFonts w:ascii="Times New Roman" w:hAnsi="Times New Roman" w:cs="Times New Roman"/>
          <w:sz w:val="24"/>
          <w:szCs w:val="24"/>
        </w:rPr>
        <w:t xml:space="preserve"> to fall below 1, but the tax reduction would warrant a reduction in regulatory revenues if the model for determining these revenues recognized such effects (wh</w:t>
      </w:r>
      <w:r w:rsidR="0074324D">
        <w:rPr>
          <w:rFonts w:ascii="Times New Roman" w:hAnsi="Times New Roman" w:cs="Times New Roman"/>
          <w:sz w:val="24"/>
          <w:szCs w:val="24"/>
        </w:rPr>
        <w:t xml:space="preserve">ich the Officer model does not because it assumes that </w:t>
      </w:r>
      <w:r w:rsidR="0074324D" w:rsidRPr="0074324D">
        <w:rPr>
          <w:rFonts w:ascii="Times New Roman" w:hAnsi="Times New Roman" w:cs="Times New Roman"/>
          <w:i/>
          <w:sz w:val="24"/>
          <w:szCs w:val="24"/>
        </w:rPr>
        <w:t>δ</w:t>
      </w:r>
      <w:r w:rsidR="0074324D">
        <w:rPr>
          <w:rFonts w:ascii="Times New Roman" w:hAnsi="Times New Roman" w:cs="Times New Roman"/>
          <w:sz w:val="24"/>
          <w:szCs w:val="24"/>
        </w:rPr>
        <w:t xml:space="preserve"> = 1).  </w:t>
      </w:r>
      <w:r w:rsidR="0074324D">
        <w:rPr>
          <w:rFonts w:ascii="Times New Roman" w:hAnsi="Times New Roman" w:cs="Times New Roman"/>
          <w:sz w:val="24"/>
          <w:szCs w:val="24"/>
        </w:rPr>
        <w:lastRenderedPageBreak/>
        <w:t xml:space="preserve">Alternatively, starting at a position in which dividends and capital gains are equally taxed, and hence </w:t>
      </w:r>
      <w:r w:rsidR="0074324D" w:rsidRPr="0074324D">
        <w:rPr>
          <w:rFonts w:ascii="Times New Roman" w:hAnsi="Times New Roman" w:cs="Times New Roman"/>
          <w:i/>
          <w:sz w:val="24"/>
          <w:szCs w:val="24"/>
        </w:rPr>
        <w:t>δ</w:t>
      </w:r>
      <w:r w:rsidR="0074324D">
        <w:rPr>
          <w:rFonts w:ascii="Times New Roman" w:hAnsi="Times New Roman" w:cs="Times New Roman"/>
          <w:sz w:val="24"/>
          <w:szCs w:val="24"/>
        </w:rPr>
        <w:t xml:space="preserve"> = 1, an increase in tax on dividends would cause </w:t>
      </w:r>
      <w:r w:rsidR="0074324D" w:rsidRPr="0074324D">
        <w:rPr>
          <w:rFonts w:ascii="Times New Roman" w:hAnsi="Times New Roman" w:cs="Times New Roman"/>
          <w:i/>
          <w:sz w:val="24"/>
          <w:szCs w:val="24"/>
        </w:rPr>
        <w:t>δ</w:t>
      </w:r>
      <w:r w:rsidR="0074324D">
        <w:rPr>
          <w:rFonts w:ascii="Times New Roman" w:hAnsi="Times New Roman" w:cs="Times New Roman"/>
          <w:sz w:val="24"/>
          <w:szCs w:val="24"/>
        </w:rPr>
        <w:t xml:space="preserve"> to fall below 1, and the tax increase would warrant an increase in regulatory revenues if the model for determining these revenues recognized such effects (which the Officer model does not).  Thus, </w:t>
      </w:r>
      <w:r w:rsidR="00420BBE">
        <w:rPr>
          <w:rFonts w:ascii="Times New Roman" w:hAnsi="Times New Roman" w:cs="Times New Roman"/>
          <w:sz w:val="24"/>
          <w:szCs w:val="24"/>
        </w:rPr>
        <w:t xml:space="preserve">even if </w:t>
      </w:r>
      <w:r w:rsidR="0074324D">
        <w:rPr>
          <w:rFonts w:ascii="Times New Roman" w:hAnsi="Times New Roman" w:cs="Times New Roman"/>
          <w:sz w:val="24"/>
          <w:szCs w:val="24"/>
        </w:rPr>
        <w:t xml:space="preserve">the Officer model </w:t>
      </w:r>
      <w:r w:rsidR="00420BBE">
        <w:rPr>
          <w:rFonts w:ascii="Times New Roman" w:hAnsi="Times New Roman" w:cs="Times New Roman"/>
          <w:sz w:val="24"/>
          <w:szCs w:val="24"/>
        </w:rPr>
        <w:t xml:space="preserve">did provide </w:t>
      </w:r>
      <w:r w:rsidR="0074324D">
        <w:rPr>
          <w:rFonts w:ascii="Times New Roman" w:hAnsi="Times New Roman" w:cs="Times New Roman"/>
          <w:sz w:val="24"/>
          <w:szCs w:val="24"/>
        </w:rPr>
        <w:t xml:space="preserve">for such </w:t>
      </w:r>
      <w:r w:rsidR="003B38D8">
        <w:rPr>
          <w:rFonts w:ascii="Times New Roman" w:hAnsi="Times New Roman" w:cs="Times New Roman"/>
          <w:sz w:val="24"/>
          <w:szCs w:val="24"/>
        </w:rPr>
        <w:t xml:space="preserve">personal tax effects </w:t>
      </w:r>
      <w:r w:rsidR="0074324D">
        <w:rPr>
          <w:rFonts w:ascii="Times New Roman" w:hAnsi="Times New Roman" w:cs="Times New Roman"/>
          <w:sz w:val="24"/>
          <w:szCs w:val="24"/>
        </w:rPr>
        <w:t>(</w:t>
      </w:r>
      <w:r w:rsidR="00420BBE">
        <w:rPr>
          <w:rFonts w:ascii="Times New Roman" w:hAnsi="Times New Roman" w:cs="Times New Roman"/>
          <w:sz w:val="24"/>
          <w:szCs w:val="24"/>
        </w:rPr>
        <w:t xml:space="preserve">which it doesn’t because it </w:t>
      </w:r>
      <w:r w:rsidR="0074324D">
        <w:rPr>
          <w:rFonts w:ascii="Times New Roman" w:hAnsi="Times New Roman" w:cs="Times New Roman"/>
          <w:sz w:val="24"/>
          <w:szCs w:val="24"/>
        </w:rPr>
        <w:t xml:space="preserve">assumes that </w:t>
      </w:r>
      <w:r w:rsidR="0074324D" w:rsidRPr="0074324D">
        <w:rPr>
          <w:rFonts w:ascii="Times New Roman" w:hAnsi="Times New Roman" w:cs="Times New Roman"/>
          <w:i/>
          <w:sz w:val="24"/>
          <w:szCs w:val="24"/>
        </w:rPr>
        <w:t>δ</w:t>
      </w:r>
      <w:r w:rsidR="0074324D">
        <w:rPr>
          <w:rFonts w:ascii="Times New Roman" w:hAnsi="Times New Roman" w:cs="Times New Roman"/>
          <w:sz w:val="24"/>
          <w:szCs w:val="24"/>
        </w:rPr>
        <w:t xml:space="preserve"> is 1)</w:t>
      </w:r>
      <w:r w:rsidR="00941524">
        <w:rPr>
          <w:rFonts w:ascii="Times New Roman" w:hAnsi="Times New Roman" w:cs="Times New Roman"/>
          <w:sz w:val="24"/>
          <w:szCs w:val="24"/>
        </w:rPr>
        <w:t xml:space="preserve">, a fall in </w:t>
      </w:r>
      <w:r w:rsidR="0074324D" w:rsidRPr="0074324D">
        <w:rPr>
          <w:rFonts w:ascii="Times New Roman" w:hAnsi="Times New Roman" w:cs="Times New Roman"/>
          <w:i/>
          <w:sz w:val="24"/>
          <w:szCs w:val="24"/>
        </w:rPr>
        <w:t>δ</w:t>
      </w:r>
      <w:r w:rsidR="0074324D">
        <w:rPr>
          <w:rFonts w:ascii="Times New Roman" w:hAnsi="Times New Roman" w:cs="Times New Roman"/>
          <w:sz w:val="24"/>
          <w:szCs w:val="24"/>
        </w:rPr>
        <w:t xml:space="preserve"> does not imply that </w:t>
      </w:r>
      <w:r w:rsidR="00670CFC">
        <w:rPr>
          <w:rFonts w:ascii="Times New Roman" w:hAnsi="Times New Roman" w:cs="Times New Roman"/>
          <w:sz w:val="24"/>
          <w:szCs w:val="24"/>
        </w:rPr>
        <w:t xml:space="preserve">regulatory </w:t>
      </w:r>
      <w:r w:rsidR="0074324D">
        <w:rPr>
          <w:rFonts w:ascii="Times New Roman" w:hAnsi="Times New Roman" w:cs="Times New Roman"/>
          <w:sz w:val="24"/>
          <w:szCs w:val="24"/>
        </w:rPr>
        <w:t xml:space="preserve">revenues should be increased.  For both reasons, Frontier’s claim that a fall in </w:t>
      </w:r>
      <w:r w:rsidR="0074324D" w:rsidRPr="0074324D">
        <w:rPr>
          <w:rFonts w:ascii="Times New Roman" w:hAnsi="Times New Roman" w:cs="Times New Roman"/>
          <w:i/>
          <w:sz w:val="24"/>
          <w:szCs w:val="24"/>
        </w:rPr>
        <w:t>δ</w:t>
      </w:r>
      <w:r w:rsidR="0074324D">
        <w:rPr>
          <w:rFonts w:ascii="Times New Roman" w:hAnsi="Times New Roman" w:cs="Times New Roman"/>
          <w:sz w:val="24"/>
          <w:szCs w:val="24"/>
        </w:rPr>
        <w:t xml:space="preserve"> warrants an increase </w:t>
      </w:r>
      <w:r w:rsidR="00BB53E5">
        <w:rPr>
          <w:rFonts w:ascii="Times New Roman" w:hAnsi="Times New Roman" w:cs="Times New Roman"/>
          <w:sz w:val="24"/>
          <w:szCs w:val="24"/>
        </w:rPr>
        <w:t xml:space="preserve">in regulatory revenues is wrong.  The source of Frontier’s errors here is the </w:t>
      </w:r>
      <w:r w:rsidR="00AE1028">
        <w:rPr>
          <w:rFonts w:ascii="Times New Roman" w:hAnsi="Times New Roman" w:cs="Times New Roman"/>
          <w:sz w:val="24"/>
          <w:szCs w:val="24"/>
        </w:rPr>
        <w:t xml:space="preserve">failure to appreciate that </w:t>
      </w:r>
      <w:r w:rsidR="006B0FDC" w:rsidRPr="006B0FDC">
        <w:rPr>
          <w:rFonts w:ascii="Times New Roman" w:hAnsi="Times New Roman" w:cs="Times New Roman"/>
          <w:i/>
          <w:sz w:val="24"/>
          <w:szCs w:val="24"/>
        </w:rPr>
        <w:t>δ</w:t>
      </w:r>
      <w:r w:rsidR="006B0FDC">
        <w:rPr>
          <w:rFonts w:ascii="Times New Roman" w:hAnsi="Times New Roman" w:cs="Times New Roman"/>
          <w:sz w:val="24"/>
          <w:szCs w:val="24"/>
        </w:rPr>
        <w:t xml:space="preserve"> </w:t>
      </w:r>
      <w:r w:rsidR="00622B23" w:rsidRPr="00622B23">
        <w:rPr>
          <w:rFonts w:ascii="Times New Roman" w:hAnsi="Times New Roman" w:cs="Times New Roman"/>
          <w:sz w:val="24"/>
          <w:szCs w:val="24"/>
        </w:rPr>
        <w:t>reflects the relative levels of the personal tax rates on cash dividends and capital gains.</w:t>
      </w:r>
    </w:p>
    <w:p w:rsidR="00F406D3" w:rsidRDefault="00F406D3" w:rsidP="00622B23">
      <w:pPr>
        <w:pStyle w:val="ListParagraph"/>
        <w:spacing w:after="0" w:line="360" w:lineRule="auto"/>
        <w:ind w:left="0"/>
        <w:jc w:val="both"/>
        <w:rPr>
          <w:rFonts w:ascii="Times New Roman" w:hAnsi="Times New Roman" w:cs="Times New Roman"/>
          <w:sz w:val="24"/>
          <w:szCs w:val="24"/>
        </w:rPr>
      </w:pPr>
    </w:p>
    <w:p w:rsidR="00F406D3" w:rsidRDefault="00F406D3" w:rsidP="00622B23">
      <w:pPr>
        <w:pStyle w:val="ListParagraph"/>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Front</w:t>
      </w:r>
      <w:r w:rsidR="00C54723">
        <w:rPr>
          <w:rFonts w:ascii="Times New Roman" w:hAnsi="Times New Roman" w:cs="Times New Roman"/>
          <w:sz w:val="24"/>
          <w:szCs w:val="24"/>
        </w:rPr>
        <w:t>ier (2016b</w:t>
      </w:r>
      <w:r>
        <w:rPr>
          <w:rFonts w:ascii="Times New Roman" w:hAnsi="Times New Roman" w:cs="Times New Roman"/>
          <w:sz w:val="24"/>
          <w:szCs w:val="24"/>
        </w:rPr>
        <w:t xml:space="preserve">, paras 94-95) also argues </w:t>
      </w:r>
      <w:r w:rsidR="000C68BC">
        <w:rPr>
          <w:rFonts w:ascii="Times New Roman" w:hAnsi="Times New Roman" w:cs="Times New Roman"/>
          <w:sz w:val="24"/>
          <w:szCs w:val="24"/>
        </w:rPr>
        <w:t xml:space="preserve">that, since the AER adopts the Officer (1994) model and this model assumes that </w:t>
      </w:r>
      <w:r w:rsidR="000C68BC" w:rsidRPr="0074324D">
        <w:rPr>
          <w:rFonts w:ascii="Times New Roman" w:hAnsi="Times New Roman" w:cs="Times New Roman"/>
          <w:i/>
          <w:sz w:val="24"/>
          <w:szCs w:val="24"/>
        </w:rPr>
        <w:t>δ</w:t>
      </w:r>
      <w:r w:rsidR="000C68BC">
        <w:rPr>
          <w:rFonts w:ascii="Times New Roman" w:hAnsi="Times New Roman" w:cs="Times New Roman"/>
          <w:sz w:val="24"/>
          <w:szCs w:val="24"/>
        </w:rPr>
        <w:t xml:space="preserve"> = 1, the AER should act as if </w:t>
      </w:r>
      <w:r w:rsidR="000C68BC" w:rsidRPr="0074324D">
        <w:rPr>
          <w:rFonts w:ascii="Times New Roman" w:hAnsi="Times New Roman" w:cs="Times New Roman"/>
          <w:i/>
          <w:sz w:val="24"/>
          <w:szCs w:val="24"/>
        </w:rPr>
        <w:t>δ</w:t>
      </w:r>
      <w:r w:rsidR="000C68BC">
        <w:rPr>
          <w:rFonts w:ascii="Times New Roman" w:hAnsi="Times New Roman" w:cs="Times New Roman"/>
          <w:sz w:val="24"/>
          <w:szCs w:val="24"/>
        </w:rPr>
        <w:t xml:space="preserve"> = 1 when estimating the utilization rate on credits from the estimated coefficient on the credi</w:t>
      </w:r>
      <w:r w:rsidR="005B579E">
        <w:rPr>
          <w:rFonts w:ascii="Times New Roman" w:hAnsi="Times New Roman" w:cs="Times New Roman"/>
          <w:sz w:val="24"/>
          <w:szCs w:val="24"/>
        </w:rPr>
        <w:t xml:space="preserve">ts in a </w:t>
      </w:r>
      <w:r w:rsidR="00D351C3">
        <w:rPr>
          <w:rFonts w:ascii="Times New Roman" w:hAnsi="Times New Roman" w:cs="Times New Roman"/>
          <w:sz w:val="24"/>
          <w:szCs w:val="24"/>
        </w:rPr>
        <w:t xml:space="preserve">DDO </w:t>
      </w:r>
      <w:r w:rsidR="005B579E">
        <w:rPr>
          <w:rFonts w:ascii="Times New Roman" w:hAnsi="Times New Roman" w:cs="Times New Roman"/>
          <w:sz w:val="24"/>
          <w:szCs w:val="24"/>
        </w:rPr>
        <w:t>study.</w:t>
      </w:r>
      <w:r w:rsidR="00156C6B">
        <w:rPr>
          <w:rStyle w:val="FootnoteReference"/>
          <w:rFonts w:ascii="Times New Roman" w:hAnsi="Times New Roman" w:cs="Times New Roman"/>
          <w:sz w:val="24"/>
          <w:szCs w:val="24"/>
        </w:rPr>
        <w:footnoteReference w:id="9"/>
      </w:r>
      <w:r w:rsidR="005B579E">
        <w:rPr>
          <w:rFonts w:ascii="Times New Roman" w:hAnsi="Times New Roman" w:cs="Times New Roman"/>
          <w:sz w:val="24"/>
          <w:szCs w:val="24"/>
        </w:rPr>
        <w:t xml:space="preserve">  To assess this point, suppose that </w:t>
      </w:r>
      <w:r w:rsidR="005B579E" w:rsidRPr="005B579E">
        <w:rPr>
          <w:rFonts w:ascii="Times New Roman" w:hAnsi="Times New Roman" w:cs="Times New Roman"/>
          <w:i/>
          <w:sz w:val="24"/>
          <w:szCs w:val="24"/>
        </w:rPr>
        <w:t>U</w:t>
      </w:r>
      <w:r w:rsidR="005B579E">
        <w:rPr>
          <w:rFonts w:ascii="Times New Roman" w:hAnsi="Times New Roman" w:cs="Times New Roman"/>
          <w:sz w:val="24"/>
          <w:szCs w:val="24"/>
        </w:rPr>
        <w:t xml:space="preserve"> = 0.5 and </w:t>
      </w:r>
      <w:r w:rsidR="005B579E" w:rsidRPr="0074324D">
        <w:rPr>
          <w:rFonts w:ascii="Times New Roman" w:hAnsi="Times New Roman" w:cs="Times New Roman"/>
          <w:i/>
          <w:sz w:val="24"/>
          <w:szCs w:val="24"/>
        </w:rPr>
        <w:t>δ</w:t>
      </w:r>
      <w:r w:rsidR="005B579E">
        <w:rPr>
          <w:rFonts w:ascii="Times New Roman" w:hAnsi="Times New Roman" w:cs="Times New Roman"/>
          <w:sz w:val="24"/>
          <w:szCs w:val="24"/>
        </w:rPr>
        <w:t xml:space="preserve"> = 0.80</w:t>
      </w:r>
      <w:r w:rsidR="000E7349">
        <w:rPr>
          <w:rFonts w:ascii="Times New Roman" w:hAnsi="Times New Roman" w:cs="Times New Roman"/>
          <w:sz w:val="24"/>
          <w:szCs w:val="24"/>
        </w:rPr>
        <w:t xml:space="preserve"> (because dividends are taxed at a higher rate than capital gains)</w:t>
      </w:r>
      <w:r w:rsidR="005B579E">
        <w:rPr>
          <w:rFonts w:ascii="Times New Roman" w:hAnsi="Times New Roman" w:cs="Times New Roman"/>
          <w:sz w:val="24"/>
          <w:szCs w:val="24"/>
        </w:rPr>
        <w:t>.  Accordingly, the coefficient on the credits in the regre</w:t>
      </w:r>
      <w:r w:rsidR="00D15AC8">
        <w:rPr>
          <w:rFonts w:ascii="Times New Roman" w:hAnsi="Times New Roman" w:cs="Times New Roman"/>
          <w:sz w:val="24"/>
          <w:szCs w:val="24"/>
        </w:rPr>
        <w:t>ssion model shown in equation (3</w:t>
      </w:r>
      <w:r w:rsidR="005B579E">
        <w:rPr>
          <w:rFonts w:ascii="Times New Roman" w:hAnsi="Times New Roman" w:cs="Times New Roman"/>
          <w:sz w:val="24"/>
          <w:szCs w:val="24"/>
        </w:rPr>
        <w:t xml:space="preserve">) </w:t>
      </w:r>
      <w:r w:rsidR="00AC6C2C">
        <w:rPr>
          <w:rFonts w:ascii="Times New Roman" w:hAnsi="Times New Roman" w:cs="Times New Roman"/>
          <w:sz w:val="24"/>
          <w:szCs w:val="24"/>
        </w:rPr>
        <w:t xml:space="preserve">would be </w:t>
      </w:r>
      <w:r w:rsidR="005B579E">
        <w:rPr>
          <w:rFonts w:ascii="Times New Roman" w:hAnsi="Times New Roman" w:cs="Times New Roman"/>
          <w:sz w:val="24"/>
          <w:szCs w:val="24"/>
        </w:rPr>
        <w:t xml:space="preserve">0.40.  Suppose further that this coefficient and </w:t>
      </w:r>
      <w:r w:rsidR="005B579E" w:rsidRPr="0074324D">
        <w:rPr>
          <w:rFonts w:ascii="Times New Roman" w:hAnsi="Times New Roman" w:cs="Times New Roman"/>
          <w:i/>
          <w:sz w:val="24"/>
          <w:szCs w:val="24"/>
        </w:rPr>
        <w:t>δ</w:t>
      </w:r>
      <w:r w:rsidR="005B579E">
        <w:rPr>
          <w:rFonts w:ascii="Times New Roman" w:hAnsi="Times New Roman" w:cs="Times New Roman"/>
          <w:sz w:val="24"/>
          <w:szCs w:val="24"/>
        </w:rPr>
        <w:t xml:space="preserve"> </w:t>
      </w:r>
      <w:r w:rsidR="000A6D1B">
        <w:rPr>
          <w:rFonts w:ascii="Times New Roman" w:hAnsi="Times New Roman" w:cs="Times New Roman"/>
          <w:sz w:val="24"/>
          <w:szCs w:val="24"/>
        </w:rPr>
        <w:t xml:space="preserve">were both accurately estimated.  In this case, dividing the estimate of the coefficient on the credits (0.40) by the estimate of </w:t>
      </w:r>
      <w:r w:rsidR="000A6D1B" w:rsidRPr="0074324D">
        <w:rPr>
          <w:rFonts w:ascii="Times New Roman" w:hAnsi="Times New Roman" w:cs="Times New Roman"/>
          <w:i/>
          <w:sz w:val="24"/>
          <w:szCs w:val="24"/>
        </w:rPr>
        <w:t>δ</w:t>
      </w:r>
      <w:r w:rsidR="000A6D1B">
        <w:rPr>
          <w:rFonts w:ascii="Times New Roman" w:hAnsi="Times New Roman" w:cs="Times New Roman"/>
          <w:sz w:val="24"/>
          <w:szCs w:val="24"/>
        </w:rPr>
        <w:t xml:space="preserve"> (0.80) as the AER does would produce an accurate estimate of </w:t>
      </w:r>
      <w:r w:rsidR="000A6D1B" w:rsidRPr="00773784">
        <w:rPr>
          <w:rFonts w:ascii="Times New Roman" w:hAnsi="Times New Roman" w:cs="Times New Roman"/>
          <w:i/>
          <w:sz w:val="24"/>
          <w:szCs w:val="24"/>
        </w:rPr>
        <w:t>U</w:t>
      </w:r>
      <w:r w:rsidR="000A6D1B">
        <w:rPr>
          <w:rFonts w:ascii="Times New Roman" w:hAnsi="Times New Roman" w:cs="Times New Roman"/>
          <w:sz w:val="24"/>
          <w:szCs w:val="24"/>
        </w:rPr>
        <w:t xml:space="preserve"> (of 0.50).  By contrast, </w:t>
      </w:r>
      <w:r w:rsidR="00773784">
        <w:rPr>
          <w:rFonts w:ascii="Times New Roman" w:hAnsi="Times New Roman" w:cs="Times New Roman"/>
          <w:sz w:val="24"/>
          <w:szCs w:val="24"/>
        </w:rPr>
        <w:t xml:space="preserve">Frontier would estimate </w:t>
      </w:r>
      <w:r w:rsidR="00773784" w:rsidRPr="00773784">
        <w:rPr>
          <w:rFonts w:ascii="Times New Roman" w:hAnsi="Times New Roman" w:cs="Times New Roman"/>
          <w:i/>
          <w:sz w:val="24"/>
          <w:szCs w:val="24"/>
        </w:rPr>
        <w:t>U</w:t>
      </w:r>
      <w:r w:rsidR="00773784">
        <w:rPr>
          <w:rFonts w:ascii="Times New Roman" w:hAnsi="Times New Roman" w:cs="Times New Roman"/>
          <w:sz w:val="24"/>
          <w:szCs w:val="24"/>
        </w:rPr>
        <w:t xml:space="preserve"> at 0.40.  So, Frontier’s approach would give rise to a biased estimate</w:t>
      </w:r>
      <w:r w:rsidR="00AC6C2C">
        <w:rPr>
          <w:rFonts w:ascii="Times New Roman" w:hAnsi="Times New Roman" w:cs="Times New Roman"/>
          <w:sz w:val="24"/>
          <w:szCs w:val="24"/>
        </w:rPr>
        <w:t xml:space="preserve"> of </w:t>
      </w:r>
      <w:r w:rsidR="00AC6C2C" w:rsidRPr="00AC6C2C">
        <w:rPr>
          <w:rFonts w:ascii="Times New Roman" w:hAnsi="Times New Roman" w:cs="Times New Roman"/>
          <w:i/>
          <w:sz w:val="24"/>
          <w:szCs w:val="24"/>
        </w:rPr>
        <w:t>U</w:t>
      </w:r>
      <w:r w:rsidR="00773784">
        <w:rPr>
          <w:rFonts w:ascii="Times New Roman" w:hAnsi="Times New Roman" w:cs="Times New Roman"/>
          <w:sz w:val="24"/>
          <w:szCs w:val="24"/>
        </w:rPr>
        <w:t xml:space="preserve">, and is therefore undesirable.  The fact that the Officer model assumes </w:t>
      </w:r>
      <w:r w:rsidR="00C32A95">
        <w:rPr>
          <w:rFonts w:ascii="Times New Roman" w:hAnsi="Times New Roman" w:cs="Times New Roman"/>
          <w:sz w:val="24"/>
          <w:szCs w:val="24"/>
        </w:rPr>
        <w:t xml:space="preserve">that </w:t>
      </w:r>
      <w:r w:rsidR="00773784" w:rsidRPr="0074324D">
        <w:rPr>
          <w:rFonts w:ascii="Times New Roman" w:hAnsi="Times New Roman" w:cs="Times New Roman"/>
          <w:i/>
          <w:sz w:val="24"/>
          <w:szCs w:val="24"/>
        </w:rPr>
        <w:t>δ</w:t>
      </w:r>
      <w:r w:rsidR="00773784">
        <w:rPr>
          <w:rFonts w:ascii="Times New Roman" w:hAnsi="Times New Roman" w:cs="Times New Roman"/>
          <w:sz w:val="24"/>
          <w:szCs w:val="24"/>
        </w:rPr>
        <w:t xml:space="preserve"> = 1</w:t>
      </w:r>
      <w:r w:rsidR="00D97F09">
        <w:rPr>
          <w:rFonts w:ascii="Times New Roman" w:hAnsi="Times New Roman" w:cs="Times New Roman"/>
          <w:sz w:val="24"/>
          <w:szCs w:val="24"/>
        </w:rPr>
        <w:t xml:space="preserve"> is a shortcoming in the model, which should not be compounded by using a biased estimate for a parameter in the model.</w:t>
      </w:r>
    </w:p>
    <w:p w:rsidR="001E2EC4" w:rsidRDefault="001E2EC4" w:rsidP="0074324D">
      <w:pPr>
        <w:pStyle w:val="ListParagraph"/>
        <w:spacing w:after="0" w:line="360" w:lineRule="auto"/>
        <w:ind w:left="0"/>
        <w:jc w:val="both"/>
        <w:rPr>
          <w:rFonts w:ascii="Times New Roman" w:hAnsi="Times New Roman" w:cs="Times New Roman"/>
          <w:sz w:val="24"/>
          <w:szCs w:val="24"/>
        </w:rPr>
      </w:pPr>
    </w:p>
    <w:p w:rsidR="001E2EC4" w:rsidRPr="001E2EC4" w:rsidRDefault="001E2EC4" w:rsidP="001E2EC4">
      <w:pPr>
        <w:pStyle w:val="ListParagraph"/>
        <w:numPr>
          <w:ilvl w:val="0"/>
          <w:numId w:val="1"/>
        </w:numPr>
        <w:spacing w:after="0" w:line="360" w:lineRule="auto"/>
        <w:ind w:left="360"/>
        <w:jc w:val="both"/>
        <w:rPr>
          <w:rFonts w:ascii="Times New Roman" w:hAnsi="Times New Roman" w:cs="Times New Roman"/>
          <w:b/>
          <w:sz w:val="24"/>
          <w:szCs w:val="24"/>
        </w:rPr>
      </w:pPr>
      <w:r>
        <w:rPr>
          <w:rFonts w:ascii="Times New Roman" w:hAnsi="Times New Roman" w:cs="Times New Roman"/>
          <w:b/>
          <w:sz w:val="24"/>
          <w:szCs w:val="24"/>
        </w:rPr>
        <w:t xml:space="preserve"> Questions from the AER</w:t>
      </w:r>
    </w:p>
    <w:p w:rsidR="00DA30C5" w:rsidRDefault="00DA30C5" w:rsidP="00122250">
      <w:pPr>
        <w:pStyle w:val="ListParagraph"/>
        <w:spacing w:after="0" w:line="360" w:lineRule="auto"/>
        <w:ind w:left="0"/>
        <w:jc w:val="both"/>
        <w:rPr>
          <w:rFonts w:ascii="Times New Roman" w:hAnsi="Times New Roman" w:cs="Times New Roman"/>
          <w:sz w:val="24"/>
          <w:szCs w:val="24"/>
        </w:rPr>
      </w:pPr>
    </w:p>
    <w:p w:rsidR="001E2EC4" w:rsidRDefault="001E2EC4" w:rsidP="00122250">
      <w:pPr>
        <w:pStyle w:val="ListParagraph"/>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The AER has posed a number of que</w:t>
      </w:r>
      <w:r w:rsidR="00C54723">
        <w:rPr>
          <w:rFonts w:ascii="Times New Roman" w:hAnsi="Times New Roman" w:cs="Times New Roman"/>
          <w:sz w:val="24"/>
          <w:szCs w:val="24"/>
        </w:rPr>
        <w:t>stions about the Frontier (2016b</w:t>
      </w:r>
      <w:r>
        <w:rPr>
          <w:rFonts w:ascii="Times New Roman" w:hAnsi="Times New Roman" w:cs="Times New Roman"/>
          <w:sz w:val="24"/>
          <w:szCs w:val="24"/>
        </w:rPr>
        <w:t>) paper, and these are now addressed.</w:t>
      </w:r>
    </w:p>
    <w:p w:rsidR="001E2EC4" w:rsidRDefault="001E2EC4" w:rsidP="00122250">
      <w:pPr>
        <w:pStyle w:val="ListParagraph"/>
        <w:spacing w:after="0" w:line="360" w:lineRule="auto"/>
        <w:ind w:left="0"/>
        <w:jc w:val="both"/>
        <w:rPr>
          <w:rFonts w:ascii="Times New Roman" w:hAnsi="Times New Roman" w:cs="Times New Roman"/>
          <w:sz w:val="24"/>
          <w:szCs w:val="24"/>
        </w:rPr>
      </w:pPr>
    </w:p>
    <w:p w:rsidR="001E2EC4" w:rsidRDefault="001E2EC4" w:rsidP="00122250">
      <w:pPr>
        <w:pStyle w:val="ListParagraph"/>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Firstly, the AER has asked whether the distribution rate </w:t>
      </w:r>
      <w:r w:rsidR="00AD6F34">
        <w:rPr>
          <w:rFonts w:ascii="Times New Roman" w:hAnsi="Times New Roman" w:cs="Times New Roman"/>
          <w:sz w:val="24"/>
          <w:szCs w:val="24"/>
        </w:rPr>
        <w:t xml:space="preserve">for the BEE should be determined by listed equity, all equity, both listed and all equity, or some other measure.  As discussed in the previous section, unlisted firms are unsuitable because their distribution rates seem to be </w:t>
      </w:r>
      <w:r w:rsidR="00AD6F34">
        <w:rPr>
          <w:rFonts w:ascii="Times New Roman" w:hAnsi="Times New Roman" w:cs="Times New Roman"/>
          <w:sz w:val="24"/>
          <w:szCs w:val="24"/>
        </w:rPr>
        <w:lastRenderedPageBreak/>
        <w:t>much lower than for listed firms (50% versus 75%, as reported in Frontier, 2016a, Table 1), the likely cause of this is lower dividend payout rates (of which the extreme case is sole traders who corporatize to reduce their taxes, which requires a low dividend payout rate), and regulated businesses are either listed or subsidiaries of firms that are (see Lally, 2016b, pp. 34-35).  Thus, listed firms should be used</w:t>
      </w:r>
      <w:r w:rsidR="006A3CEE">
        <w:rPr>
          <w:rFonts w:ascii="Times New Roman" w:hAnsi="Times New Roman" w:cs="Times New Roman"/>
          <w:sz w:val="24"/>
          <w:szCs w:val="24"/>
        </w:rPr>
        <w:t xml:space="preserve"> to estimate the distribution rate of the BEE.</w:t>
      </w:r>
    </w:p>
    <w:p w:rsidR="00AD6F34" w:rsidRDefault="00AD6F34" w:rsidP="00122250">
      <w:pPr>
        <w:pStyle w:val="ListParagraph"/>
        <w:spacing w:after="0" w:line="360" w:lineRule="auto"/>
        <w:ind w:left="0"/>
        <w:jc w:val="both"/>
        <w:rPr>
          <w:rFonts w:ascii="Times New Roman" w:hAnsi="Times New Roman" w:cs="Times New Roman"/>
          <w:sz w:val="24"/>
          <w:szCs w:val="24"/>
        </w:rPr>
      </w:pPr>
    </w:p>
    <w:p w:rsidR="00666728" w:rsidRDefault="00523613" w:rsidP="00666728">
      <w:pPr>
        <w:pStyle w:val="ListParagraph"/>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Secondly, the AER has asked whether it is appropriate to use the largest 20 listed firms to estimate the distribution rate.  As discussed in the previous section, </w:t>
      </w:r>
      <w:r w:rsidR="00666728">
        <w:rPr>
          <w:rFonts w:ascii="Times New Roman" w:hAnsi="Times New Roman" w:cs="Times New Roman"/>
          <w:sz w:val="24"/>
          <w:szCs w:val="24"/>
        </w:rPr>
        <w:t xml:space="preserve">ATO data on the distribution rate is unreliable because it generates markedly different estimates of the credits distributed according to whether dividend or company tax data is used.  So, the only suitable means of estimating the distribution rate of </w:t>
      </w:r>
      <w:r w:rsidR="009F72D8">
        <w:rPr>
          <w:rFonts w:ascii="Times New Roman" w:hAnsi="Times New Roman" w:cs="Times New Roman"/>
          <w:sz w:val="24"/>
          <w:szCs w:val="24"/>
        </w:rPr>
        <w:t xml:space="preserve">(listed) </w:t>
      </w:r>
      <w:r w:rsidR="00666728">
        <w:rPr>
          <w:rFonts w:ascii="Times New Roman" w:hAnsi="Times New Roman" w:cs="Times New Roman"/>
          <w:sz w:val="24"/>
          <w:szCs w:val="24"/>
        </w:rPr>
        <w:t xml:space="preserve">firms (stripped of the effect of foreign activities) is from their financial statements.  In doing so, the goal is to estimate the aggregate distribution rate of these </w:t>
      </w:r>
      <w:r w:rsidR="009F72D8">
        <w:rPr>
          <w:rFonts w:ascii="Times New Roman" w:hAnsi="Times New Roman" w:cs="Times New Roman"/>
          <w:sz w:val="24"/>
          <w:szCs w:val="24"/>
        </w:rPr>
        <w:t xml:space="preserve">(listed) </w:t>
      </w:r>
      <w:r w:rsidR="00666728">
        <w:rPr>
          <w:rFonts w:ascii="Times New Roman" w:hAnsi="Times New Roman" w:cs="Times New Roman"/>
          <w:sz w:val="24"/>
          <w:szCs w:val="24"/>
        </w:rPr>
        <w:t xml:space="preserve">firms (stripped of the effect of foreign activities), and therefore the best ones to examine are the largest companies.  The top 20 of these firms account for 62% of the value of the equity in the ASX200 (Lally, 2014, page 30), and the last ten of these firms raised the share of the ASX200 </w:t>
      </w:r>
      <w:r w:rsidR="00F106AC">
        <w:rPr>
          <w:rFonts w:ascii="Times New Roman" w:hAnsi="Times New Roman" w:cs="Times New Roman"/>
          <w:sz w:val="24"/>
          <w:szCs w:val="24"/>
        </w:rPr>
        <w:t xml:space="preserve">that was examined </w:t>
      </w:r>
      <w:r w:rsidR="00666728">
        <w:rPr>
          <w:rFonts w:ascii="Times New Roman" w:hAnsi="Times New Roman" w:cs="Times New Roman"/>
          <w:sz w:val="24"/>
          <w:szCs w:val="24"/>
        </w:rPr>
        <w:t xml:space="preserve">from </w:t>
      </w:r>
      <w:r w:rsidR="00056043">
        <w:rPr>
          <w:rFonts w:ascii="Times New Roman" w:hAnsi="Times New Roman" w:cs="Times New Roman"/>
          <w:sz w:val="24"/>
          <w:szCs w:val="24"/>
        </w:rPr>
        <w:t xml:space="preserve">only </w:t>
      </w:r>
      <w:r w:rsidR="00666728">
        <w:rPr>
          <w:rFonts w:ascii="Times New Roman" w:hAnsi="Times New Roman" w:cs="Times New Roman"/>
          <w:sz w:val="24"/>
          <w:szCs w:val="24"/>
        </w:rPr>
        <w:t xml:space="preserve">50% to 62%.  Thus, </w:t>
      </w:r>
      <w:r w:rsidR="00F106AC">
        <w:rPr>
          <w:rFonts w:ascii="Times New Roman" w:hAnsi="Times New Roman" w:cs="Times New Roman"/>
          <w:sz w:val="24"/>
          <w:szCs w:val="24"/>
        </w:rPr>
        <w:t xml:space="preserve">the </w:t>
      </w:r>
      <w:r w:rsidR="00C300A0">
        <w:rPr>
          <w:rFonts w:ascii="Times New Roman" w:hAnsi="Times New Roman" w:cs="Times New Roman"/>
          <w:sz w:val="24"/>
          <w:szCs w:val="24"/>
        </w:rPr>
        <w:t xml:space="preserve">sample is large in value terms and the </w:t>
      </w:r>
      <w:r w:rsidR="00666728">
        <w:rPr>
          <w:rFonts w:ascii="Times New Roman" w:hAnsi="Times New Roman" w:cs="Times New Roman"/>
          <w:sz w:val="24"/>
          <w:szCs w:val="24"/>
        </w:rPr>
        <w:t>gains from further increases in the sample size would be small.  This is the approach in Lally (2016a, section 3.5), leading to an estima</w:t>
      </w:r>
      <w:r w:rsidR="00056043">
        <w:rPr>
          <w:rFonts w:ascii="Times New Roman" w:hAnsi="Times New Roman" w:cs="Times New Roman"/>
          <w:sz w:val="24"/>
          <w:szCs w:val="24"/>
        </w:rPr>
        <w:t xml:space="preserve">te for the distribution rate of </w:t>
      </w:r>
      <w:r w:rsidR="00666728">
        <w:rPr>
          <w:rFonts w:ascii="Times New Roman" w:hAnsi="Times New Roman" w:cs="Times New Roman"/>
          <w:sz w:val="24"/>
          <w:szCs w:val="24"/>
        </w:rPr>
        <w:t>the BEE of at least 0.83.</w:t>
      </w:r>
    </w:p>
    <w:p w:rsidR="00AD6F34" w:rsidRDefault="00AD6F34" w:rsidP="00122250">
      <w:pPr>
        <w:pStyle w:val="ListParagraph"/>
        <w:spacing w:after="0" w:line="360" w:lineRule="auto"/>
        <w:ind w:left="0"/>
        <w:jc w:val="both"/>
        <w:rPr>
          <w:rFonts w:ascii="Times New Roman" w:hAnsi="Times New Roman" w:cs="Times New Roman"/>
          <w:sz w:val="24"/>
          <w:szCs w:val="24"/>
        </w:rPr>
      </w:pPr>
    </w:p>
    <w:p w:rsidR="00AD6F34" w:rsidRDefault="009B0326" w:rsidP="00122250">
      <w:pPr>
        <w:pStyle w:val="ListParagraph"/>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Thirdly, the AER notes that Frontier submits that foreign income allows more imputation credits </w:t>
      </w:r>
      <w:r w:rsidR="004F1CC2">
        <w:rPr>
          <w:rFonts w:ascii="Times New Roman" w:hAnsi="Times New Roman" w:cs="Times New Roman"/>
          <w:sz w:val="24"/>
          <w:szCs w:val="24"/>
        </w:rPr>
        <w:t>to be distributed, that Lally (2016a) shows that foreign income is negatively related to imputation distribution, that Frontier considers that Lally has not controlled for the difference in the dividend payout rates, and therefore seeks my views on Frontier’s response.  As dis</w:t>
      </w:r>
      <w:r w:rsidR="00374148">
        <w:rPr>
          <w:rFonts w:ascii="Times New Roman" w:hAnsi="Times New Roman" w:cs="Times New Roman"/>
          <w:sz w:val="24"/>
          <w:szCs w:val="24"/>
        </w:rPr>
        <w:t xml:space="preserve">cussed in the previous section, Frontier fails to offer any argument for controlling the dividend payout rate, and none is evident.  Furthermore, since the purpose of the exercise is to estimate the distribution rate of the market without foreign activities from a set of firms (some or all of which have foreign activities), one must strip out </w:t>
      </w:r>
      <w:r w:rsidR="00374148" w:rsidRPr="00101AC3">
        <w:rPr>
          <w:rFonts w:ascii="Times New Roman" w:hAnsi="Times New Roman" w:cs="Times New Roman"/>
          <w:i/>
          <w:sz w:val="24"/>
          <w:szCs w:val="24"/>
        </w:rPr>
        <w:t>all</w:t>
      </w:r>
      <w:r w:rsidR="00374148">
        <w:rPr>
          <w:rFonts w:ascii="Times New Roman" w:hAnsi="Times New Roman" w:cs="Times New Roman"/>
          <w:sz w:val="24"/>
          <w:szCs w:val="24"/>
        </w:rPr>
        <w:t xml:space="preserve"> phenomena that arise from foreign activities, which comprise not only the foreign income but any change in the dividend payout rate arising from foreign activities.  Controlling for any changes in the dividend payout rate would subvert that purpose.</w:t>
      </w:r>
    </w:p>
    <w:p w:rsidR="009B0326" w:rsidRDefault="009B0326" w:rsidP="00122250">
      <w:pPr>
        <w:pStyle w:val="ListParagraph"/>
        <w:spacing w:after="0" w:line="360" w:lineRule="auto"/>
        <w:ind w:left="0"/>
        <w:jc w:val="both"/>
        <w:rPr>
          <w:rFonts w:ascii="Times New Roman" w:hAnsi="Times New Roman" w:cs="Times New Roman"/>
          <w:sz w:val="24"/>
          <w:szCs w:val="24"/>
        </w:rPr>
      </w:pPr>
    </w:p>
    <w:p w:rsidR="00B0008D" w:rsidRDefault="00374148" w:rsidP="00B0008D">
      <w:pPr>
        <w:pStyle w:val="ListParagraph"/>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Fourthly, </w:t>
      </w:r>
      <w:r w:rsidR="00D401FE">
        <w:rPr>
          <w:rFonts w:ascii="Times New Roman" w:hAnsi="Times New Roman" w:cs="Times New Roman"/>
          <w:sz w:val="24"/>
          <w:szCs w:val="24"/>
        </w:rPr>
        <w:t xml:space="preserve">the AER has asked whether it is reliable to estimate gamma directly as the ratio of credits redeemed to credits created using ATO data.  As discussed in the previous section, </w:t>
      </w:r>
      <w:r w:rsidR="00D401FE">
        <w:rPr>
          <w:rFonts w:ascii="Times New Roman" w:hAnsi="Times New Roman" w:cs="Times New Roman"/>
          <w:sz w:val="24"/>
          <w:szCs w:val="24"/>
        </w:rPr>
        <w:lastRenderedPageBreak/>
        <w:t xml:space="preserve">this </w:t>
      </w:r>
      <w:r w:rsidR="00B0008D">
        <w:rPr>
          <w:rFonts w:ascii="Times New Roman" w:hAnsi="Times New Roman" w:cs="Times New Roman"/>
          <w:sz w:val="24"/>
          <w:szCs w:val="24"/>
        </w:rPr>
        <w:t>approach has three shortcomings.  Firstly, in addition to the estimate of gamma appearing within the cash flows, the Officer model requires an estimate of the utilization rate in order to estimate the MRP, that estimate would have to use the ATO data if gamma were estimated from the ATO data, and the unreliability of the ATO data in estimating the utilization rate (which Frontier seems to accept) would then be problematic.  Secondly, such an approach requires recourse to the same set of companies for estimating both the utilization and distribution rates, there is no necessity to do so, and good reason for not doing so (</w:t>
      </w:r>
      <w:r w:rsidR="00F106AC">
        <w:rPr>
          <w:rFonts w:ascii="Times New Roman" w:hAnsi="Times New Roman" w:cs="Times New Roman"/>
          <w:sz w:val="24"/>
          <w:szCs w:val="24"/>
        </w:rPr>
        <w:t xml:space="preserve">it is not desirable to use unlisted </w:t>
      </w:r>
      <w:r w:rsidR="00B0008D">
        <w:rPr>
          <w:rFonts w:ascii="Times New Roman" w:hAnsi="Times New Roman" w:cs="Times New Roman"/>
          <w:sz w:val="24"/>
          <w:szCs w:val="24"/>
        </w:rPr>
        <w:t xml:space="preserve">firms for estimating the distribution rate, which is firm-specific, whilst </w:t>
      </w:r>
      <w:r w:rsidR="00F106AC">
        <w:rPr>
          <w:rFonts w:ascii="Times New Roman" w:hAnsi="Times New Roman" w:cs="Times New Roman"/>
          <w:sz w:val="24"/>
          <w:szCs w:val="24"/>
        </w:rPr>
        <w:t xml:space="preserve">it is desirable to use all </w:t>
      </w:r>
      <w:r w:rsidR="00B0008D">
        <w:rPr>
          <w:rFonts w:ascii="Times New Roman" w:hAnsi="Times New Roman" w:cs="Times New Roman"/>
          <w:sz w:val="24"/>
          <w:szCs w:val="24"/>
        </w:rPr>
        <w:t>firms to estimate the utilization rate</w:t>
      </w:r>
      <w:r w:rsidR="003E6CCE">
        <w:rPr>
          <w:rFonts w:ascii="Times New Roman" w:hAnsi="Times New Roman" w:cs="Times New Roman"/>
          <w:sz w:val="24"/>
          <w:szCs w:val="24"/>
        </w:rPr>
        <w:t xml:space="preserve"> because it is a </w:t>
      </w:r>
      <w:r w:rsidR="00B0008D">
        <w:rPr>
          <w:rFonts w:ascii="Times New Roman" w:hAnsi="Times New Roman" w:cs="Times New Roman"/>
          <w:sz w:val="24"/>
          <w:szCs w:val="24"/>
        </w:rPr>
        <w:t xml:space="preserve">market-wide parameter).  Thirdly, whilst the problems in the ATO </w:t>
      </w:r>
      <w:r w:rsidR="00B0008D" w:rsidRPr="003E38F1">
        <w:rPr>
          <w:rFonts w:ascii="Times New Roman" w:hAnsi="Times New Roman" w:cs="Times New Roman"/>
          <w:i/>
          <w:sz w:val="24"/>
          <w:szCs w:val="24"/>
        </w:rPr>
        <w:t>may</w:t>
      </w:r>
      <w:r w:rsidR="00B0008D">
        <w:rPr>
          <w:rFonts w:ascii="Times New Roman" w:hAnsi="Times New Roman" w:cs="Times New Roman"/>
          <w:sz w:val="24"/>
          <w:szCs w:val="24"/>
        </w:rPr>
        <w:t xml:space="preserve"> be limited to the distribution rate (because the data offers two conflicting estimates of that rate), the credibility of the entire ATO database is damaged by the conflicting estimates of the distribution rate.</w:t>
      </w:r>
    </w:p>
    <w:p w:rsidR="00374148" w:rsidRDefault="00374148" w:rsidP="00122250">
      <w:pPr>
        <w:pStyle w:val="ListParagraph"/>
        <w:spacing w:after="0" w:line="360" w:lineRule="auto"/>
        <w:ind w:left="0"/>
        <w:jc w:val="both"/>
        <w:rPr>
          <w:rFonts w:ascii="Times New Roman" w:hAnsi="Times New Roman" w:cs="Times New Roman"/>
          <w:sz w:val="24"/>
          <w:szCs w:val="24"/>
        </w:rPr>
      </w:pPr>
    </w:p>
    <w:p w:rsidR="008079BC" w:rsidRDefault="002462E1" w:rsidP="008079BC">
      <w:pPr>
        <w:pStyle w:val="ListParagraph"/>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Fifthly, </w:t>
      </w:r>
      <w:r w:rsidR="003E38F1">
        <w:rPr>
          <w:rFonts w:ascii="Times New Roman" w:hAnsi="Times New Roman" w:cs="Times New Roman"/>
          <w:sz w:val="24"/>
          <w:szCs w:val="24"/>
        </w:rPr>
        <w:t xml:space="preserve">if the ATO data is reliable, the AER has asked whether they </w:t>
      </w:r>
      <w:r w:rsidR="00FB40C9">
        <w:rPr>
          <w:rFonts w:ascii="Times New Roman" w:hAnsi="Times New Roman" w:cs="Times New Roman"/>
          <w:sz w:val="24"/>
          <w:szCs w:val="24"/>
        </w:rPr>
        <w:t xml:space="preserve">would </w:t>
      </w:r>
      <w:r w:rsidR="003E38F1">
        <w:rPr>
          <w:rFonts w:ascii="Times New Roman" w:hAnsi="Times New Roman" w:cs="Times New Roman"/>
          <w:sz w:val="24"/>
          <w:szCs w:val="24"/>
        </w:rPr>
        <w:t>produce an upper bound estimate for gamma</w:t>
      </w:r>
      <w:r w:rsidR="005167CC">
        <w:rPr>
          <w:rFonts w:ascii="Times New Roman" w:hAnsi="Times New Roman" w:cs="Times New Roman"/>
          <w:sz w:val="24"/>
          <w:szCs w:val="24"/>
        </w:rPr>
        <w:t xml:space="preserve"> of 0.34 for the BEE, and </w:t>
      </w:r>
      <w:r w:rsidR="00E91DD0">
        <w:rPr>
          <w:rFonts w:ascii="Times New Roman" w:hAnsi="Times New Roman" w:cs="Times New Roman"/>
          <w:sz w:val="24"/>
          <w:szCs w:val="24"/>
        </w:rPr>
        <w:t xml:space="preserve">whether they could be </w:t>
      </w:r>
      <w:r w:rsidR="005167CC">
        <w:rPr>
          <w:rFonts w:ascii="Times New Roman" w:hAnsi="Times New Roman" w:cs="Times New Roman"/>
          <w:sz w:val="24"/>
          <w:szCs w:val="24"/>
        </w:rPr>
        <w:t>used as a point estimate for gamma for the BEE</w:t>
      </w:r>
      <w:r w:rsidR="003E38F1">
        <w:rPr>
          <w:rFonts w:ascii="Times New Roman" w:hAnsi="Times New Roman" w:cs="Times New Roman"/>
          <w:sz w:val="24"/>
          <w:szCs w:val="24"/>
        </w:rPr>
        <w:t xml:space="preserve">.  As discussed in the previous section, </w:t>
      </w:r>
      <w:r w:rsidR="004462DA">
        <w:rPr>
          <w:rFonts w:ascii="Times New Roman" w:hAnsi="Times New Roman" w:cs="Times New Roman"/>
          <w:sz w:val="24"/>
          <w:szCs w:val="24"/>
        </w:rPr>
        <w:t xml:space="preserve">the </w:t>
      </w:r>
      <w:r w:rsidR="008079BC">
        <w:rPr>
          <w:rFonts w:ascii="Times New Roman" w:hAnsi="Times New Roman" w:cs="Times New Roman"/>
          <w:sz w:val="24"/>
          <w:szCs w:val="24"/>
        </w:rPr>
        <w:t xml:space="preserve">ACT (2016, para 1093, 1095, 1066) argues that the redemption rate is an upper bound on the estimate of theta, due to time delays, administrative costs in distributing the credits, portfolio effects, and the effect of the 45 day rule.  Given the ACT’s belief that theta is the market value of the credits, and that these phenomena would depress the market value of the credits, this would seem to follow.  However, as noted in Lally (2016b, page 41), the ACT’s belief that theta </w:t>
      </w:r>
      <w:r w:rsidR="00B70B8C">
        <w:rPr>
          <w:rFonts w:ascii="Times New Roman" w:hAnsi="Times New Roman" w:cs="Times New Roman"/>
          <w:sz w:val="24"/>
          <w:szCs w:val="24"/>
        </w:rPr>
        <w:t xml:space="preserve">(as defined within the Officer model) </w:t>
      </w:r>
      <w:r w:rsidR="008079BC">
        <w:rPr>
          <w:rFonts w:ascii="Times New Roman" w:hAnsi="Times New Roman" w:cs="Times New Roman"/>
          <w:sz w:val="24"/>
          <w:szCs w:val="24"/>
        </w:rPr>
        <w:t>is by definition the market value of the credits is wrong (it is a weighted-average of investors’ utilization rates for the credits), and this alone undercuts their reasoning.</w:t>
      </w:r>
      <w:r w:rsidR="00FD65AB">
        <w:rPr>
          <w:rFonts w:ascii="Times New Roman" w:hAnsi="Times New Roman" w:cs="Times New Roman"/>
          <w:sz w:val="24"/>
          <w:szCs w:val="24"/>
        </w:rPr>
        <w:t xml:space="preserve">  Nevertheless, if the ATO data were reliable, they would produce an upper bound on the estimate for the utilization rate because Australian investors would tilt </w:t>
      </w:r>
      <w:r w:rsidR="00CC5F2E">
        <w:rPr>
          <w:rFonts w:ascii="Times New Roman" w:hAnsi="Times New Roman" w:cs="Times New Roman"/>
          <w:sz w:val="24"/>
          <w:szCs w:val="24"/>
        </w:rPr>
        <w:t xml:space="preserve">their portfolios </w:t>
      </w:r>
      <w:r w:rsidR="00FD65AB">
        <w:rPr>
          <w:rFonts w:ascii="Times New Roman" w:hAnsi="Times New Roman" w:cs="Times New Roman"/>
          <w:sz w:val="24"/>
          <w:szCs w:val="24"/>
        </w:rPr>
        <w:t>towards stocks with imputation credits (see Lally, 2016a, page</w:t>
      </w:r>
      <w:r w:rsidR="00CC5F2E">
        <w:rPr>
          <w:rFonts w:ascii="Times New Roman" w:hAnsi="Times New Roman" w:cs="Times New Roman"/>
          <w:sz w:val="24"/>
          <w:szCs w:val="24"/>
        </w:rPr>
        <w:t xml:space="preserve"> 19</w:t>
      </w:r>
      <w:r w:rsidR="007A2DD0">
        <w:rPr>
          <w:rFonts w:ascii="Times New Roman" w:hAnsi="Times New Roman" w:cs="Times New Roman"/>
          <w:sz w:val="24"/>
          <w:szCs w:val="24"/>
        </w:rPr>
        <w:t xml:space="preserve">).  However, </w:t>
      </w:r>
      <w:r w:rsidR="00FB40C9">
        <w:rPr>
          <w:rFonts w:ascii="Times New Roman" w:hAnsi="Times New Roman" w:cs="Times New Roman"/>
          <w:sz w:val="24"/>
          <w:szCs w:val="24"/>
        </w:rPr>
        <w:t xml:space="preserve">the ATO data are </w:t>
      </w:r>
      <w:r w:rsidR="007A2DD0">
        <w:rPr>
          <w:rFonts w:ascii="Times New Roman" w:hAnsi="Times New Roman" w:cs="Times New Roman"/>
          <w:sz w:val="24"/>
          <w:szCs w:val="24"/>
        </w:rPr>
        <w:t>not reliable and therefore the most that could be said is that the estimate of this parameter using ATO data would be biased up.</w:t>
      </w:r>
    </w:p>
    <w:p w:rsidR="008079BC" w:rsidRDefault="008079BC" w:rsidP="008079BC">
      <w:pPr>
        <w:pStyle w:val="ListParagraph"/>
        <w:spacing w:after="0" w:line="360" w:lineRule="auto"/>
        <w:ind w:left="0"/>
        <w:jc w:val="both"/>
        <w:rPr>
          <w:rFonts w:ascii="Times New Roman" w:hAnsi="Times New Roman" w:cs="Times New Roman"/>
          <w:sz w:val="24"/>
          <w:szCs w:val="24"/>
        </w:rPr>
      </w:pPr>
    </w:p>
    <w:p w:rsidR="00B0008D" w:rsidRDefault="008079BC" w:rsidP="00122250">
      <w:pPr>
        <w:pStyle w:val="ListParagraph"/>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Sixthly, </w:t>
      </w:r>
      <w:r w:rsidR="00CE7E7B">
        <w:rPr>
          <w:rFonts w:ascii="Times New Roman" w:hAnsi="Times New Roman" w:cs="Times New Roman"/>
          <w:sz w:val="24"/>
          <w:szCs w:val="24"/>
        </w:rPr>
        <w:t xml:space="preserve">the AER has asked whether there are issues with using </w:t>
      </w:r>
      <w:r w:rsidR="00056043">
        <w:rPr>
          <w:rFonts w:ascii="Times New Roman" w:hAnsi="Times New Roman" w:cs="Times New Roman"/>
          <w:sz w:val="24"/>
          <w:szCs w:val="24"/>
        </w:rPr>
        <w:t xml:space="preserve">DDO </w:t>
      </w:r>
      <w:r w:rsidR="00CE7E7B">
        <w:rPr>
          <w:rFonts w:ascii="Times New Roman" w:hAnsi="Times New Roman" w:cs="Times New Roman"/>
          <w:sz w:val="24"/>
          <w:szCs w:val="24"/>
        </w:rPr>
        <w:t>studies to estimate</w:t>
      </w:r>
      <w:r w:rsidR="00B70B8C">
        <w:rPr>
          <w:rFonts w:ascii="Times New Roman" w:hAnsi="Times New Roman" w:cs="Times New Roman"/>
          <w:sz w:val="24"/>
          <w:szCs w:val="24"/>
        </w:rPr>
        <w:t xml:space="preserve"> theta</w:t>
      </w:r>
      <w:r w:rsidR="00155CC3">
        <w:rPr>
          <w:rFonts w:ascii="Times New Roman" w:hAnsi="Times New Roman" w:cs="Times New Roman"/>
          <w:sz w:val="24"/>
          <w:szCs w:val="24"/>
        </w:rPr>
        <w:t xml:space="preserve"> and how material they are.  </w:t>
      </w:r>
      <w:r w:rsidR="004462DA">
        <w:rPr>
          <w:rFonts w:ascii="Times New Roman" w:hAnsi="Times New Roman" w:cs="Times New Roman"/>
          <w:sz w:val="24"/>
          <w:szCs w:val="24"/>
        </w:rPr>
        <w:t xml:space="preserve">These problems are summarized in section 2.  </w:t>
      </w:r>
      <w:r w:rsidR="00155CC3">
        <w:rPr>
          <w:rFonts w:ascii="Times New Roman" w:hAnsi="Times New Roman" w:cs="Times New Roman"/>
          <w:sz w:val="24"/>
          <w:szCs w:val="24"/>
        </w:rPr>
        <w:t xml:space="preserve">Collectively, these drawbacks are so severe as to warrant giving the lowest weight on the results from these studies.  </w:t>
      </w:r>
    </w:p>
    <w:p w:rsidR="001F091A" w:rsidRDefault="001F091A" w:rsidP="00122250">
      <w:pPr>
        <w:pStyle w:val="ListParagraph"/>
        <w:spacing w:after="0" w:line="360" w:lineRule="auto"/>
        <w:ind w:left="0"/>
        <w:jc w:val="both"/>
        <w:rPr>
          <w:rFonts w:ascii="Times New Roman" w:hAnsi="Times New Roman" w:cs="Times New Roman"/>
          <w:sz w:val="24"/>
          <w:szCs w:val="24"/>
        </w:rPr>
      </w:pPr>
    </w:p>
    <w:p w:rsidR="008F4583" w:rsidRDefault="001F091A" w:rsidP="00901770">
      <w:pPr>
        <w:pStyle w:val="ListParagraph"/>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lastRenderedPageBreak/>
        <w:t xml:space="preserve">Seventhly, </w:t>
      </w:r>
      <w:r w:rsidR="00B87263">
        <w:rPr>
          <w:rFonts w:ascii="Times New Roman" w:hAnsi="Times New Roman" w:cs="Times New Roman"/>
          <w:sz w:val="24"/>
          <w:szCs w:val="24"/>
        </w:rPr>
        <w:t>the AER has asked whether DDO studies provide an appropriate post-company tax (pre-personal tax and cost) estimate of the value of distributed imputation credits that is consistent with the post-tax WACC required by the National Electricity Rules.</w:t>
      </w:r>
      <w:r w:rsidR="001B5286">
        <w:rPr>
          <w:rFonts w:ascii="Times New Roman" w:hAnsi="Times New Roman" w:cs="Times New Roman"/>
          <w:sz w:val="24"/>
          <w:szCs w:val="24"/>
        </w:rPr>
        <w:t xml:space="preserve">  </w:t>
      </w:r>
      <w:r w:rsidR="00BC626F">
        <w:rPr>
          <w:rFonts w:ascii="Times New Roman" w:hAnsi="Times New Roman" w:cs="Times New Roman"/>
          <w:sz w:val="24"/>
          <w:szCs w:val="24"/>
        </w:rPr>
        <w:t xml:space="preserve">These rules are not very specific on the cost of capital, and grant considerable discretion to the regulator; in respect of the NER, the relevant rules are in clause 6.5.2 (AEMC, 2016).  However, clause 6.5.3 </w:t>
      </w:r>
      <w:r w:rsidR="00AB4716">
        <w:rPr>
          <w:rFonts w:ascii="Times New Roman" w:hAnsi="Times New Roman" w:cs="Times New Roman"/>
          <w:sz w:val="24"/>
          <w:szCs w:val="24"/>
        </w:rPr>
        <w:t>requires allowance for the “value of imputation credits” and in such a way as to point to use of the Officer (1994) model, which all Australian regulators use.  This model is post-company tax</w:t>
      </w:r>
      <w:r w:rsidR="00945713">
        <w:rPr>
          <w:rFonts w:ascii="Times New Roman" w:hAnsi="Times New Roman" w:cs="Times New Roman"/>
          <w:sz w:val="24"/>
          <w:szCs w:val="24"/>
        </w:rPr>
        <w:t xml:space="preserve"> and pre-personal tax</w:t>
      </w:r>
      <w:r w:rsidR="00D046BA">
        <w:rPr>
          <w:rFonts w:ascii="Times New Roman" w:hAnsi="Times New Roman" w:cs="Times New Roman"/>
          <w:sz w:val="24"/>
          <w:szCs w:val="24"/>
        </w:rPr>
        <w:t>.</w:t>
      </w:r>
      <w:r w:rsidR="00C54A71">
        <w:rPr>
          <w:rFonts w:ascii="Times New Roman" w:hAnsi="Times New Roman" w:cs="Times New Roman"/>
          <w:sz w:val="24"/>
          <w:szCs w:val="24"/>
        </w:rPr>
        <w:t xml:space="preserve">  DDO studies provide an estimate of </w:t>
      </w:r>
      <w:r w:rsidR="00945713">
        <w:rPr>
          <w:rFonts w:ascii="Times New Roman" w:hAnsi="Times New Roman" w:cs="Times New Roman"/>
          <w:sz w:val="24"/>
          <w:szCs w:val="24"/>
        </w:rPr>
        <w:t xml:space="preserve">the utilization rate on credits that is consistent with this, as explained in section 3.  </w:t>
      </w:r>
      <w:r w:rsidR="000F3441">
        <w:rPr>
          <w:rFonts w:ascii="Times New Roman" w:hAnsi="Times New Roman" w:cs="Times New Roman"/>
          <w:sz w:val="24"/>
          <w:szCs w:val="24"/>
        </w:rPr>
        <w:t xml:space="preserve">By contrast, </w:t>
      </w:r>
      <w:r w:rsidR="005E4DA4">
        <w:rPr>
          <w:rFonts w:ascii="Times New Roman" w:hAnsi="Times New Roman" w:cs="Times New Roman"/>
          <w:sz w:val="24"/>
          <w:szCs w:val="24"/>
        </w:rPr>
        <w:t xml:space="preserve">in respect of personal costs, the Officer model specifies the cost of equity pre personal costs </w:t>
      </w:r>
      <w:r w:rsidR="008F4583">
        <w:rPr>
          <w:rFonts w:ascii="Times New Roman" w:hAnsi="Times New Roman" w:cs="Times New Roman"/>
          <w:sz w:val="24"/>
          <w:szCs w:val="24"/>
        </w:rPr>
        <w:t xml:space="preserve">(and hence </w:t>
      </w:r>
      <w:r w:rsidR="008F4583" w:rsidRPr="008F4583">
        <w:rPr>
          <w:rFonts w:ascii="Times New Roman" w:hAnsi="Times New Roman" w:cs="Times New Roman"/>
          <w:i/>
          <w:sz w:val="24"/>
          <w:szCs w:val="24"/>
        </w:rPr>
        <w:t>U</w:t>
      </w:r>
      <w:r w:rsidR="008F4583">
        <w:rPr>
          <w:rFonts w:ascii="Times New Roman" w:hAnsi="Times New Roman" w:cs="Times New Roman"/>
          <w:sz w:val="24"/>
          <w:szCs w:val="24"/>
        </w:rPr>
        <w:t xml:space="preserve"> is defined pre personal costs) </w:t>
      </w:r>
      <w:r w:rsidR="005E4DA4">
        <w:rPr>
          <w:rFonts w:ascii="Times New Roman" w:hAnsi="Times New Roman" w:cs="Times New Roman"/>
          <w:sz w:val="24"/>
          <w:szCs w:val="24"/>
        </w:rPr>
        <w:t xml:space="preserve">whilst the estimate of </w:t>
      </w:r>
      <w:r w:rsidR="00F200DF">
        <w:rPr>
          <w:rFonts w:ascii="Times New Roman" w:hAnsi="Times New Roman" w:cs="Times New Roman"/>
          <w:sz w:val="24"/>
          <w:szCs w:val="24"/>
        </w:rPr>
        <w:t xml:space="preserve">the utilization rate from </w:t>
      </w:r>
      <w:r w:rsidR="005E4DA4">
        <w:rPr>
          <w:rFonts w:ascii="Times New Roman" w:hAnsi="Times New Roman" w:cs="Times New Roman"/>
          <w:sz w:val="24"/>
          <w:szCs w:val="24"/>
        </w:rPr>
        <w:t xml:space="preserve">DDO studies </w:t>
      </w:r>
      <w:r w:rsidR="000F3441">
        <w:rPr>
          <w:rFonts w:ascii="Times New Roman" w:hAnsi="Times New Roman" w:cs="Times New Roman"/>
          <w:sz w:val="24"/>
          <w:szCs w:val="24"/>
        </w:rPr>
        <w:t xml:space="preserve">would be lowered by any personal costs other than taxes.  </w:t>
      </w:r>
      <w:r w:rsidR="00B050FD">
        <w:rPr>
          <w:rFonts w:ascii="Times New Roman" w:hAnsi="Times New Roman" w:cs="Times New Roman"/>
          <w:sz w:val="24"/>
          <w:szCs w:val="24"/>
        </w:rPr>
        <w:t xml:space="preserve">To see this, </w:t>
      </w:r>
      <w:r w:rsidR="00901770">
        <w:rPr>
          <w:rFonts w:ascii="Times New Roman" w:hAnsi="Times New Roman" w:cs="Times New Roman"/>
          <w:sz w:val="24"/>
          <w:szCs w:val="24"/>
        </w:rPr>
        <w:t xml:space="preserve">suppose that all investors can use the imputation credits (so </w:t>
      </w:r>
      <w:r w:rsidR="00901770" w:rsidRPr="00150CD5">
        <w:rPr>
          <w:rFonts w:ascii="Times New Roman" w:hAnsi="Times New Roman" w:cs="Times New Roman"/>
          <w:i/>
          <w:sz w:val="24"/>
          <w:szCs w:val="24"/>
        </w:rPr>
        <w:t>U</w:t>
      </w:r>
      <w:r w:rsidR="00901770">
        <w:rPr>
          <w:rFonts w:ascii="Times New Roman" w:hAnsi="Times New Roman" w:cs="Times New Roman"/>
          <w:sz w:val="24"/>
          <w:szCs w:val="24"/>
        </w:rPr>
        <w:t xml:space="preserve"> = 1), capital gains are taxed at the same rate as dividends, and </w:t>
      </w:r>
      <w:r w:rsidR="00A07DAC">
        <w:rPr>
          <w:rFonts w:ascii="Times New Roman" w:hAnsi="Times New Roman" w:cs="Times New Roman"/>
          <w:sz w:val="24"/>
          <w:szCs w:val="24"/>
        </w:rPr>
        <w:t xml:space="preserve">the </w:t>
      </w:r>
      <w:r w:rsidR="004C53C9">
        <w:rPr>
          <w:rFonts w:ascii="Times New Roman" w:hAnsi="Times New Roman" w:cs="Times New Roman"/>
          <w:sz w:val="24"/>
          <w:szCs w:val="24"/>
        </w:rPr>
        <w:t xml:space="preserve">transactions costs associated with the credits are proportion </w:t>
      </w:r>
      <w:r w:rsidR="004C53C9" w:rsidRPr="004C53C9">
        <w:rPr>
          <w:rFonts w:ascii="Times New Roman" w:hAnsi="Times New Roman" w:cs="Times New Roman"/>
          <w:i/>
          <w:sz w:val="24"/>
          <w:szCs w:val="24"/>
        </w:rPr>
        <w:t>k</w:t>
      </w:r>
      <w:r w:rsidR="008F4583">
        <w:rPr>
          <w:rFonts w:ascii="Times New Roman" w:hAnsi="Times New Roman" w:cs="Times New Roman"/>
          <w:sz w:val="24"/>
          <w:szCs w:val="24"/>
        </w:rPr>
        <w:t xml:space="preserve"> of the credits.</w:t>
      </w:r>
      <w:r w:rsidR="00901770">
        <w:rPr>
          <w:rFonts w:ascii="Times New Roman" w:hAnsi="Times New Roman" w:cs="Times New Roman"/>
          <w:sz w:val="24"/>
          <w:szCs w:val="24"/>
        </w:rPr>
        <w:t xml:space="preserve">  </w:t>
      </w:r>
      <w:r w:rsidR="00A07DAC">
        <w:rPr>
          <w:rFonts w:ascii="Times New Roman" w:hAnsi="Times New Roman" w:cs="Times New Roman"/>
          <w:sz w:val="24"/>
          <w:szCs w:val="24"/>
        </w:rPr>
        <w:t xml:space="preserve">Following the earlier analysis leading up to equation (3), the </w:t>
      </w:r>
      <w:r w:rsidR="00901770">
        <w:rPr>
          <w:rFonts w:ascii="Times New Roman" w:hAnsi="Times New Roman" w:cs="Times New Roman"/>
          <w:sz w:val="24"/>
          <w:szCs w:val="24"/>
        </w:rPr>
        <w:t xml:space="preserve">price change around ex-day </w:t>
      </w:r>
      <w:r w:rsidR="00E91DD0">
        <w:rPr>
          <w:rFonts w:ascii="Times New Roman" w:hAnsi="Times New Roman" w:cs="Times New Roman"/>
          <w:sz w:val="24"/>
          <w:szCs w:val="24"/>
        </w:rPr>
        <w:t xml:space="preserve">would then be the </w:t>
      </w:r>
      <w:r w:rsidR="002324B4">
        <w:rPr>
          <w:rFonts w:ascii="Times New Roman" w:hAnsi="Times New Roman" w:cs="Times New Roman"/>
          <w:sz w:val="24"/>
          <w:szCs w:val="24"/>
        </w:rPr>
        <w:t xml:space="preserve">sum of the </w:t>
      </w:r>
      <w:r w:rsidR="00901770">
        <w:rPr>
          <w:rFonts w:ascii="Times New Roman" w:hAnsi="Times New Roman" w:cs="Times New Roman"/>
          <w:sz w:val="24"/>
          <w:szCs w:val="24"/>
        </w:rPr>
        <w:t>cash dividend</w:t>
      </w:r>
      <w:r w:rsidR="008F4583">
        <w:rPr>
          <w:rFonts w:ascii="Times New Roman" w:hAnsi="Times New Roman" w:cs="Times New Roman"/>
          <w:sz w:val="24"/>
          <w:szCs w:val="24"/>
        </w:rPr>
        <w:t xml:space="preserve"> </w:t>
      </w:r>
      <w:r w:rsidR="008F4583" w:rsidRPr="008F4583">
        <w:rPr>
          <w:rFonts w:ascii="Times New Roman" w:hAnsi="Times New Roman" w:cs="Times New Roman"/>
          <w:i/>
          <w:sz w:val="24"/>
          <w:szCs w:val="24"/>
        </w:rPr>
        <w:t>D</w:t>
      </w:r>
      <w:r w:rsidR="00901770">
        <w:rPr>
          <w:rFonts w:ascii="Times New Roman" w:hAnsi="Times New Roman" w:cs="Times New Roman"/>
          <w:sz w:val="24"/>
          <w:szCs w:val="24"/>
        </w:rPr>
        <w:t xml:space="preserve">, </w:t>
      </w:r>
      <w:r w:rsidR="004C53C9">
        <w:rPr>
          <w:rFonts w:ascii="Times New Roman" w:hAnsi="Times New Roman" w:cs="Times New Roman"/>
          <w:sz w:val="24"/>
          <w:szCs w:val="24"/>
        </w:rPr>
        <w:t xml:space="preserve">proportion (1- </w:t>
      </w:r>
      <w:r w:rsidR="004C53C9" w:rsidRPr="004C53C9">
        <w:rPr>
          <w:rFonts w:ascii="Times New Roman" w:hAnsi="Times New Roman" w:cs="Times New Roman"/>
          <w:i/>
          <w:sz w:val="24"/>
          <w:szCs w:val="24"/>
        </w:rPr>
        <w:t>k</w:t>
      </w:r>
      <w:r w:rsidR="004C53C9">
        <w:rPr>
          <w:rFonts w:ascii="Times New Roman" w:hAnsi="Times New Roman" w:cs="Times New Roman"/>
          <w:sz w:val="24"/>
          <w:szCs w:val="24"/>
        </w:rPr>
        <w:t xml:space="preserve">) of </w:t>
      </w:r>
      <w:r w:rsidR="00901770">
        <w:rPr>
          <w:rFonts w:ascii="Times New Roman" w:hAnsi="Times New Roman" w:cs="Times New Roman"/>
          <w:sz w:val="24"/>
          <w:szCs w:val="24"/>
        </w:rPr>
        <w:t>the imputation credits</w:t>
      </w:r>
      <w:r w:rsidR="008F4583">
        <w:rPr>
          <w:rFonts w:ascii="Times New Roman" w:hAnsi="Times New Roman" w:cs="Times New Roman"/>
          <w:sz w:val="24"/>
          <w:szCs w:val="24"/>
        </w:rPr>
        <w:t xml:space="preserve"> </w:t>
      </w:r>
      <w:r w:rsidR="008F4583" w:rsidRPr="008F4583">
        <w:rPr>
          <w:rFonts w:ascii="Times New Roman" w:hAnsi="Times New Roman" w:cs="Times New Roman"/>
          <w:i/>
          <w:sz w:val="24"/>
          <w:szCs w:val="24"/>
        </w:rPr>
        <w:t>IC</w:t>
      </w:r>
      <w:r w:rsidR="008F4583">
        <w:rPr>
          <w:rFonts w:ascii="Times New Roman" w:hAnsi="Times New Roman" w:cs="Times New Roman"/>
          <w:sz w:val="24"/>
          <w:szCs w:val="24"/>
        </w:rPr>
        <w:t>,</w:t>
      </w:r>
      <w:r w:rsidR="00901770">
        <w:rPr>
          <w:rFonts w:ascii="Times New Roman" w:hAnsi="Times New Roman" w:cs="Times New Roman"/>
          <w:sz w:val="24"/>
          <w:szCs w:val="24"/>
        </w:rPr>
        <w:t xml:space="preserve"> and the noise term</w:t>
      </w:r>
      <w:r w:rsidR="008F4583">
        <w:rPr>
          <w:rFonts w:ascii="Times New Roman" w:hAnsi="Times New Roman" w:cs="Times New Roman"/>
          <w:sz w:val="24"/>
          <w:szCs w:val="24"/>
        </w:rPr>
        <w:t xml:space="preserve"> </w:t>
      </w:r>
      <w:r w:rsidR="008F4583" w:rsidRPr="008F4583">
        <w:rPr>
          <w:rFonts w:ascii="Times New Roman" w:hAnsi="Times New Roman" w:cs="Times New Roman"/>
          <w:i/>
          <w:sz w:val="24"/>
          <w:szCs w:val="24"/>
        </w:rPr>
        <w:t>e</w:t>
      </w:r>
      <w:r w:rsidR="008F4583">
        <w:rPr>
          <w:rFonts w:ascii="Times New Roman" w:hAnsi="Times New Roman" w:cs="Times New Roman"/>
          <w:sz w:val="24"/>
          <w:szCs w:val="24"/>
        </w:rPr>
        <w:t>:</w:t>
      </w:r>
    </w:p>
    <w:p w:rsidR="00901770" w:rsidRDefault="004C53C9" w:rsidP="00901770">
      <w:pPr>
        <w:pStyle w:val="ListParagraph"/>
        <w:spacing w:after="0" w:line="360" w:lineRule="auto"/>
        <w:ind w:left="0"/>
        <w:jc w:val="center"/>
        <w:rPr>
          <w:rFonts w:ascii="Times New Roman" w:hAnsi="Times New Roman" w:cs="Times New Roman"/>
          <w:sz w:val="24"/>
          <w:szCs w:val="24"/>
        </w:rPr>
      </w:pPr>
      <w:r w:rsidRPr="004C53C9">
        <w:rPr>
          <w:rFonts w:ascii="Times New Roman" w:hAnsi="Times New Roman" w:cs="Times New Roman"/>
          <w:position w:val="-10"/>
          <w:sz w:val="24"/>
          <w:szCs w:val="24"/>
        </w:rPr>
        <w:object w:dxaOrig="2280" w:dyaOrig="320">
          <v:shape id="_x0000_i1035" type="#_x0000_t75" style="width:113.7pt;height:16.65pt" o:ole="">
            <v:imagedata r:id="rId29" o:title=""/>
          </v:shape>
          <o:OLEObject Type="Embed" ProgID="Equation.3" ShapeID="_x0000_i1035" DrawAspect="Content" ObjectID="_1554554741" r:id="rId30"/>
        </w:object>
      </w:r>
    </w:p>
    <w:p w:rsidR="00901770" w:rsidRDefault="00901770" w:rsidP="00901770">
      <w:pPr>
        <w:pStyle w:val="ListParagraph"/>
        <w:spacing w:after="0" w:line="360" w:lineRule="auto"/>
        <w:ind w:left="0"/>
        <w:jc w:val="center"/>
        <w:rPr>
          <w:rFonts w:ascii="Times New Roman" w:hAnsi="Times New Roman" w:cs="Times New Roman"/>
          <w:sz w:val="24"/>
          <w:szCs w:val="24"/>
        </w:rPr>
      </w:pPr>
    </w:p>
    <w:p w:rsidR="001F091A" w:rsidRDefault="00754870" w:rsidP="00901770">
      <w:pPr>
        <w:pStyle w:val="ListParagraph"/>
        <w:spacing w:after="0" w:line="360" w:lineRule="auto"/>
        <w:ind w:left="0"/>
        <w:jc w:val="both"/>
        <w:rPr>
          <w:rFonts w:ascii="Times New Roman" w:hAnsi="Times New Roman" w:cs="Times New Roman"/>
          <w:sz w:val="24"/>
          <w:szCs w:val="24"/>
          <w:u w:val="single"/>
        </w:rPr>
      </w:pPr>
      <w:r>
        <w:rPr>
          <w:rFonts w:ascii="Times New Roman" w:hAnsi="Times New Roman" w:cs="Times New Roman"/>
          <w:sz w:val="24"/>
          <w:szCs w:val="24"/>
        </w:rPr>
        <w:t xml:space="preserve">Accordingly, the </w:t>
      </w:r>
      <w:r w:rsidR="004C53C9">
        <w:rPr>
          <w:rFonts w:ascii="Times New Roman" w:hAnsi="Times New Roman" w:cs="Times New Roman"/>
          <w:sz w:val="24"/>
          <w:szCs w:val="24"/>
        </w:rPr>
        <w:t>coefficient on the credits would be</w:t>
      </w:r>
      <w:r>
        <w:rPr>
          <w:rFonts w:ascii="Times New Roman" w:hAnsi="Times New Roman" w:cs="Times New Roman"/>
          <w:sz w:val="24"/>
          <w:szCs w:val="24"/>
        </w:rPr>
        <w:t xml:space="preserve"> </w:t>
      </w:r>
      <w:r w:rsidR="004C53C9">
        <w:rPr>
          <w:rFonts w:ascii="Times New Roman" w:hAnsi="Times New Roman" w:cs="Times New Roman"/>
          <w:sz w:val="24"/>
          <w:szCs w:val="24"/>
        </w:rPr>
        <w:t xml:space="preserve">(1- </w:t>
      </w:r>
      <w:r w:rsidR="004C53C9" w:rsidRPr="008F4583">
        <w:rPr>
          <w:rFonts w:ascii="Times New Roman" w:hAnsi="Times New Roman" w:cs="Times New Roman"/>
          <w:i/>
          <w:sz w:val="24"/>
          <w:szCs w:val="24"/>
        </w:rPr>
        <w:t>k</w:t>
      </w:r>
      <w:r w:rsidR="002324B4">
        <w:rPr>
          <w:rFonts w:ascii="Times New Roman" w:hAnsi="Times New Roman" w:cs="Times New Roman"/>
          <w:sz w:val="24"/>
          <w:szCs w:val="24"/>
        </w:rPr>
        <w:t xml:space="preserve">) rather than 1.  Regressing the price change on </w:t>
      </w:r>
      <w:r w:rsidR="002324B4" w:rsidRPr="002324B4">
        <w:rPr>
          <w:rFonts w:ascii="Times New Roman" w:hAnsi="Times New Roman" w:cs="Times New Roman"/>
          <w:i/>
          <w:sz w:val="24"/>
          <w:szCs w:val="24"/>
        </w:rPr>
        <w:t>D</w:t>
      </w:r>
      <w:r w:rsidR="002324B4">
        <w:rPr>
          <w:rFonts w:ascii="Times New Roman" w:hAnsi="Times New Roman" w:cs="Times New Roman"/>
          <w:sz w:val="24"/>
          <w:szCs w:val="24"/>
        </w:rPr>
        <w:t xml:space="preserve"> and </w:t>
      </w:r>
      <w:r w:rsidR="002324B4" w:rsidRPr="002324B4">
        <w:rPr>
          <w:rFonts w:ascii="Times New Roman" w:hAnsi="Times New Roman" w:cs="Times New Roman"/>
          <w:i/>
          <w:sz w:val="24"/>
          <w:szCs w:val="24"/>
        </w:rPr>
        <w:t>IC</w:t>
      </w:r>
      <w:r w:rsidR="002324B4">
        <w:rPr>
          <w:rFonts w:ascii="Times New Roman" w:hAnsi="Times New Roman" w:cs="Times New Roman"/>
          <w:sz w:val="24"/>
          <w:szCs w:val="24"/>
        </w:rPr>
        <w:t xml:space="preserve"> would then produce an expected coefficient on the credits of (1 – </w:t>
      </w:r>
      <w:r w:rsidR="002324B4" w:rsidRPr="002324B4">
        <w:rPr>
          <w:rFonts w:ascii="Times New Roman" w:hAnsi="Times New Roman" w:cs="Times New Roman"/>
          <w:i/>
          <w:sz w:val="24"/>
          <w:szCs w:val="24"/>
        </w:rPr>
        <w:t>k</w:t>
      </w:r>
      <w:r w:rsidR="002324B4">
        <w:rPr>
          <w:rFonts w:ascii="Times New Roman" w:hAnsi="Times New Roman" w:cs="Times New Roman"/>
          <w:sz w:val="24"/>
          <w:szCs w:val="24"/>
        </w:rPr>
        <w:t>),</w:t>
      </w:r>
      <w:r w:rsidR="004C53C9">
        <w:rPr>
          <w:rFonts w:ascii="Times New Roman" w:hAnsi="Times New Roman" w:cs="Times New Roman"/>
          <w:sz w:val="24"/>
          <w:szCs w:val="24"/>
        </w:rPr>
        <w:t xml:space="preserve"> and therefore </w:t>
      </w:r>
      <w:r w:rsidR="002324B4">
        <w:rPr>
          <w:rFonts w:ascii="Times New Roman" w:hAnsi="Times New Roman" w:cs="Times New Roman"/>
          <w:sz w:val="24"/>
          <w:szCs w:val="24"/>
        </w:rPr>
        <w:t xml:space="preserve">the </w:t>
      </w:r>
      <w:r>
        <w:rPr>
          <w:rFonts w:ascii="Times New Roman" w:hAnsi="Times New Roman" w:cs="Times New Roman"/>
          <w:sz w:val="24"/>
          <w:szCs w:val="24"/>
        </w:rPr>
        <w:t xml:space="preserve">estimate of </w:t>
      </w:r>
      <w:r w:rsidR="004C53C9" w:rsidRPr="008F4583">
        <w:rPr>
          <w:rFonts w:ascii="Times New Roman" w:hAnsi="Times New Roman" w:cs="Times New Roman"/>
          <w:i/>
          <w:sz w:val="24"/>
          <w:szCs w:val="24"/>
        </w:rPr>
        <w:t>U</w:t>
      </w:r>
      <w:r w:rsidR="004C53C9">
        <w:rPr>
          <w:rFonts w:ascii="Times New Roman" w:hAnsi="Times New Roman" w:cs="Times New Roman"/>
          <w:sz w:val="24"/>
          <w:szCs w:val="24"/>
        </w:rPr>
        <w:t xml:space="preserve"> would be </w:t>
      </w:r>
      <w:r>
        <w:rPr>
          <w:rFonts w:ascii="Times New Roman" w:hAnsi="Times New Roman" w:cs="Times New Roman"/>
          <w:sz w:val="24"/>
          <w:szCs w:val="24"/>
        </w:rPr>
        <w:t>biased down</w:t>
      </w:r>
      <w:r w:rsidR="004C53C9">
        <w:rPr>
          <w:rFonts w:ascii="Times New Roman" w:hAnsi="Times New Roman" w:cs="Times New Roman"/>
          <w:sz w:val="24"/>
          <w:szCs w:val="24"/>
        </w:rPr>
        <w:t xml:space="preserve">.  Nevertheless, as </w:t>
      </w:r>
      <w:r w:rsidR="000F3441">
        <w:rPr>
          <w:rFonts w:ascii="Times New Roman" w:hAnsi="Times New Roman" w:cs="Times New Roman"/>
          <w:sz w:val="24"/>
          <w:szCs w:val="24"/>
        </w:rPr>
        <w:t>discussed in the previous s</w:t>
      </w:r>
      <w:r w:rsidR="005E4DA4">
        <w:rPr>
          <w:rFonts w:ascii="Times New Roman" w:hAnsi="Times New Roman" w:cs="Times New Roman"/>
          <w:sz w:val="24"/>
          <w:szCs w:val="24"/>
        </w:rPr>
        <w:t xml:space="preserve">ection, these </w:t>
      </w:r>
      <w:r>
        <w:rPr>
          <w:rFonts w:ascii="Times New Roman" w:hAnsi="Times New Roman" w:cs="Times New Roman"/>
          <w:sz w:val="24"/>
          <w:szCs w:val="24"/>
        </w:rPr>
        <w:t xml:space="preserve">transactions </w:t>
      </w:r>
      <w:r w:rsidR="005E4DA4">
        <w:rPr>
          <w:rFonts w:ascii="Times New Roman" w:hAnsi="Times New Roman" w:cs="Times New Roman"/>
          <w:sz w:val="24"/>
          <w:szCs w:val="24"/>
        </w:rPr>
        <w:t xml:space="preserve">costs are trivial and therefore </w:t>
      </w:r>
      <w:r w:rsidR="006242B2">
        <w:rPr>
          <w:rFonts w:ascii="Times New Roman" w:hAnsi="Times New Roman" w:cs="Times New Roman"/>
          <w:sz w:val="24"/>
          <w:szCs w:val="24"/>
        </w:rPr>
        <w:t xml:space="preserve">this </w:t>
      </w:r>
      <w:r w:rsidR="005E4DA4">
        <w:rPr>
          <w:rFonts w:ascii="Times New Roman" w:hAnsi="Times New Roman" w:cs="Times New Roman"/>
          <w:sz w:val="24"/>
          <w:szCs w:val="24"/>
        </w:rPr>
        <w:t>conceptual inconsistency is without practical significance.</w:t>
      </w:r>
      <w:r w:rsidR="002E56E8">
        <w:rPr>
          <w:rFonts w:ascii="Times New Roman" w:hAnsi="Times New Roman" w:cs="Times New Roman"/>
          <w:sz w:val="24"/>
          <w:szCs w:val="24"/>
        </w:rPr>
        <w:t xml:space="preserve">  </w:t>
      </w:r>
      <w:r w:rsidR="002E56E8" w:rsidRPr="00634FDC">
        <w:rPr>
          <w:rFonts w:ascii="Times New Roman" w:hAnsi="Times New Roman" w:cs="Times New Roman"/>
          <w:sz w:val="24"/>
          <w:szCs w:val="24"/>
        </w:rPr>
        <w:t xml:space="preserve">A potentially more important issue is transactions costs on the purchase and sale of shares.  If these are proportion </w:t>
      </w:r>
      <w:r w:rsidR="002E56E8" w:rsidRPr="00634FDC">
        <w:rPr>
          <w:rFonts w:ascii="Times New Roman" w:hAnsi="Times New Roman" w:cs="Times New Roman"/>
          <w:i/>
          <w:sz w:val="24"/>
          <w:szCs w:val="24"/>
        </w:rPr>
        <w:t>k</w:t>
      </w:r>
      <w:r w:rsidR="002E56E8" w:rsidRPr="00634FDC">
        <w:rPr>
          <w:rFonts w:ascii="Times New Roman" w:hAnsi="Times New Roman" w:cs="Times New Roman"/>
          <w:i/>
          <w:sz w:val="24"/>
          <w:szCs w:val="24"/>
          <w:vertAlign w:val="subscript"/>
        </w:rPr>
        <w:t>s</w:t>
      </w:r>
      <w:r w:rsidR="002E56E8" w:rsidRPr="00634FDC">
        <w:rPr>
          <w:rFonts w:ascii="Times New Roman" w:hAnsi="Times New Roman" w:cs="Times New Roman"/>
          <w:sz w:val="24"/>
          <w:szCs w:val="24"/>
        </w:rPr>
        <w:t xml:space="preserve"> of the price change, the last equation becomes</w:t>
      </w:r>
    </w:p>
    <w:p w:rsidR="002E56E8" w:rsidRDefault="00ED0A97" w:rsidP="002E56E8">
      <w:pPr>
        <w:pStyle w:val="ListParagraph"/>
        <w:spacing w:after="0" w:line="360" w:lineRule="auto"/>
        <w:ind w:left="0"/>
        <w:jc w:val="center"/>
        <w:rPr>
          <w:rFonts w:ascii="Times New Roman" w:hAnsi="Times New Roman" w:cs="Times New Roman"/>
          <w:sz w:val="24"/>
          <w:szCs w:val="24"/>
        </w:rPr>
      </w:pPr>
      <w:r w:rsidRPr="002E56E8">
        <w:rPr>
          <w:rFonts w:ascii="Times New Roman" w:hAnsi="Times New Roman" w:cs="Times New Roman"/>
          <w:position w:val="-12"/>
          <w:sz w:val="24"/>
          <w:szCs w:val="24"/>
        </w:rPr>
        <w:object w:dxaOrig="3000" w:dyaOrig="360">
          <v:shape id="_x0000_i1036" type="#_x0000_t75" style="width:149.3pt;height:18.2pt" o:ole="">
            <v:imagedata r:id="rId31" o:title=""/>
          </v:shape>
          <o:OLEObject Type="Embed" ProgID="Equation.3" ShapeID="_x0000_i1036" DrawAspect="Content" ObjectID="_1554554742" r:id="rId32"/>
        </w:object>
      </w:r>
    </w:p>
    <w:p w:rsidR="002E56E8" w:rsidRPr="00634FDC" w:rsidRDefault="00ED0A97" w:rsidP="002E56E8">
      <w:pPr>
        <w:pStyle w:val="ListParagraph"/>
        <w:spacing w:after="0" w:line="360" w:lineRule="auto"/>
        <w:ind w:left="0"/>
        <w:jc w:val="both"/>
        <w:rPr>
          <w:rFonts w:ascii="Times New Roman" w:hAnsi="Times New Roman" w:cs="Times New Roman"/>
          <w:sz w:val="24"/>
          <w:szCs w:val="24"/>
        </w:rPr>
      </w:pPr>
      <w:r w:rsidRPr="00634FDC">
        <w:rPr>
          <w:rFonts w:ascii="Times New Roman" w:hAnsi="Times New Roman" w:cs="Times New Roman"/>
          <w:sz w:val="24"/>
          <w:szCs w:val="24"/>
        </w:rPr>
        <w:t>a</w:t>
      </w:r>
      <w:r w:rsidR="002E56E8" w:rsidRPr="00634FDC">
        <w:rPr>
          <w:rFonts w:ascii="Times New Roman" w:hAnsi="Times New Roman" w:cs="Times New Roman"/>
          <w:sz w:val="24"/>
          <w:szCs w:val="24"/>
        </w:rPr>
        <w:t>nd so</w:t>
      </w:r>
    </w:p>
    <w:p w:rsidR="002E56E8" w:rsidRPr="002E56E8" w:rsidRDefault="00E274EA" w:rsidP="002E56E8">
      <w:pPr>
        <w:pStyle w:val="ListParagraph"/>
        <w:spacing w:after="0" w:line="360" w:lineRule="auto"/>
        <w:ind w:left="0"/>
        <w:jc w:val="center"/>
        <w:rPr>
          <w:rFonts w:ascii="Times New Roman" w:hAnsi="Times New Roman" w:cs="Times New Roman"/>
          <w:sz w:val="24"/>
          <w:szCs w:val="24"/>
          <w:u w:val="single"/>
        </w:rPr>
      </w:pPr>
      <w:r w:rsidRPr="00ED0A97">
        <w:rPr>
          <w:rFonts w:ascii="Times New Roman" w:hAnsi="Times New Roman" w:cs="Times New Roman"/>
          <w:position w:val="-32"/>
          <w:sz w:val="24"/>
          <w:szCs w:val="24"/>
        </w:rPr>
        <w:object w:dxaOrig="2480" w:dyaOrig="760">
          <v:shape id="_x0000_i1037" type="#_x0000_t75" style="width:124.3pt;height:38.65pt" o:ole="">
            <v:imagedata r:id="rId33" o:title=""/>
          </v:shape>
          <o:OLEObject Type="Embed" ProgID="Equation.3" ShapeID="_x0000_i1037" DrawAspect="Content" ObjectID="_1554554743" r:id="rId34"/>
        </w:object>
      </w:r>
    </w:p>
    <w:p w:rsidR="00D046BA" w:rsidRDefault="00D046BA" w:rsidP="00122250">
      <w:pPr>
        <w:pStyle w:val="ListParagraph"/>
        <w:spacing w:after="0" w:line="360" w:lineRule="auto"/>
        <w:ind w:left="0"/>
        <w:jc w:val="both"/>
        <w:rPr>
          <w:rFonts w:ascii="Times New Roman" w:hAnsi="Times New Roman" w:cs="Times New Roman"/>
          <w:sz w:val="24"/>
          <w:szCs w:val="24"/>
        </w:rPr>
      </w:pPr>
    </w:p>
    <w:p w:rsidR="00ED0A97" w:rsidRPr="00CC580A" w:rsidRDefault="00ED0A97" w:rsidP="00122250">
      <w:pPr>
        <w:pStyle w:val="ListParagraph"/>
        <w:spacing w:after="0" w:line="360" w:lineRule="auto"/>
        <w:ind w:left="0"/>
        <w:jc w:val="both"/>
        <w:rPr>
          <w:rFonts w:ascii="Times New Roman" w:hAnsi="Times New Roman" w:cs="Times New Roman"/>
          <w:sz w:val="24"/>
          <w:szCs w:val="24"/>
        </w:rPr>
      </w:pPr>
      <w:r w:rsidRPr="00CC580A">
        <w:rPr>
          <w:rFonts w:ascii="Times New Roman" w:hAnsi="Times New Roman" w:cs="Times New Roman"/>
          <w:sz w:val="24"/>
          <w:szCs w:val="24"/>
        </w:rPr>
        <w:t xml:space="preserve">So, if </w:t>
      </w:r>
      <w:r w:rsidRPr="00CC580A">
        <w:rPr>
          <w:rFonts w:ascii="Times New Roman" w:hAnsi="Times New Roman" w:cs="Times New Roman"/>
          <w:i/>
          <w:sz w:val="24"/>
          <w:szCs w:val="24"/>
        </w:rPr>
        <w:t>k</w:t>
      </w:r>
      <w:r w:rsidRPr="00CC580A">
        <w:rPr>
          <w:rFonts w:ascii="Times New Roman" w:hAnsi="Times New Roman" w:cs="Times New Roman"/>
          <w:i/>
          <w:sz w:val="24"/>
          <w:szCs w:val="24"/>
          <w:vertAlign w:val="subscript"/>
        </w:rPr>
        <w:t>S</w:t>
      </w:r>
      <w:r w:rsidRPr="00CC580A">
        <w:rPr>
          <w:rFonts w:ascii="Times New Roman" w:hAnsi="Times New Roman" w:cs="Times New Roman"/>
          <w:sz w:val="24"/>
          <w:szCs w:val="24"/>
        </w:rPr>
        <w:t xml:space="preserve"> exceeds </w:t>
      </w:r>
      <w:r w:rsidRPr="00CC580A">
        <w:rPr>
          <w:rFonts w:ascii="Times New Roman" w:hAnsi="Times New Roman" w:cs="Times New Roman"/>
          <w:i/>
          <w:sz w:val="24"/>
          <w:szCs w:val="24"/>
        </w:rPr>
        <w:t>k</w:t>
      </w:r>
      <w:r w:rsidRPr="00CC580A">
        <w:rPr>
          <w:rFonts w:ascii="Times New Roman" w:hAnsi="Times New Roman" w:cs="Times New Roman"/>
          <w:sz w:val="24"/>
          <w:szCs w:val="24"/>
        </w:rPr>
        <w:t xml:space="preserve">, the effect of these transactions costs is that </w:t>
      </w:r>
      <w:r w:rsidR="00602EA0" w:rsidRPr="00CC580A">
        <w:rPr>
          <w:rFonts w:ascii="Times New Roman" w:hAnsi="Times New Roman" w:cs="Times New Roman"/>
          <w:sz w:val="24"/>
          <w:szCs w:val="24"/>
        </w:rPr>
        <w:t xml:space="preserve">the estimate of </w:t>
      </w:r>
      <w:r w:rsidR="00602EA0" w:rsidRPr="00CC580A">
        <w:rPr>
          <w:rFonts w:ascii="Times New Roman" w:hAnsi="Times New Roman" w:cs="Times New Roman"/>
          <w:i/>
          <w:sz w:val="24"/>
          <w:szCs w:val="24"/>
        </w:rPr>
        <w:t>U</w:t>
      </w:r>
      <w:r w:rsidR="00602EA0" w:rsidRPr="00CC580A">
        <w:rPr>
          <w:rFonts w:ascii="Times New Roman" w:hAnsi="Times New Roman" w:cs="Times New Roman"/>
          <w:sz w:val="24"/>
          <w:szCs w:val="24"/>
        </w:rPr>
        <w:t xml:space="preserve"> is biased up rather than down.</w:t>
      </w:r>
    </w:p>
    <w:p w:rsidR="00ED0A97" w:rsidRDefault="00ED0A97" w:rsidP="00122250">
      <w:pPr>
        <w:pStyle w:val="ListParagraph"/>
        <w:spacing w:after="0" w:line="360" w:lineRule="auto"/>
        <w:ind w:left="0"/>
        <w:jc w:val="both"/>
        <w:rPr>
          <w:rFonts w:ascii="Times New Roman" w:hAnsi="Times New Roman" w:cs="Times New Roman"/>
          <w:sz w:val="24"/>
          <w:szCs w:val="24"/>
        </w:rPr>
      </w:pPr>
    </w:p>
    <w:p w:rsidR="00B43FFE" w:rsidRDefault="00D046BA" w:rsidP="00B43FFE">
      <w:pPr>
        <w:pStyle w:val="ListParagraph"/>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Eighthly, the AER has asked whether increased trading around the ex-dividend date is an issue for estimating theta from DDO studies, whether </w:t>
      </w:r>
      <w:r w:rsidR="00D17D34">
        <w:rPr>
          <w:rFonts w:ascii="Times New Roman" w:hAnsi="Times New Roman" w:cs="Times New Roman"/>
          <w:sz w:val="24"/>
          <w:szCs w:val="24"/>
        </w:rPr>
        <w:t xml:space="preserve">the increased trading </w:t>
      </w:r>
      <w:r>
        <w:rPr>
          <w:rFonts w:ascii="Times New Roman" w:hAnsi="Times New Roman" w:cs="Times New Roman"/>
          <w:sz w:val="24"/>
          <w:szCs w:val="24"/>
        </w:rPr>
        <w:t>increases the theta estimate in such studies, and whether this implies that the</w:t>
      </w:r>
      <w:r w:rsidR="006A5F38">
        <w:rPr>
          <w:rFonts w:ascii="Times New Roman" w:hAnsi="Times New Roman" w:cs="Times New Roman"/>
          <w:sz w:val="24"/>
          <w:szCs w:val="24"/>
        </w:rPr>
        <w:t xml:space="preserve"> DDO studies overestimate theta.  As discussed in the previous section, such trading could exert </w:t>
      </w:r>
      <w:r w:rsidR="00BC626F">
        <w:rPr>
          <w:rFonts w:ascii="Times New Roman" w:hAnsi="Times New Roman" w:cs="Times New Roman"/>
          <w:sz w:val="24"/>
          <w:szCs w:val="24"/>
        </w:rPr>
        <w:t xml:space="preserve">either </w:t>
      </w:r>
      <w:r w:rsidR="006A5F38">
        <w:rPr>
          <w:rFonts w:ascii="Times New Roman" w:hAnsi="Times New Roman" w:cs="Times New Roman"/>
          <w:sz w:val="24"/>
          <w:szCs w:val="24"/>
        </w:rPr>
        <w:t xml:space="preserve">an upward </w:t>
      </w:r>
      <w:r w:rsidR="00BC626F">
        <w:rPr>
          <w:rFonts w:ascii="Times New Roman" w:hAnsi="Times New Roman" w:cs="Times New Roman"/>
          <w:sz w:val="24"/>
          <w:szCs w:val="24"/>
        </w:rPr>
        <w:t>or a downward effect upon the estimate of theta</w:t>
      </w:r>
      <w:r w:rsidR="006242B2">
        <w:rPr>
          <w:rFonts w:ascii="Times New Roman" w:hAnsi="Times New Roman" w:cs="Times New Roman"/>
          <w:sz w:val="24"/>
          <w:szCs w:val="24"/>
        </w:rPr>
        <w:t xml:space="preserve">, </w:t>
      </w:r>
      <w:r w:rsidR="00BC626F">
        <w:rPr>
          <w:rFonts w:ascii="Times New Roman" w:hAnsi="Times New Roman" w:cs="Times New Roman"/>
          <w:sz w:val="24"/>
          <w:szCs w:val="24"/>
        </w:rPr>
        <w:t>the effect could be material</w:t>
      </w:r>
      <w:r w:rsidR="006242B2">
        <w:rPr>
          <w:rFonts w:ascii="Times New Roman" w:hAnsi="Times New Roman" w:cs="Times New Roman"/>
          <w:sz w:val="24"/>
          <w:szCs w:val="24"/>
        </w:rPr>
        <w:t>, and there is no apparent means of determining which of these two cases applies</w:t>
      </w:r>
      <w:r w:rsidR="006A5F38">
        <w:rPr>
          <w:rFonts w:ascii="Times New Roman" w:hAnsi="Times New Roman" w:cs="Times New Roman"/>
          <w:sz w:val="24"/>
          <w:szCs w:val="24"/>
        </w:rPr>
        <w:t xml:space="preserve">.  </w:t>
      </w:r>
      <w:r w:rsidR="005E4DA4">
        <w:rPr>
          <w:rFonts w:ascii="Times New Roman" w:hAnsi="Times New Roman" w:cs="Times New Roman"/>
          <w:sz w:val="24"/>
          <w:szCs w:val="24"/>
        </w:rPr>
        <w:t xml:space="preserve">This is one of the many disadvantages of the </w:t>
      </w:r>
      <w:r w:rsidR="006D5AAE">
        <w:rPr>
          <w:rFonts w:ascii="Times New Roman" w:hAnsi="Times New Roman" w:cs="Times New Roman"/>
          <w:sz w:val="24"/>
          <w:szCs w:val="24"/>
        </w:rPr>
        <w:t>DDO methodology.</w:t>
      </w:r>
    </w:p>
    <w:p w:rsidR="00B43FFE" w:rsidRDefault="00B43FFE" w:rsidP="00122250">
      <w:pPr>
        <w:pStyle w:val="ListParagraph"/>
        <w:spacing w:after="0" w:line="360" w:lineRule="auto"/>
        <w:ind w:left="0"/>
        <w:jc w:val="both"/>
        <w:rPr>
          <w:rFonts w:ascii="Times New Roman" w:hAnsi="Times New Roman" w:cs="Times New Roman"/>
          <w:sz w:val="24"/>
          <w:szCs w:val="24"/>
        </w:rPr>
      </w:pPr>
    </w:p>
    <w:p w:rsidR="006A5F38" w:rsidRDefault="00AD39B9" w:rsidP="00122250">
      <w:pPr>
        <w:pStyle w:val="ListParagraph"/>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Ninthly, </w:t>
      </w:r>
      <w:r w:rsidR="004A5C72">
        <w:rPr>
          <w:rFonts w:ascii="Times New Roman" w:hAnsi="Times New Roman" w:cs="Times New Roman"/>
          <w:sz w:val="24"/>
          <w:szCs w:val="24"/>
        </w:rPr>
        <w:t xml:space="preserve">the AER has asked me to </w:t>
      </w:r>
      <w:r w:rsidR="00770A1C">
        <w:rPr>
          <w:rFonts w:ascii="Times New Roman" w:hAnsi="Times New Roman" w:cs="Times New Roman"/>
          <w:sz w:val="24"/>
          <w:szCs w:val="24"/>
        </w:rPr>
        <w:t>critically review the comments by Frontier (2016a) on the Ainsworth et al (2015) paper.  As discussed in the previous section, Frontier either misrepresents</w:t>
      </w:r>
      <w:r w:rsidR="004734FC">
        <w:rPr>
          <w:rFonts w:ascii="Times New Roman" w:hAnsi="Times New Roman" w:cs="Times New Roman"/>
          <w:sz w:val="24"/>
          <w:szCs w:val="24"/>
        </w:rPr>
        <w:t xml:space="preserve"> points made by Ainsworth et al (2015) </w:t>
      </w:r>
      <w:r w:rsidR="00770A1C">
        <w:rPr>
          <w:rFonts w:ascii="Times New Roman" w:hAnsi="Times New Roman" w:cs="Times New Roman"/>
          <w:sz w:val="24"/>
          <w:szCs w:val="24"/>
        </w:rPr>
        <w:t xml:space="preserve">or the comments made by Ainsworth et al </w:t>
      </w:r>
      <w:r w:rsidR="004734FC">
        <w:rPr>
          <w:rFonts w:ascii="Times New Roman" w:hAnsi="Times New Roman" w:cs="Times New Roman"/>
          <w:sz w:val="24"/>
          <w:szCs w:val="24"/>
        </w:rPr>
        <w:t xml:space="preserve">(2015) </w:t>
      </w:r>
      <w:r w:rsidR="006D5AAE">
        <w:rPr>
          <w:rFonts w:ascii="Times New Roman" w:hAnsi="Times New Roman" w:cs="Times New Roman"/>
          <w:sz w:val="24"/>
          <w:szCs w:val="24"/>
        </w:rPr>
        <w:t xml:space="preserve">and referred to by Frontier </w:t>
      </w:r>
      <w:r w:rsidR="00770A1C">
        <w:rPr>
          <w:rFonts w:ascii="Times New Roman" w:hAnsi="Times New Roman" w:cs="Times New Roman"/>
          <w:sz w:val="24"/>
          <w:szCs w:val="24"/>
        </w:rPr>
        <w:t>are themselves incorrect.</w:t>
      </w:r>
    </w:p>
    <w:p w:rsidR="00374148" w:rsidRDefault="00374148" w:rsidP="00122250">
      <w:pPr>
        <w:pStyle w:val="ListParagraph"/>
        <w:spacing w:after="0" w:line="360" w:lineRule="auto"/>
        <w:ind w:left="0"/>
        <w:jc w:val="both"/>
        <w:rPr>
          <w:rFonts w:ascii="Times New Roman" w:hAnsi="Times New Roman" w:cs="Times New Roman"/>
          <w:sz w:val="24"/>
          <w:szCs w:val="24"/>
        </w:rPr>
      </w:pPr>
    </w:p>
    <w:p w:rsidR="00634AFC" w:rsidRDefault="00634AFC" w:rsidP="00122250">
      <w:pPr>
        <w:pStyle w:val="ListParagraph"/>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Tenthly, the AER has asked whether theta estimates from DDO studies should generally be adjusted in order to make them </w:t>
      </w:r>
      <w:r w:rsidR="003974A2">
        <w:rPr>
          <w:rFonts w:ascii="Times New Roman" w:hAnsi="Times New Roman" w:cs="Times New Roman"/>
          <w:sz w:val="24"/>
          <w:szCs w:val="24"/>
        </w:rPr>
        <w:t xml:space="preserve">consistent with the post-company tax (pre-personal tax and cost) framework in the NGR/NER.  As discussed </w:t>
      </w:r>
      <w:r w:rsidR="001C6EDB">
        <w:rPr>
          <w:rFonts w:ascii="Times New Roman" w:hAnsi="Times New Roman" w:cs="Times New Roman"/>
          <w:sz w:val="24"/>
          <w:szCs w:val="24"/>
        </w:rPr>
        <w:t xml:space="preserve">earlier, </w:t>
      </w:r>
      <w:r w:rsidR="00962DD2">
        <w:rPr>
          <w:rFonts w:ascii="Times New Roman" w:hAnsi="Times New Roman" w:cs="Times New Roman"/>
          <w:sz w:val="24"/>
          <w:szCs w:val="24"/>
        </w:rPr>
        <w:t xml:space="preserve">the </w:t>
      </w:r>
      <w:r w:rsidR="003974A2">
        <w:rPr>
          <w:rFonts w:ascii="Times New Roman" w:hAnsi="Times New Roman" w:cs="Times New Roman"/>
          <w:sz w:val="24"/>
          <w:szCs w:val="24"/>
        </w:rPr>
        <w:t xml:space="preserve">only adjustment to the coefficient on imputation credits in a DDO study </w:t>
      </w:r>
      <w:r w:rsidR="001C6EDB">
        <w:rPr>
          <w:rFonts w:ascii="Times New Roman" w:hAnsi="Times New Roman" w:cs="Times New Roman"/>
          <w:sz w:val="24"/>
          <w:szCs w:val="24"/>
        </w:rPr>
        <w:t xml:space="preserve">that is feasible </w:t>
      </w:r>
      <w:r w:rsidR="003974A2">
        <w:rPr>
          <w:rFonts w:ascii="Times New Roman" w:hAnsi="Times New Roman" w:cs="Times New Roman"/>
          <w:sz w:val="24"/>
          <w:szCs w:val="24"/>
        </w:rPr>
        <w:t>is to divide by the estimated coefficient on the cash dividends.</w:t>
      </w:r>
    </w:p>
    <w:p w:rsidR="003974A2" w:rsidRDefault="003974A2" w:rsidP="00122250">
      <w:pPr>
        <w:pStyle w:val="ListParagraph"/>
        <w:spacing w:after="0" w:line="360" w:lineRule="auto"/>
        <w:ind w:left="0"/>
        <w:jc w:val="both"/>
        <w:rPr>
          <w:rFonts w:ascii="Times New Roman" w:hAnsi="Times New Roman" w:cs="Times New Roman"/>
          <w:sz w:val="24"/>
          <w:szCs w:val="24"/>
        </w:rPr>
      </w:pPr>
    </w:p>
    <w:p w:rsidR="00E334C8" w:rsidRDefault="003974A2" w:rsidP="00E334C8">
      <w:pPr>
        <w:pStyle w:val="ListParagraph"/>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Eleventhly, the AER has asked </w:t>
      </w:r>
      <w:r w:rsidR="000E09BE">
        <w:rPr>
          <w:rFonts w:ascii="Times New Roman" w:hAnsi="Times New Roman" w:cs="Times New Roman"/>
          <w:sz w:val="24"/>
          <w:szCs w:val="24"/>
        </w:rPr>
        <w:t xml:space="preserve">me to assess </w:t>
      </w:r>
      <w:r>
        <w:rPr>
          <w:rFonts w:ascii="Times New Roman" w:hAnsi="Times New Roman" w:cs="Times New Roman"/>
          <w:sz w:val="24"/>
          <w:szCs w:val="24"/>
        </w:rPr>
        <w:t>Frontier’s claim that</w:t>
      </w:r>
      <w:r w:rsidR="000E09BE">
        <w:rPr>
          <w:rFonts w:ascii="Times New Roman" w:hAnsi="Times New Roman" w:cs="Times New Roman"/>
          <w:sz w:val="24"/>
          <w:szCs w:val="24"/>
        </w:rPr>
        <w:t xml:space="preserve">, since DDO studies determine that dividends are worth less than their face value, the total </w:t>
      </w:r>
      <w:r>
        <w:rPr>
          <w:rFonts w:ascii="Times New Roman" w:hAnsi="Times New Roman" w:cs="Times New Roman"/>
          <w:sz w:val="24"/>
          <w:szCs w:val="24"/>
        </w:rPr>
        <w:t xml:space="preserve">revenues of a regulated </w:t>
      </w:r>
      <w:r w:rsidR="000E09BE">
        <w:rPr>
          <w:rFonts w:ascii="Times New Roman" w:hAnsi="Times New Roman" w:cs="Times New Roman"/>
          <w:sz w:val="24"/>
          <w:szCs w:val="24"/>
        </w:rPr>
        <w:t xml:space="preserve">firm </w:t>
      </w:r>
      <w:r>
        <w:rPr>
          <w:rFonts w:ascii="Times New Roman" w:hAnsi="Times New Roman" w:cs="Times New Roman"/>
          <w:sz w:val="24"/>
          <w:szCs w:val="24"/>
        </w:rPr>
        <w:t xml:space="preserve">should be increased </w:t>
      </w:r>
      <w:r w:rsidR="000E09BE">
        <w:rPr>
          <w:rFonts w:ascii="Times New Roman" w:hAnsi="Times New Roman" w:cs="Times New Roman"/>
          <w:sz w:val="24"/>
          <w:szCs w:val="24"/>
        </w:rPr>
        <w:t>not decreased</w:t>
      </w:r>
      <w:r>
        <w:rPr>
          <w:rFonts w:ascii="Times New Roman" w:hAnsi="Times New Roman" w:cs="Times New Roman"/>
          <w:sz w:val="24"/>
          <w:szCs w:val="24"/>
        </w:rPr>
        <w:t xml:space="preserve">.  As discussed in the previous section, </w:t>
      </w:r>
      <w:r w:rsidR="00156C6B">
        <w:rPr>
          <w:rFonts w:ascii="Times New Roman" w:hAnsi="Times New Roman" w:cs="Times New Roman"/>
          <w:sz w:val="24"/>
          <w:szCs w:val="24"/>
        </w:rPr>
        <w:t>I do not agree with this claim</w:t>
      </w:r>
      <w:r w:rsidR="00E334C8">
        <w:rPr>
          <w:rFonts w:ascii="Times New Roman" w:hAnsi="Times New Roman" w:cs="Times New Roman"/>
          <w:sz w:val="24"/>
          <w:szCs w:val="24"/>
        </w:rPr>
        <w:t xml:space="preserve">.  </w:t>
      </w:r>
      <w:r w:rsidR="000E09BE">
        <w:rPr>
          <w:rFonts w:ascii="Times New Roman" w:hAnsi="Times New Roman" w:cs="Times New Roman"/>
          <w:sz w:val="24"/>
          <w:szCs w:val="24"/>
        </w:rPr>
        <w:t xml:space="preserve">DDO studies show that dividends are not valued as highly as capital gains rather than showing that dividends are worth less than their face value.  Furthermore, this does not imply that </w:t>
      </w:r>
      <w:r w:rsidR="00E334C8">
        <w:rPr>
          <w:rFonts w:ascii="Times New Roman" w:hAnsi="Times New Roman" w:cs="Times New Roman"/>
          <w:sz w:val="24"/>
          <w:szCs w:val="24"/>
        </w:rPr>
        <w:t xml:space="preserve">regulatory revenues </w:t>
      </w:r>
      <w:r w:rsidR="0032366D">
        <w:rPr>
          <w:rFonts w:ascii="Times New Roman" w:hAnsi="Times New Roman" w:cs="Times New Roman"/>
          <w:sz w:val="24"/>
          <w:szCs w:val="24"/>
        </w:rPr>
        <w:t xml:space="preserve">should be </w:t>
      </w:r>
      <w:r w:rsidR="00E334C8">
        <w:rPr>
          <w:rFonts w:ascii="Times New Roman" w:hAnsi="Times New Roman" w:cs="Times New Roman"/>
          <w:sz w:val="24"/>
          <w:szCs w:val="24"/>
        </w:rPr>
        <w:t xml:space="preserve">increased.  </w:t>
      </w:r>
    </w:p>
    <w:p w:rsidR="003974A2" w:rsidRDefault="003974A2" w:rsidP="00122250">
      <w:pPr>
        <w:pStyle w:val="ListParagraph"/>
        <w:spacing w:after="0" w:line="360" w:lineRule="auto"/>
        <w:ind w:left="0"/>
        <w:jc w:val="both"/>
        <w:rPr>
          <w:rFonts w:ascii="Times New Roman" w:hAnsi="Times New Roman" w:cs="Times New Roman"/>
          <w:sz w:val="24"/>
          <w:szCs w:val="24"/>
        </w:rPr>
      </w:pPr>
    </w:p>
    <w:p w:rsidR="00634AFC" w:rsidRDefault="000E09BE" w:rsidP="00122250">
      <w:pPr>
        <w:pStyle w:val="ListParagraph"/>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Finally, the AER has asked me to assess Frontier’s claim that the AER is inconsistent by making adjustments for cash dividends being worth less than face value and then estimating the </w:t>
      </w:r>
      <w:r w:rsidR="00156C6B">
        <w:rPr>
          <w:rFonts w:ascii="Times New Roman" w:hAnsi="Times New Roman" w:cs="Times New Roman"/>
          <w:sz w:val="24"/>
          <w:szCs w:val="24"/>
        </w:rPr>
        <w:t>cost of equity assuming that cash dividends are worth face value.  As discussed in the</w:t>
      </w:r>
      <w:r w:rsidR="00C32A95">
        <w:rPr>
          <w:rFonts w:ascii="Times New Roman" w:hAnsi="Times New Roman" w:cs="Times New Roman"/>
          <w:sz w:val="24"/>
          <w:szCs w:val="24"/>
        </w:rPr>
        <w:t xml:space="preserve"> </w:t>
      </w:r>
      <w:r w:rsidR="005A684C">
        <w:rPr>
          <w:rFonts w:ascii="Times New Roman" w:hAnsi="Times New Roman" w:cs="Times New Roman"/>
          <w:sz w:val="24"/>
          <w:szCs w:val="24"/>
        </w:rPr>
        <w:t>previous section (see footnote 8</w:t>
      </w:r>
      <w:r w:rsidR="00156C6B">
        <w:rPr>
          <w:rFonts w:ascii="Times New Roman" w:hAnsi="Times New Roman" w:cs="Times New Roman"/>
          <w:sz w:val="24"/>
          <w:szCs w:val="24"/>
        </w:rPr>
        <w:t xml:space="preserve">), in framing this argument, Frontier (2016a, paras 94-95) equates cash dividends being worth face value with a coefficient on cash dividends </w:t>
      </w:r>
      <w:r w:rsidR="00144BEF">
        <w:rPr>
          <w:rFonts w:ascii="Times New Roman" w:hAnsi="Times New Roman" w:cs="Times New Roman"/>
          <w:sz w:val="24"/>
          <w:szCs w:val="24"/>
        </w:rPr>
        <w:t xml:space="preserve">in a DDO </w:t>
      </w:r>
      <w:r w:rsidR="00156C6B">
        <w:rPr>
          <w:rFonts w:ascii="Times New Roman" w:hAnsi="Times New Roman" w:cs="Times New Roman"/>
          <w:sz w:val="24"/>
          <w:szCs w:val="24"/>
        </w:rPr>
        <w:t>(</w:t>
      </w:r>
      <w:r w:rsidR="00156C6B" w:rsidRPr="00144BEF">
        <w:rPr>
          <w:rFonts w:ascii="Times New Roman" w:hAnsi="Times New Roman" w:cs="Times New Roman"/>
          <w:i/>
          <w:sz w:val="24"/>
          <w:szCs w:val="24"/>
        </w:rPr>
        <w:t>δ</w:t>
      </w:r>
      <w:r w:rsidR="00156C6B">
        <w:rPr>
          <w:rFonts w:ascii="Times New Roman" w:hAnsi="Times New Roman" w:cs="Times New Roman"/>
          <w:sz w:val="24"/>
          <w:szCs w:val="24"/>
        </w:rPr>
        <w:t xml:space="preserve">) that is </w:t>
      </w:r>
      <w:r w:rsidR="00C32A95">
        <w:rPr>
          <w:rFonts w:ascii="Times New Roman" w:hAnsi="Times New Roman" w:cs="Times New Roman"/>
          <w:sz w:val="24"/>
          <w:szCs w:val="24"/>
        </w:rPr>
        <w:t xml:space="preserve">equal to 1.  Since </w:t>
      </w:r>
      <w:r w:rsidR="005A684C">
        <w:rPr>
          <w:rFonts w:ascii="Times New Roman" w:hAnsi="Times New Roman" w:cs="Times New Roman"/>
          <w:sz w:val="24"/>
          <w:szCs w:val="24"/>
        </w:rPr>
        <w:t>the words “worth face value” are unclear</w:t>
      </w:r>
      <w:r w:rsidR="00C32A95">
        <w:rPr>
          <w:rFonts w:ascii="Times New Roman" w:hAnsi="Times New Roman" w:cs="Times New Roman"/>
          <w:sz w:val="24"/>
          <w:szCs w:val="24"/>
        </w:rPr>
        <w:t xml:space="preserve">, and </w:t>
      </w:r>
      <w:r w:rsidR="00C403D6">
        <w:rPr>
          <w:rFonts w:ascii="Times New Roman" w:hAnsi="Times New Roman" w:cs="Times New Roman"/>
          <w:sz w:val="24"/>
          <w:szCs w:val="24"/>
        </w:rPr>
        <w:t xml:space="preserve">the </w:t>
      </w:r>
      <w:r w:rsidR="00144BEF">
        <w:rPr>
          <w:rFonts w:ascii="Times New Roman" w:hAnsi="Times New Roman" w:cs="Times New Roman"/>
          <w:sz w:val="24"/>
          <w:szCs w:val="24"/>
        </w:rPr>
        <w:t>Officer model</w:t>
      </w:r>
      <w:r w:rsidR="005A684C">
        <w:rPr>
          <w:rFonts w:ascii="Times New Roman" w:hAnsi="Times New Roman" w:cs="Times New Roman"/>
          <w:sz w:val="24"/>
          <w:szCs w:val="24"/>
        </w:rPr>
        <w:t xml:space="preserve"> assumes that </w:t>
      </w:r>
      <w:r w:rsidR="005A684C" w:rsidRPr="00144BEF">
        <w:rPr>
          <w:rFonts w:ascii="Times New Roman" w:hAnsi="Times New Roman" w:cs="Times New Roman"/>
          <w:i/>
          <w:sz w:val="24"/>
          <w:szCs w:val="24"/>
        </w:rPr>
        <w:t>δ</w:t>
      </w:r>
      <w:r w:rsidR="005A684C">
        <w:rPr>
          <w:rFonts w:ascii="Times New Roman" w:hAnsi="Times New Roman" w:cs="Times New Roman"/>
          <w:sz w:val="24"/>
          <w:szCs w:val="24"/>
        </w:rPr>
        <w:t xml:space="preserve"> = 1</w:t>
      </w:r>
      <w:r w:rsidR="00C32A95">
        <w:rPr>
          <w:rFonts w:ascii="Times New Roman" w:hAnsi="Times New Roman" w:cs="Times New Roman"/>
          <w:sz w:val="24"/>
          <w:szCs w:val="24"/>
        </w:rPr>
        <w:t xml:space="preserve">, I have analysed Frontier’s argument expressed in terms of </w:t>
      </w:r>
      <w:r w:rsidR="00C32A95" w:rsidRPr="00144BEF">
        <w:rPr>
          <w:rFonts w:ascii="Times New Roman" w:hAnsi="Times New Roman" w:cs="Times New Roman"/>
          <w:i/>
          <w:sz w:val="24"/>
          <w:szCs w:val="24"/>
        </w:rPr>
        <w:t>δ</w:t>
      </w:r>
      <w:r w:rsidR="005A684C">
        <w:rPr>
          <w:rFonts w:ascii="Times New Roman" w:hAnsi="Times New Roman" w:cs="Times New Roman"/>
          <w:sz w:val="24"/>
          <w:szCs w:val="24"/>
        </w:rPr>
        <w:t xml:space="preserve"> = 1.</w:t>
      </w:r>
      <w:r w:rsidR="00C32A95">
        <w:rPr>
          <w:rFonts w:ascii="Times New Roman" w:hAnsi="Times New Roman" w:cs="Times New Roman"/>
          <w:sz w:val="24"/>
          <w:szCs w:val="24"/>
        </w:rPr>
        <w:t xml:space="preserve">  </w:t>
      </w:r>
      <w:r w:rsidR="00156C6B">
        <w:rPr>
          <w:rFonts w:ascii="Times New Roman" w:hAnsi="Times New Roman" w:cs="Times New Roman"/>
          <w:sz w:val="24"/>
          <w:szCs w:val="24"/>
        </w:rPr>
        <w:t xml:space="preserve">As </w:t>
      </w:r>
      <w:r w:rsidR="00156C6B">
        <w:rPr>
          <w:rFonts w:ascii="Times New Roman" w:hAnsi="Times New Roman" w:cs="Times New Roman"/>
          <w:sz w:val="24"/>
          <w:szCs w:val="24"/>
        </w:rPr>
        <w:lastRenderedPageBreak/>
        <w:t xml:space="preserve">discussed in the previous section, </w:t>
      </w:r>
      <w:r w:rsidR="00C32A95">
        <w:rPr>
          <w:rFonts w:ascii="Times New Roman" w:hAnsi="Times New Roman" w:cs="Times New Roman"/>
          <w:sz w:val="24"/>
          <w:szCs w:val="24"/>
        </w:rPr>
        <w:t xml:space="preserve">Frontier is correct to observe that there is an inconsistency </w:t>
      </w:r>
      <w:r w:rsidR="00144BEF">
        <w:rPr>
          <w:rFonts w:ascii="Times New Roman" w:hAnsi="Times New Roman" w:cs="Times New Roman"/>
          <w:sz w:val="24"/>
          <w:szCs w:val="24"/>
        </w:rPr>
        <w:t xml:space="preserve">here </w:t>
      </w:r>
      <w:r w:rsidR="00C32A95">
        <w:rPr>
          <w:rFonts w:ascii="Times New Roman" w:hAnsi="Times New Roman" w:cs="Times New Roman"/>
          <w:sz w:val="24"/>
          <w:szCs w:val="24"/>
        </w:rPr>
        <w:t xml:space="preserve">but acting as if </w:t>
      </w:r>
      <w:r w:rsidR="00C32A95" w:rsidRPr="00144BEF">
        <w:rPr>
          <w:rFonts w:ascii="Times New Roman" w:hAnsi="Times New Roman" w:cs="Times New Roman"/>
          <w:i/>
          <w:sz w:val="24"/>
          <w:szCs w:val="24"/>
        </w:rPr>
        <w:t>δ</w:t>
      </w:r>
      <w:r w:rsidR="00C32A95">
        <w:rPr>
          <w:rFonts w:ascii="Times New Roman" w:hAnsi="Times New Roman" w:cs="Times New Roman"/>
          <w:sz w:val="24"/>
          <w:szCs w:val="24"/>
        </w:rPr>
        <w:t xml:space="preserve"> = 1 when estimating the utilization rate </w:t>
      </w:r>
      <w:r w:rsidR="00290938">
        <w:rPr>
          <w:rFonts w:ascii="Times New Roman" w:hAnsi="Times New Roman" w:cs="Times New Roman"/>
          <w:sz w:val="24"/>
          <w:szCs w:val="24"/>
        </w:rPr>
        <w:t xml:space="preserve">from a DDO study </w:t>
      </w:r>
      <w:r w:rsidR="00C32A95">
        <w:rPr>
          <w:rFonts w:ascii="Times New Roman" w:hAnsi="Times New Roman" w:cs="Times New Roman"/>
          <w:sz w:val="24"/>
          <w:szCs w:val="24"/>
        </w:rPr>
        <w:t xml:space="preserve">would give rise to a biased estimate of the utilization rate, </w:t>
      </w:r>
      <w:r w:rsidR="00156C6B">
        <w:rPr>
          <w:rFonts w:ascii="Times New Roman" w:hAnsi="Times New Roman" w:cs="Times New Roman"/>
          <w:sz w:val="24"/>
          <w:szCs w:val="24"/>
        </w:rPr>
        <w:t>and is therefore undesirable.  The fact that the Officer model assumes</w:t>
      </w:r>
      <w:r w:rsidR="00144BEF">
        <w:rPr>
          <w:rFonts w:ascii="Times New Roman" w:hAnsi="Times New Roman" w:cs="Times New Roman"/>
          <w:sz w:val="24"/>
          <w:szCs w:val="24"/>
        </w:rPr>
        <w:t xml:space="preserve"> that </w:t>
      </w:r>
      <w:r w:rsidR="00156C6B" w:rsidRPr="0074324D">
        <w:rPr>
          <w:rFonts w:ascii="Times New Roman" w:hAnsi="Times New Roman" w:cs="Times New Roman"/>
          <w:i/>
          <w:sz w:val="24"/>
          <w:szCs w:val="24"/>
        </w:rPr>
        <w:t>δ</w:t>
      </w:r>
      <w:r w:rsidR="00156C6B">
        <w:rPr>
          <w:rFonts w:ascii="Times New Roman" w:hAnsi="Times New Roman" w:cs="Times New Roman"/>
          <w:sz w:val="24"/>
          <w:szCs w:val="24"/>
        </w:rPr>
        <w:t xml:space="preserve"> = 1 is a shortcoming in the model, which should not be compounded by using a biased estimate for a parameter in the model.</w:t>
      </w:r>
    </w:p>
    <w:p w:rsidR="000E09BE" w:rsidRDefault="000E09BE" w:rsidP="00122250">
      <w:pPr>
        <w:pStyle w:val="ListParagraph"/>
        <w:spacing w:after="0" w:line="360" w:lineRule="auto"/>
        <w:ind w:left="0"/>
        <w:jc w:val="both"/>
        <w:rPr>
          <w:rFonts w:ascii="Times New Roman" w:hAnsi="Times New Roman" w:cs="Times New Roman"/>
          <w:sz w:val="24"/>
          <w:szCs w:val="24"/>
        </w:rPr>
      </w:pPr>
    </w:p>
    <w:p w:rsidR="00AC6C2C" w:rsidRPr="00AC6C2C" w:rsidRDefault="00AC6C2C" w:rsidP="00AC6C2C">
      <w:pPr>
        <w:pStyle w:val="ListParagraph"/>
        <w:numPr>
          <w:ilvl w:val="0"/>
          <w:numId w:val="1"/>
        </w:numPr>
        <w:spacing w:after="0" w:line="360" w:lineRule="auto"/>
        <w:ind w:left="360"/>
        <w:jc w:val="both"/>
        <w:rPr>
          <w:rFonts w:ascii="Times New Roman" w:hAnsi="Times New Roman" w:cs="Times New Roman"/>
          <w:b/>
          <w:sz w:val="24"/>
          <w:szCs w:val="24"/>
        </w:rPr>
      </w:pPr>
      <w:r>
        <w:rPr>
          <w:rFonts w:ascii="Times New Roman" w:hAnsi="Times New Roman" w:cs="Times New Roman"/>
          <w:b/>
          <w:sz w:val="24"/>
          <w:szCs w:val="24"/>
        </w:rPr>
        <w:t xml:space="preserve"> Further Questions</w:t>
      </w:r>
    </w:p>
    <w:p w:rsidR="00AC6C2C" w:rsidRDefault="00AC6C2C" w:rsidP="00122250">
      <w:pPr>
        <w:pStyle w:val="ListParagraph"/>
        <w:spacing w:after="0" w:line="360" w:lineRule="auto"/>
        <w:ind w:left="0"/>
        <w:jc w:val="both"/>
        <w:rPr>
          <w:rFonts w:ascii="Times New Roman" w:hAnsi="Times New Roman" w:cs="Times New Roman"/>
          <w:sz w:val="24"/>
          <w:szCs w:val="24"/>
        </w:rPr>
      </w:pPr>
    </w:p>
    <w:p w:rsidR="00AC6C2C" w:rsidRDefault="00AA0B64" w:rsidP="00122250">
      <w:pPr>
        <w:pStyle w:val="ListParagraph"/>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The AER has posed a further set of ques</w:t>
      </w:r>
      <w:r w:rsidR="00BE3A7B">
        <w:rPr>
          <w:rFonts w:ascii="Times New Roman" w:hAnsi="Times New Roman" w:cs="Times New Roman"/>
          <w:sz w:val="24"/>
          <w:szCs w:val="24"/>
        </w:rPr>
        <w:t>tions, which are addressed here.  The first of these is whether the AER’s approach to estimating gamma (post company tax and before personal costs and taxes) is consistent with the way that the AER estimates the cost of equity.  The AER estimates the cost of equity using the Officer model, gamma is a parameter within that model, and therefore the AER must estimate gamma as defined within the Officer model.  A rigorous derivation of the Officer model (Lally and van Zijl, 2003) reveals that gamma is the product of the distribution rate for credits (the proportion of company taxes paid to the ATO that are attached to dividends as credits) and a utilization rate for credits (a weighted-average over investors’ utilization rates for the credits).</w:t>
      </w:r>
      <w:r w:rsidR="00FB1ACF">
        <w:rPr>
          <w:rFonts w:ascii="Times New Roman" w:hAnsi="Times New Roman" w:cs="Times New Roman"/>
          <w:sz w:val="24"/>
          <w:szCs w:val="24"/>
        </w:rPr>
        <w:t xml:space="preserve">  The methods used by the AER for estimating these two parameters are consistent with their definitions.</w:t>
      </w:r>
    </w:p>
    <w:p w:rsidR="00FB1ACF" w:rsidRDefault="00FB1ACF" w:rsidP="00122250">
      <w:pPr>
        <w:pStyle w:val="ListParagraph"/>
        <w:spacing w:after="0" w:line="360" w:lineRule="auto"/>
        <w:ind w:left="0"/>
        <w:jc w:val="both"/>
        <w:rPr>
          <w:rFonts w:ascii="Times New Roman" w:hAnsi="Times New Roman" w:cs="Times New Roman"/>
          <w:sz w:val="24"/>
          <w:szCs w:val="24"/>
        </w:rPr>
      </w:pPr>
    </w:p>
    <w:p w:rsidR="00FB1ACF" w:rsidRDefault="00FB1ACF" w:rsidP="00122250">
      <w:pPr>
        <w:pStyle w:val="ListParagraph"/>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The AER’s second question is whether the AER’s approach to estimating gamma (post company tax and before personal costs and taxes) is likely to lead to an overall revenue allowance </w:t>
      </w:r>
      <w:r w:rsidR="00DE5896">
        <w:rPr>
          <w:rFonts w:ascii="Times New Roman" w:hAnsi="Times New Roman" w:cs="Times New Roman"/>
          <w:sz w:val="24"/>
          <w:szCs w:val="24"/>
        </w:rPr>
        <w:t>to equity holders (inclusive of the value of imputation credits to equity investors) that is at least sufficient to contribute to an allowed return on capital that would be expected to meet the A</w:t>
      </w:r>
      <w:r w:rsidR="00CA5165">
        <w:rPr>
          <w:rFonts w:ascii="Times New Roman" w:hAnsi="Times New Roman" w:cs="Times New Roman"/>
          <w:sz w:val="24"/>
          <w:szCs w:val="24"/>
        </w:rPr>
        <w:t xml:space="preserve">llowed Rate of Return Objective.  As discussed in Lally (2016a), </w:t>
      </w:r>
      <w:r w:rsidR="00121397">
        <w:rPr>
          <w:rFonts w:ascii="Times New Roman" w:hAnsi="Times New Roman" w:cs="Times New Roman"/>
          <w:sz w:val="24"/>
          <w:szCs w:val="24"/>
        </w:rPr>
        <w:t xml:space="preserve">I favour an estimate for theta of 1.  In addition, </w:t>
      </w:r>
      <w:r w:rsidR="00CA5165">
        <w:rPr>
          <w:rFonts w:ascii="Times New Roman" w:hAnsi="Times New Roman" w:cs="Times New Roman"/>
          <w:sz w:val="24"/>
          <w:szCs w:val="24"/>
        </w:rPr>
        <w:t xml:space="preserve">conditional upon recognizing the existence of foreign investors when estimating theta as the AER does, I favour an estimate of theta of 0.60.  Coupled with an estimate for the distribution rate of at least 0.83, my estimate for gamma is </w:t>
      </w:r>
      <w:r w:rsidR="00121397">
        <w:rPr>
          <w:rFonts w:ascii="Times New Roman" w:hAnsi="Times New Roman" w:cs="Times New Roman"/>
          <w:sz w:val="24"/>
          <w:szCs w:val="24"/>
        </w:rPr>
        <w:t xml:space="preserve">therefore </w:t>
      </w:r>
      <w:r w:rsidR="00CA5165">
        <w:rPr>
          <w:rFonts w:ascii="Times New Roman" w:hAnsi="Times New Roman" w:cs="Times New Roman"/>
          <w:sz w:val="24"/>
          <w:szCs w:val="24"/>
        </w:rPr>
        <w:t>at least 0.50.  Accordingly, I consider the AER’s estimate of 0.40 to be too low.</w:t>
      </w:r>
    </w:p>
    <w:p w:rsidR="00335868" w:rsidRDefault="00335868" w:rsidP="00122250">
      <w:pPr>
        <w:pStyle w:val="ListParagraph"/>
        <w:spacing w:after="0" w:line="360" w:lineRule="auto"/>
        <w:ind w:left="0"/>
        <w:jc w:val="both"/>
        <w:rPr>
          <w:rFonts w:ascii="Times New Roman" w:hAnsi="Times New Roman" w:cs="Times New Roman"/>
          <w:sz w:val="24"/>
          <w:szCs w:val="24"/>
        </w:rPr>
      </w:pPr>
    </w:p>
    <w:p w:rsidR="00335868" w:rsidRDefault="00335868" w:rsidP="00335868">
      <w:pPr>
        <w:pStyle w:val="ListParagraph"/>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The AER’s third question is whether transaction costs associated with imputation credits are </w:t>
      </w:r>
      <w:r w:rsidRPr="00335868">
        <w:rPr>
          <w:rFonts w:ascii="Times New Roman" w:hAnsi="Times New Roman" w:cs="Times New Roman"/>
          <w:sz w:val="24"/>
          <w:szCs w:val="24"/>
        </w:rPr>
        <w:t xml:space="preserve">likely to be material.  </w:t>
      </w:r>
      <w:r w:rsidR="00240D89">
        <w:rPr>
          <w:rFonts w:ascii="Times New Roman" w:hAnsi="Times New Roman" w:cs="Times New Roman"/>
          <w:sz w:val="24"/>
          <w:szCs w:val="24"/>
        </w:rPr>
        <w:t xml:space="preserve">These costs </w:t>
      </w:r>
      <w:r w:rsidRPr="00335868">
        <w:rPr>
          <w:rFonts w:ascii="Times New Roman" w:hAnsi="Times New Roman" w:cs="Times New Roman"/>
          <w:sz w:val="24"/>
          <w:szCs w:val="24"/>
        </w:rPr>
        <w:t xml:space="preserve">consist of retaining the notice relating to the credits that accompanies the dividend payment and a few minutes additional time in the course of filling out a tax return.  </w:t>
      </w:r>
      <w:r>
        <w:rPr>
          <w:rFonts w:ascii="Times New Roman" w:hAnsi="Times New Roman" w:cs="Times New Roman"/>
          <w:sz w:val="24"/>
          <w:szCs w:val="24"/>
        </w:rPr>
        <w:t>This is trivial.</w:t>
      </w:r>
    </w:p>
    <w:p w:rsidR="00335868" w:rsidRDefault="00335868" w:rsidP="00335868">
      <w:pPr>
        <w:pStyle w:val="ListParagraph"/>
        <w:spacing w:after="0" w:line="360" w:lineRule="auto"/>
        <w:ind w:left="0"/>
        <w:jc w:val="both"/>
        <w:rPr>
          <w:rFonts w:ascii="Times New Roman" w:hAnsi="Times New Roman" w:cs="Times New Roman"/>
          <w:sz w:val="24"/>
          <w:szCs w:val="24"/>
        </w:rPr>
      </w:pPr>
    </w:p>
    <w:p w:rsidR="004C06A5" w:rsidRDefault="00335868" w:rsidP="004C06A5">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The AER’s fourth question is whether the transaction costs associated with imputation credits will be reflected in the </w:t>
      </w:r>
      <w:r w:rsidR="00D17D34">
        <w:rPr>
          <w:rFonts w:ascii="Times New Roman" w:hAnsi="Times New Roman" w:cs="Times New Roman"/>
          <w:sz w:val="24"/>
          <w:szCs w:val="24"/>
        </w:rPr>
        <w:t xml:space="preserve">observed </w:t>
      </w:r>
      <w:r>
        <w:rPr>
          <w:rFonts w:ascii="Times New Roman" w:hAnsi="Times New Roman" w:cs="Times New Roman"/>
          <w:sz w:val="24"/>
          <w:szCs w:val="24"/>
        </w:rPr>
        <w:t>MRP.</w:t>
      </w:r>
      <w:r w:rsidR="00240D89">
        <w:rPr>
          <w:rFonts w:ascii="Times New Roman" w:hAnsi="Times New Roman" w:cs="Times New Roman"/>
          <w:sz w:val="24"/>
          <w:szCs w:val="24"/>
        </w:rPr>
        <w:t xml:space="preserve">  Such costs will lower the value of equities, thereby raising the expected rate of return on the market, and hence also raise the MRP.  Any empirical estimate of the MRP would then reflect these costs.</w:t>
      </w:r>
      <w:r w:rsidR="00D6317C">
        <w:rPr>
          <w:rStyle w:val="FootnoteReference"/>
          <w:rFonts w:ascii="Times New Roman" w:hAnsi="Times New Roman" w:cs="Times New Roman"/>
          <w:sz w:val="24"/>
          <w:szCs w:val="24"/>
        </w:rPr>
        <w:footnoteReference w:id="10"/>
      </w:r>
      <w:r w:rsidR="00240D89">
        <w:rPr>
          <w:rFonts w:ascii="Times New Roman" w:hAnsi="Times New Roman" w:cs="Times New Roman"/>
          <w:sz w:val="24"/>
          <w:szCs w:val="24"/>
        </w:rPr>
        <w:t xml:space="preserve">  As discussed in Lally (2016a, pp. 9-10), </w:t>
      </w:r>
      <w:r w:rsidR="008F1D68">
        <w:rPr>
          <w:rFonts w:ascii="Times New Roman" w:hAnsi="Times New Roman" w:cs="Times New Roman"/>
          <w:sz w:val="24"/>
          <w:szCs w:val="24"/>
        </w:rPr>
        <w:t xml:space="preserve">in principle, such costs should </w:t>
      </w:r>
      <w:r w:rsidR="004C06A5">
        <w:rPr>
          <w:rFonts w:ascii="Times New Roman" w:hAnsi="Times New Roman" w:cs="Times New Roman"/>
          <w:sz w:val="24"/>
          <w:szCs w:val="24"/>
        </w:rPr>
        <w:t xml:space="preserve">also </w:t>
      </w:r>
      <w:r w:rsidR="008F1D68">
        <w:rPr>
          <w:rFonts w:ascii="Times New Roman" w:hAnsi="Times New Roman" w:cs="Times New Roman"/>
          <w:sz w:val="24"/>
          <w:szCs w:val="24"/>
        </w:rPr>
        <w:t xml:space="preserve">be </w:t>
      </w:r>
      <w:r w:rsidR="00240D89">
        <w:rPr>
          <w:rFonts w:ascii="Times New Roman" w:hAnsi="Times New Roman" w:cs="Times New Roman"/>
          <w:sz w:val="24"/>
          <w:szCs w:val="24"/>
        </w:rPr>
        <w:t xml:space="preserve">explicitly </w:t>
      </w:r>
      <w:r w:rsidR="008F1D68">
        <w:rPr>
          <w:rFonts w:ascii="Times New Roman" w:hAnsi="Times New Roman" w:cs="Times New Roman"/>
          <w:sz w:val="24"/>
          <w:szCs w:val="24"/>
        </w:rPr>
        <w:t xml:space="preserve">recognized in the valuation model but failure to do so </w:t>
      </w:r>
      <w:r w:rsidR="00240D89">
        <w:rPr>
          <w:rFonts w:ascii="Times New Roman" w:hAnsi="Times New Roman" w:cs="Times New Roman"/>
          <w:sz w:val="24"/>
          <w:szCs w:val="24"/>
        </w:rPr>
        <w:t xml:space="preserve">would not matter if beta were equal to 1, because </w:t>
      </w:r>
      <w:r w:rsidR="006258E8">
        <w:rPr>
          <w:rFonts w:ascii="Times New Roman" w:hAnsi="Times New Roman" w:cs="Times New Roman"/>
          <w:sz w:val="24"/>
          <w:szCs w:val="24"/>
        </w:rPr>
        <w:t xml:space="preserve">in that case </w:t>
      </w:r>
      <w:r w:rsidR="00240D89">
        <w:rPr>
          <w:rFonts w:ascii="Times New Roman" w:hAnsi="Times New Roman" w:cs="Times New Roman"/>
          <w:sz w:val="24"/>
          <w:szCs w:val="24"/>
        </w:rPr>
        <w:t>the omissions net out in the denominat</w:t>
      </w:r>
      <w:r w:rsidR="008F1D68">
        <w:rPr>
          <w:rFonts w:ascii="Times New Roman" w:hAnsi="Times New Roman" w:cs="Times New Roman"/>
          <w:sz w:val="24"/>
          <w:szCs w:val="24"/>
        </w:rPr>
        <w:t>or and numerator of the valuation formula</w:t>
      </w:r>
      <w:r w:rsidR="00240D89">
        <w:rPr>
          <w:rFonts w:ascii="Times New Roman" w:hAnsi="Times New Roman" w:cs="Times New Roman"/>
          <w:sz w:val="24"/>
          <w:szCs w:val="24"/>
        </w:rPr>
        <w:t xml:space="preserve">, leaving only the increment in </w:t>
      </w:r>
      <w:r w:rsidR="008F1D68">
        <w:rPr>
          <w:rFonts w:ascii="Times New Roman" w:hAnsi="Times New Roman" w:cs="Times New Roman"/>
          <w:sz w:val="24"/>
          <w:szCs w:val="24"/>
        </w:rPr>
        <w:t xml:space="preserve">the MRP </w:t>
      </w:r>
      <w:r w:rsidR="00240D89">
        <w:rPr>
          <w:rFonts w:ascii="Times New Roman" w:hAnsi="Times New Roman" w:cs="Times New Roman"/>
          <w:sz w:val="24"/>
          <w:szCs w:val="24"/>
        </w:rPr>
        <w:t xml:space="preserve">and this would be empirically recognized.  </w:t>
      </w:r>
      <w:r w:rsidR="004C06A5">
        <w:rPr>
          <w:rFonts w:ascii="Times New Roman" w:hAnsi="Times New Roman" w:cs="Times New Roman"/>
          <w:sz w:val="24"/>
          <w:szCs w:val="24"/>
        </w:rPr>
        <w:t>To better appreciate this point</w:t>
      </w:r>
      <w:r w:rsidR="00C636C3">
        <w:rPr>
          <w:rFonts w:ascii="Times New Roman" w:hAnsi="Times New Roman" w:cs="Times New Roman"/>
          <w:sz w:val="24"/>
          <w:szCs w:val="24"/>
        </w:rPr>
        <w:t xml:space="preserve"> in a regulatory context</w:t>
      </w:r>
      <w:r w:rsidR="004C06A5">
        <w:rPr>
          <w:rFonts w:ascii="Times New Roman" w:hAnsi="Times New Roman" w:cs="Times New Roman"/>
          <w:sz w:val="24"/>
          <w:szCs w:val="24"/>
        </w:rPr>
        <w:t xml:space="preserve">, let </w:t>
      </w:r>
      <w:r w:rsidR="00FC0C84">
        <w:rPr>
          <w:rFonts w:ascii="Times New Roman" w:hAnsi="Times New Roman" w:cs="Times New Roman"/>
          <w:i/>
          <w:sz w:val="24"/>
          <w:szCs w:val="24"/>
        </w:rPr>
        <w:t>OPEX</w:t>
      </w:r>
      <w:r w:rsidR="004C06A5">
        <w:rPr>
          <w:rFonts w:ascii="Times New Roman" w:hAnsi="Times New Roman" w:cs="Times New Roman"/>
          <w:sz w:val="24"/>
          <w:szCs w:val="24"/>
        </w:rPr>
        <w:t xml:space="preserve"> denote the </w:t>
      </w:r>
      <w:r w:rsidR="002D5930">
        <w:rPr>
          <w:rFonts w:ascii="Times New Roman" w:hAnsi="Times New Roman" w:cs="Times New Roman"/>
          <w:sz w:val="24"/>
          <w:szCs w:val="24"/>
        </w:rPr>
        <w:t xml:space="preserve">allowance for </w:t>
      </w:r>
      <w:r w:rsidR="00FC0C84">
        <w:rPr>
          <w:rFonts w:ascii="Times New Roman" w:hAnsi="Times New Roman" w:cs="Times New Roman"/>
          <w:sz w:val="24"/>
          <w:szCs w:val="24"/>
        </w:rPr>
        <w:t xml:space="preserve">operating </w:t>
      </w:r>
      <w:r w:rsidR="004C06A5">
        <w:rPr>
          <w:rFonts w:ascii="Times New Roman" w:hAnsi="Times New Roman" w:cs="Times New Roman"/>
          <w:sz w:val="24"/>
          <w:szCs w:val="24"/>
        </w:rPr>
        <w:t xml:space="preserve">cash flows before company tax, </w:t>
      </w:r>
      <w:r w:rsidR="004C06A5" w:rsidRPr="007F45B4">
        <w:rPr>
          <w:rFonts w:ascii="Times New Roman" w:hAnsi="Times New Roman" w:cs="Times New Roman"/>
          <w:i/>
          <w:sz w:val="24"/>
          <w:szCs w:val="24"/>
        </w:rPr>
        <w:t>TAX</w:t>
      </w:r>
      <w:r w:rsidR="004C06A5">
        <w:rPr>
          <w:rFonts w:ascii="Times New Roman" w:hAnsi="Times New Roman" w:cs="Times New Roman"/>
          <w:sz w:val="24"/>
          <w:szCs w:val="24"/>
        </w:rPr>
        <w:t xml:space="preserve"> the </w:t>
      </w:r>
      <w:r w:rsidR="002D5930">
        <w:rPr>
          <w:rFonts w:ascii="Times New Roman" w:hAnsi="Times New Roman" w:cs="Times New Roman"/>
          <w:sz w:val="24"/>
          <w:szCs w:val="24"/>
        </w:rPr>
        <w:t xml:space="preserve">allowance for </w:t>
      </w:r>
      <w:r w:rsidR="004C06A5">
        <w:rPr>
          <w:rFonts w:ascii="Times New Roman" w:hAnsi="Times New Roman" w:cs="Times New Roman"/>
          <w:sz w:val="24"/>
          <w:szCs w:val="24"/>
        </w:rPr>
        <w:t xml:space="preserve">company tax payments by the firm, </w:t>
      </w:r>
      <w:r w:rsidR="00FC0C84" w:rsidRPr="00FC0C84">
        <w:rPr>
          <w:rFonts w:ascii="Times New Roman" w:hAnsi="Times New Roman" w:cs="Times New Roman"/>
          <w:i/>
          <w:sz w:val="24"/>
          <w:szCs w:val="24"/>
        </w:rPr>
        <w:t>DEP</w:t>
      </w:r>
      <w:r w:rsidR="00FC0C84">
        <w:rPr>
          <w:rFonts w:ascii="Times New Roman" w:hAnsi="Times New Roman" w:cs="Times New Roman"/>
          <w:sz w:val="24"/>
          <w:szCs w:val="24"/>
        </w:rPr>
        <w:t xml:space="preserve"> the depreciation allowance, </w:t>
      </w:r>
      <w:r w:rsidR="004C06A5" w:rsidRPr="007F45B4">
        <w:rPr>
          <w:rFonts w:ascii="Times New Roman" w:hAnsi="Times New Roman" w:cs="Times New Roman"/>
          <w:i/>
          <w:sz w:val="24"/>
          <w:szCs w:val="24"/>
        </w:rPr>
        <w:t>R</w:t>
      </w:r>
      <w:r w:rsidR="004C06A5" w:rsidRPr="007F45B4">
        <w:rPr>
          <w:rFonts w:ascii="Times New Roman" w:hAnsi="Times New Roman" w:cs="Times New Roman"/>
          <w:i/>
          <w:sz w:val="24"/>
          <w:szCs w:val="24"/>
          <w:vertAlign w:val="subscript"/>
        </w:rPr>
        <w:t>f</w:t>
      </w:r>
      <w:r w:rsidR="004C06A5">
        <w:rPr>
          <w:rFonts w:ascii="Times New Roman" w:hAnsi="Times New Roman" w:cs="Times New Roman"/>
          <w:sz w:val="24"/>
          <w:szCs w:val="24"/>
        </w:rPr>
        <w:t xml:space="preserve"> the risk-free rate before personal tax and other personal costs, </w:t>
      </w:r>
      <w:r w:rsidR="004C06A5" w:rsidRPr="007F45B4">
        <w:rPr>
          <w:rFonts w:ascii="Times New Roman" w:hAnsi="Times New Roman" w:cs="Times New Roman"/>
          <w:i/>
          <w:sz w:val="24"/>
          <w:szCs w:val="24"/>
        </w:rPr>
        <w:t>R</w:t>
      </w:r>
      <w:r w:rsidR="004C06A5" w:rsidRPr="007F45B4">
        <w:rPr>
          <w:rFonts w:ascii="Times New Roman" w:hAnsi="Times New Roman" w:cs="Times New Roman"/>
          <w:i/>
          <w:sz w:val="24"/>
          <w:szCs w:val="24"/>
          <w:vertAlign w:val="subscript"/>
        </w:rPr>
        <w:t>m</w:t>
      </w:r>
      <w:r w:rsidR="004C06A5">
        <w:rPr>
          <w:rFonts w:ascii="Times New Roman" w:hAnsi="Times New Roman" w:cs="Times New Roman"/>
          <w:sz w:val="24"/>
          <w:szCs w:val="24"/>
        </w:rPr>
        <w:t xml:space="preserve"> the rate of return on the market portfolio exclusive of imputation credits and also before personal tax and other personal costs, </w:t>
      </w:r>
      <w:r w:rsidR="004C06A5" w:rsidRPr="007F45B4">
        <w:rPr>
          <w:rFonts w:ascii="Times New Roman" w:hAnsi="Times New Roman" w:cs="Times New Roman"/>
          <w:i/>
          <w:sz w:val="24"/>
          <w:szCs w:val="24"/>
        </w:rPr>
        <w:t>Q</w:t>
      </w:r>
      <w:r w:rsidR="004C06A5">
        <w:rPr>
          <w:rFonts w:ascii="Times New Roman" w:hAnsi="Times New Roman" w:cs="Times New Roman"/>
          <w:i/>
          <w:sz w:val="24"/>
          <w:szCs w:val="24"/>
          <w:vertAlign w:val="subscript"/>
        </w:rPr>
        <w:t>m</w:t>
      </w:r>
      <w:r w:rsidR="004C06A5">
        <w:rPr>
          <w:rFonts w:ascii="Times New Roman" w:hAnsi="Times New Roman" w:cs="Times New Roman"/>
          <w:sz w:val="24"/>
          <w:szCs w:val="24"/>
        </w:rPr>
        <w:t xml:space="preserve"> the ratio of imputation credits attached to dividends on the market portfolio to the value of that portfolio one year earlier, </w:t>
      </w:r>
      <w:r w:rsidR="004C06A5" w:rsidRPr="007F45B4">
        <w:rPr>
          <w:rFonts w:ascii="Times New Roman" w:hAnsi="Times New Roman" w:cs="Times New Roman"/>
          <w:i/>
          <w:sz w:val="24"/>
          <w:szCs w:val="24"/>
        </w:rPr>
        <w:t>β</w:t>
      </w:r>
      <w:r w:rsidR="004C06A5">
        <w:rPr>
          <w:rFonts w:ascii="Times New Roman" w:hAnsi="Times New Roman" w:cs="Times New Roman"/>
          <w:sz w:val="24"/>
          <w:szCs w:val="24"/>
        </w:rPr>
        <w:t xml:space="preserve"> the beta for this firm, </w:t>
      </w:r>
      <w:r w:rsidR="00FC0C84" w:rsidRPr="00E7448F">
        <w:rPr>
          <w:rFonts w:ascii="Times New Roman" w:hAnsi="Times New Roman" w:cs="Times New Roman"/>
          <w:i/>
          <w:sz w:val="24"/>
          <w:szCs w:val="24"/>
        </w:rPr>
        <w:t>A</w:t>
      </w:r>
      <w:r w:rsidR="00FC0C84">
        <w:rPr>
          <w:rFonts w:ascii="Times New Roman" w:hAnsi="Times New Roman" w:cs="Times New Roman"/>
          <w:sz w:val="24"/>
          <w:szCs w:val="24"/>
        </w:rPr>
        <w:t xml:space="preserve"> the regulatory asset book value, </w:t>
      </w:r>
      <w:r w:rsidR="004C06A5" w:rsidRPr="007F45B4">
        <w:rPr>
          <w:rFonts w:ascii="Times New Roman" w:hAnsi="Times New Roman" w:cs="Times New Roman"/>
          <w:i/>
          <w:sz w:val="24"/>
          <w:szCs w:val="24"/>
        </w:rPr>
        <w:t>F</w:t>
      </w:r>
      <w:r w:rsidR="004C06A5">
        <w:rPr>
          <w:rFonts w:ascii="Times New Roman" w:hAnsi="Times New Roman" w:cs="Times New Roman"/>
          <w:sz w:val="24"/>
          <w:szCs w:val="24"/>
        </w:rPr>
        <w:t xml:space="preserve"> the distribution rate for the firm’s credits, and </w:t>
      </w:r>
      <w:r w:rsidR="004C06A5" w:rsidRPr="007F45B4">
        <w:rPr>
          <w:rFonts w:ascii="Times New Roman" w:hAnsi="Times New Roman" w:cs="Times New Roman"/>
          <w:i/>
          <w:sz w:val="24"/>
          <w:szCs w:val="24"/>
        </w:rPr>
        <w:t>θ</w:t>
      </w:r>
      <w:r w:rsidR="004C06A5">
        <w:rPr>
          <w:rFonts w:ascii="Times New Roman" w:hAnsi="Times New Roman" w:cs="Times New Roman"/>
          <w:sz w:val="24"/>
          <w:szCs w:val="24"/>
        </w:rPr>
        <w:t xml:space="preserve"> the utilization rate for the credits.  </w:t>
      </w:r>
      <w:r w:rsidR="00FC0C84">
        <w:rPr>
          <w:rFonts w:ascii="Times New Roman" w:hAnsi="Times New Roman" w:cs="Times New Roman"/>
          <w:sz w:val="24"/>
          <w:szCs w:val="24"/>
        </w:rPr>
        <w:t xml:space="preserve">The expected revenues allowed by the regulator under the Officer (1994) model would </w:t>
      </w:r>
      <w:r w:rsidR="006708FE">
        <w:rPr>
          <w:rFonts w:ascii="Times New Roman" w:hAnsi="Times New Roman" w:cs="Times New Roman"/>
          <w:sz w:val="24"/>
          <w:szCs w:val="24"/>
        </w:rPr>
        <w:t xml:space="preserve">then </w:t>
      </w:r>
      <w:r w:rsidR="00FC0C84">
        <w:rPr>
          <w:rFonts w:ascii="Times New Roman" w:hAnsi="Times New Roman" w:cs="Times New Roman"/>
          <w:sz w:val="24"/>
          <w:szCs w:val="24"/>
        </w:rPr>
        <w:t xml:space="preserve">be as </w:t>
      </w:r>
      <w:r w:rsidR="004C06A5">
        <w:rPr>
          <w:rFonts w:ascii="Times New Roman" w:hAnsi="Times New Roman" w:cs="Times New Roman"/>
          <w:sz w:val="24"/>
          <w:szCs w:val="24"/>
        </w:rPr>
        <w:t>follows</w:t>
      </w:r>
      <w:r w:rsidR="00FC0C84">
        <w:rPr>
          <w:rFonts w:ascii="Times New Roman" w:hAnsi="Times New Roman" w:cs="Times New Roman"/>
          <w:sz w:val="24"/>
          <w:szCs w:val="24"/>
        </w:rPr>
        <w:t xml:space="preserve"> (for an all-equity firm):</w:t>
      </w:r>
    </w:p>
    <w:p w:rsidR="00FC0C84" w:rsidRDefault="00FC0C84" w:rsidP="004C06A5">
      <w:pPr>
        <w:spacing w:after="0" w:line="360" w:lineRule="auto"/>
        <w:jc w:val="both"/>
        <w:rPr>
          <w:rFonts w:ascii="Times New Roman" w:hAnsi="Times New Roman" w:cs="Times New Roman"/>
          <w:sz w:val="24"/>
          <w:szCs w:val="24"/>
        </w:rPr>
      </w:pPr>
    </w:p>
    <w:p w:rsidR="004C06A5" w:rsidRPr="00FC5A27" w:rsidRDefault="00C636C3" w:rsidP="00C636C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FC0C84">
        <w:rPr>
          <w:rFonts w:ascii="Times New Roman" w:hAnsi="Times New Roman" w:cs="Times New Roman"/>
          <w:position w:val="-14"/>
          <w:sz w:val="24"/>
          <w:szCs w:val="24"/>
        </w:rPr>
        <w:object w:dxaOrig="8220" w:dyaOrig="380">
          <v:shape id="_x0000_i1038" type="#_x0000_t75" style="width:410.8pt;height:18.95pt" o:ole="">
            <v:imagedata r:id="rId35" o:title=""/>
          </v:shape>
          <o:OLEObject Type="Embed" ProgID="Equation.3" ShapeID="_x0000_i1038" DrawAspect="Content" ObjectID="_1554554744" r:id="rId36"/>
        </w:object>
      </w:r>
      <w:r>
        <w:rPr>
          <w:rFonts w:ascii="Times New Roman" w:hAnsi="Times New Roman" w:cs="Times New Roman"/>
          <w:sz w:val="24"/>
          <w:szCs w:val="24"/>
        </w:rPr>
        <w:t xml:space="preserve">   </w:t>
      </w:r>
      <w:r w:rsidR="00D15AC8">
        <w:rPr>
          <w:rFonts w:ascii="Times New Roman" w:hAnsi="Times New Roman" w:cs="Times New Roman"/>
          <w:sz w:val="24"/>
          <w:szCs w:val="24"/>
        </w:rPr>
        <w:t>(4</w:t>
      </w:r>
      <w:r>
        <w:rPr>
          <w:rFonts w:ascii="Times New Roman" w:hAnsi="Times New Roman" w:cs="Times New Roman"/>
          <w:sz w:val="24"/>
          <w:szCs w:val="24"/>
        </w:rPr>
        <w:t>)</w:t>
      </w:r>
    </w:p>
    <w:p w:rsidR="004C06A5" w:rsidRDefault="004C06A5" w:rsidP="004C06A5">
      <w:pPr>
        <w:spacing w:after="0" w:line="360" w:lineRule="auto"/>
        <w:jc w:val="center"/>
        <w:rPr>
          <w:rFonts w:ascii="Times New Roman" w:hAnsi="Times New Roman" w:cs="Times New Roman"/>
          <w:sz w:val="24"/>
          <w:szCs w:val="24"/>
        </w:rPr>
      </w:pPr>
    </w:p>
    <w:p w:rsidR="00A44C86" w:rsidRDefault="004C06A5" w:rsidP="004C06A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Letting </w:t>
      </w:r>
      <w:r w:rsidRPr="003E23FC">
        <w:rPr>
          <w:rFonts w:ascii="Times New Roman" w:hAnsi="Times New Roman" w:cs="Times New Roman"/>
          <w:i/>
          <w:sz w:val="24"/>
          <w:szCs w:val="24"/>
        </w:rPr>
        <w:t>C</w:t>
      </w:r>
      <w:r>
        <w:rPr>
          <w:rFonts w:ascii="Times New Roman" w:hAnsi="Times New Roman" w:cs="Times New Roman"/>
          <w:sz w:val="24"/>
          <w:szCs w:val="24"/>
        </w:rPr>
        <w:t xml:space="preserve"> denote </w:t>
      </w:r>
      <w:r w:rsidR="00A44C86">
        <w:rPr>
          <w:rFonts w:ascii="Times New Roman" w:hAnsi="Times New Roman" w:cs="Times New Roman"/>
          <w:sz w:val="24"/>
          <w:szCs w:val="24"/>
        </w:rPr>
        <w:t>the transactions costs of the imputation credits for this firm</w:t>
      </w:r>
      <w:r w:rsidR="00FC0C84">
        <w:rPr>
          <w:rFonts w:ascii="Times New Roman" w:hAnsi="Times New Roman" w:cs="Times New Roman"/>
          <w:sz w:val="24"/>
          <w:szCs w:val="24"/>
        </w:rPr>
        <w:t xml:space="preserve"> (per dollar of regulatory asset book value </w:t>
      </w:r>
      <w:r w:rsidR="00FC0C84" w:rsidRPr="00FC0C84">
        <w:rPr>
          <w:rFonts w:ascii="Times New Roman" w:hAnsi="Times New Roman" w:cs="Times New Roman"/>
          <w:i/>
          <w:sz w:val="24"/>
          <w:szCs w:val="24"/>
        </w:rPr>
        <w:t>A</w:t>
      </w:r>
      <w:r w:rsidR="00FC0C84">
        <w:rPr>
          <w:rFonts w:ascii="Times New Roman" w:hAnsi="Times New Roman" w:cs="Times New Roman"/>
          <w:sz w:val="24"/>
          <w:szCs w:val="24"/>
        </w:rPr>
        <w:t>)</w:t>
      </w:r>
      <w:r w:rsidR="00A44C86">
        <w:rPr>
          <w:rFonts w:ascii="Times New Roman" w:hAnsi="Times New Roman" w:cs="Times New Roman"/>
          <w:sz w:val="24"/>
          <w:szCs w:val="24"/>
        </w:rPr>
        <w:t xml:space="preserve">, and </w:t>
      </w:r>
      <w:r w:rsidRPr="003E23FC">
        <w:rPr>
          <w:rFonts w:ascii="Times New Roman" w:hAnsi="Times New Roman" w:cs="Times New Roman"/>
          <w:i/>
          <w:sz w:val="24"/>
          <w:szCs w:val="24"/>
        </w:rPr>
        <w:t>C</w:t>
      </w:r>
      <w:r w:rsidRPr="003E23FC">
        <w:rPr>
          <w:rFonts w:ascii="Times New Roman" w:hAnsi="Times New Roman" w:cs="Times New Roman"/>
          <w:i/>
          <w:sz w:val="24"/>
          <w:szCs w:val="24"/>
          <w:vertAlign w:val="subscript"/>
        </w:rPr>
        <w:t>m</w:t>
      </w:r>
      <w:r>
        <w:rPr>
          <w:rFonts w:ascii="Times New Roman" w:hAnsi="Times New Roman" w:cs="Times New Roman"/>
          <w:sz w:val="24"/>
          <w:szCs w:val="24"/>
        </w:rPr>
        <w:t xml:space="preserve"> its counterpart for the market portfolio, </w:t>
      </w:r>
      <w:r w:rsidR="00A44C86">
        <w:rPr>
          <w:rFonts w:ascii="Times New Roman" w:hAnsi="Times New Roman" w:cs="Times New Roman"/>
          <w:sz w:val="24"/>
          <w:szCs w:val="24"/>
        </w:rPr>
        <w:t xml:space="preserve">recognition of these costs would transform </w:t>
      </w:r>
      <w:r w:rsidR="00D15AC8">
        <w:rPr>
          <w:rFonts w:ascii="Times New Roman" w:hAnsi="Times New Roman" w:cs="Times New Roman"/>
          <w:sz w:val="24"/>
          <w:szCs w:val="24"/>
        </w:rPr>
        <w:t>equation (4</w:t>
      </w:r>
      <w:r>
        <w:rPr>
          <w:rFonts w:ascii="Times New Roman" w:hAnsi="Times New Roman" w:cs="Times New Roman"/>
          <w:sz w:val="24"/>
          <w:szCs w:val="24"/>
        </w:rPr>
        <w:t xml:space="preserve">) </w:t>
      </w:r>
      <w:r w:rsidR="00A44C86">
        <w:rPr>
          <w:rFonts w:ascii="Times New Roman" w:hAnsi="Times New Roman" w:cs="Times New Roman"/>
          <w:sz w:val="24"/>
          <w:szCs w:val="24"/>
        </w:rPr>
        <w:t>as follows</w:t>
      </w:r>
      <w:r w:rsidR="00FC0C84">
        <w:rPr>
          <w:rFonts w:ascii="Times New Roman" w:hAnsi="Times New Roman" w:cs="Times New Roman"/>
          <w:sz w:val="24"/>
          <w:szCs w:val="24"/>
        </w:rPr>
        <w:t>:</w:t>
      </w:r>
    </w:p>
    <w:p w:rsidR="004C06A5" w:rsidRDefault="004C06A5" w:rsidP="004C06A5">
      <w:pPr>
        <w:spacing w:after="0" w:line="360" w:lineRule="auto"/>
        <w:jc w:val="both"/>
        <w:rPr>
          <w:rFonts w:ascii="Times New Roman" w:hAnsi="Times New Roman" w:cs="Times New Roman"/>
          <w:sz w:val="24"/>
          <w:szCs w:val="24"/>
        </w:rPr>
      </w:pPr>
    </w:p>
    <w:p w:rsidR="00C636C3" w:rsidRPr="003E23FC" w:rsidRDefault="003414AD" w:rsidP="003414AD">
      <w:pPr>
        <w:spacing w:after="0" w:line="360" w:lineRule="auto"/>
        <w:jc w:val="center"/>
        <w:rPr>
          <w:rFonts w:ascii="Times New Roman" w:hAnsi="Times New Roman" w:cs="Times New Roman"/>
          <w:sz w:val="24"/>
          <w:szCs w:val="24"/>
        </w:rPr>
      </w:pPr>
      <w:r w:rsidRPr="003414AD">
        <w:rPr>
          <w:rFonts w:ascii="Times New Roman" w:hAnsi="Times New Roman" w:cs="Times New Roman"/>
          <w:position w:val="-10"/>
          <w:sz w:val="24"/>
          <w:szCs w:val="24"/>
        </w:rPr>
        <w:object w:dxaOrig="4700" w:dyaOrig="320">
          <v:shape id="_x0000_i1039" type="#_x0000_t75" style="width:234.95pt;height:15.9pt" o:ole="">
            <v:imagedata r:id="rId37" o:title=""/>
          </v:shape>
          <o:OLEObject Type="Embed" ProgID="Equation.3" ShapeID="_x0000_i1039" DrawAspect="Content" ObjectID="_1554554745" r:id="rId38"/>
        </w:object>
      </w:r>
    </w:p>
    <w:p w:rsidR="004C06A5" w:rsidRDefault="003414AD" w:rsidP="00335868">
      <w:pPr>
        <w:pStyle w:val="ListParagraph"/>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FC0C84">
        <w:rPr>
          <w:rFonts w:ascii="Times New Roman" w:hAnsi="Times New Roman" w:cs="Times New Roman"/>
          <w:position w:val="-14"/>
          <w:sz w:val="24"/>
          <w:szCs w:val="24"/>
        </w:rPr>
        <w:object w:dxaOrig="4660" w:dyaOrig="380">
          <v:shape id="_x0000_i1040" type="#_x0000_t75" style="width:232.65pt;height:18.95pt" o:ole="">
            <v:imagedata r:id="rId39" o:title=""/>
          </v:shape>
          <o:OLEObject Type="Embed" ProgID="Equation.3" ShapeID="_x0000_i1040" DrawAspect="Content" ObjectID="_1554554746" r:id="rId40"/>
        </w:object>
      </w:r>
      <w:r>
        <w:rPr>
          <w:rFonts w:ascii="Times New Roman" w:hAnsi="Times New Roman" w:cs="Times New Roman"/>
          <w:sz w:val="24"/>
          <w:szCs w:val="24"/>
        </w:rPr>
        <w:t xml:space="preserve">            (5)</w:t>
      </w:r>
    </w:p>
    <w:p w:rsidR="003414AD" w:rsidRDefault="003414AD" w:rsidP="00335868">
      <w:pPr>
        <w:pStyle w:val="ListParagraph"/>
        <w:spacing w:after="0" w:line="360" w:lineRule="auto"/>
        <w:ind w:left="0"/>
        <w:jc w:val="both"/>
        <w:rPr>
          <w:rFonts w:ascii="Times New Roman" w:hAnsi="Times New Roman" w:cs="Times New Roman"/>
          <w:sz w:val="24"/>
          <w:szCs w:val="24"/>
        </w:rPr>
      </w:pPr>
    </w:p>
    <w:p w:rsidR="00335868" w:rsidRDefault="003414AD" w:rsidP="00335868">
      <w:pPr>
        <w:pStyle w:val="ListParagraph"/>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Using equation (5)</w:t>
      </w:r>
      <w:r w:rsidR="00C636C3">
        <w:rPr>
          <w:rFonts w:ascii="Times New Roman" w:hAnsi="Times New Roman" w:cs="Times New Roman"/>
          <w:sz w:val="24"/>
          <w:szCs w:val="24"/>
        </w:rPr>
        <w:t xml:space="preserve">, the </w:t>
      </w:r>
      <w:r w:rsidR="00A44C86">
        <w:rPr>
          <w:rFonts w:ascii="Times New Roman" w:hAnsi="Times New Roman" w:cs="Times New Roman"/>
          <w:sz w:val="24"/>
          <w:szCs w:val="24"/>
        </w:rPr>
        <w:t xml:space="preserve">increment to </w:t>
      </w:r>
      <w:r w:rsidR="00A44C86" w:rsidRPr="00B5491D">
        <w:rPr>
          <w:rFonts w:ascii="Times New Roman" w:hAnsi="Times New Roman" w:cs="Times New Roman"/>
          <w:i/>
          <w:sz w:val="24"/>
          <w:szCs w:val="24"/>
        </w:rPr>
        <w:t>E</w:t>
      </w:r>
      <w:r w:rsidR="00A44C86">
        <w:rPr>
          <w:rFonts w:ascii="Times New Roman" w:hAnsi="Times New Roman" w:cs="Times New Roman"/>
          <w:sz w:val="24"/>
          <w:szCs w:val="24"/>
        </w:rPr>
        <w:t>(</w:t>
      </w:r>
      <w:r w:rsidR="00A44C86" w:rsidRPr="00B5491D">
        <w:rPr>
          <w:rFonts w:ascii="Times New Roman" w:hAnsi="Times New Roman" w:cs="Times New Roman"/>
          <w:i/>
          <w:sz w:val="24"/>
          <w:szCs w:val="24"/>
        </w:rPr>
        <w:t>R</w:t>
      </w:r>
      <w:r w:rsidR="00A44C86" w:rsidRPr="00B5491D">
        <w:rPr>
          <w:rFonts w:ascii="Times New Roman" w:hAnsi="Times New Roman" w:cs="Times New Roman"/>
          <w:i/>
          <w:sz w:val="24"/>
          <w:szCs w:val="24"/>
          <w:vertAlign w:val="subscript"/>
        </w:rPr>
        <w:t>m</w:t>
      </w:r>
      <w:r w:rsidR="00A44C86">
        <w:rPr>
          <w:rFonts w:ascii="Times New Roman" w:hAnsi="Times New Roman" w:cs="Times New Roman"/>
          <w:sz w:val="24"/>
          <w:szCs w:val="24"/>
        </w:rPr>
        <w:t xml:space="preserve">) resulting from these costs would </w:t>
      </w:r>
      <w:r w:rsidR="002D5930">
        <w:rPr>
          <w:rFonts w:ascii="Times New Roman" w:hAnsi="Times New Roman" w:cs="Times New Roman"/>
          <w:sz w:val="24"/>
          <w:szCs w:val="24"/>
        </w:rPr>
        <w:t xml:space="preserve">be offset by </w:t>
      </w:r>
      <w:r w:rsidR="00A44C86" w:rsidRPr="00B5491D">
        <w:rPr>
          <w:rFonts w:ascii="Times New Roman" w:hAnsi="Times New Roman" w:cs="Times New Roman"/>
          <w:i/>
          <w:sz w:val="24"/>
          <w:szCs w:val="24"/>
        </w:rPr>
        <w:t>C</w:t>
      </w:r>
      <w:r w:rsidR="00A44C86" w:rsidRPr="00B5491D">
        <w:rPr>
          <w:rFonts w:ascii="Times New Roman" w:hAnsi="Times New Roman" w:cs="Times New Roman"/>
          <w:i/>
          <w:sz w:val="24"/>
          <w:szCs w:val="24"/>
          <w:vertAlign w:val="subscript"/>
        </w:rPr>
        <w:t>m</w:t>
      </w:r>
      <w:r w:rsidR="00A2035B">
        <w:rPr>
          <w:rFonts w:ascii="Times New Roman" w:hAnsi="Times New Roman" w:cs="Times New Roman"/>
          <w:sz w:val="24"/>
          <w:szCs w:val="24"/>
        </w:rPr>
        <w:t xml:space="preserve"> in the MRP,</w:t>
      </w:r>
      <w:r w:rsidR="00B5491D">
        <w:rPr>
          <w:rFonts w:ascii="Times New Roman" w:hAnsi="Times New Roman" w:cs="Times New Roman"/>
          <w:sz w:val="24"/>
          <w:szCs w:val="24"/>
        </w:rPr>
        <w:t xml:space="preserve"> and therefore the </w:t>
      </w:r>
      <w:r w:rsidR="00C636C3">
        <w:rPr>
          <w:rFonts w:ascii="Times New Roman" w:hAnsi="Times New Roman" w:cs="Times New Roman"/>
          <w:sz w:val="24"/>
          <w:szCs w:val="24"/>
        </w:rPr>
        <w:t>allowed revenues</w:t>
      </w:r>
      <w:r w:rsidR="002D5930">
        <w:rPr>
          <w:rFonts w:ascii="Times New Roman" w:hAnsi="Times New Roman" w:cs="Times New Roman"/>
          <w:sz w:val="24"/>
          <w:szCs w:val="24"/>
        </w:rPr>
        <w:t xml:space="preserve"> would rise in accordance with </w:t>
      </w:r>
      <w:r w:rsidR="002D5930" w:rsidRPr="002D5930">
        <w:rPr>
          <w:rFonts w:ascii="Times New Roman" w:hAnsi="Times New Roman" w:cs="Times New Roman"/>
          <w:i/>
          <w:sz w:val="24"/>
          <w:szCs w:val="24"/>
        </w:rPr>
        <w:t>C</w:t>
      </w:r>
      <w:r w:rsidR="00B5491D">
        <w:rPr>
          <w:rFonts w:ascii="Times New Roman" w:hAnsi="Times New Roman" w:cs="Times New Roman"/>
          <w:sz w:val="24"/>
          <w:szCs w:val="24"/>
        </w:rPr>
        <w:t>.</w:t>
      </w:r>
      <w:r w:rsidR="00A44C86">
        <w:rPr>
          <w:rFonts w:ascii="Times New Roman" w:hAnsi="Times New Roman" w:cs="Times New Roman"/>
          <w:sz w:val="24"/>
          <w:szCs w:val="24"/>
        </w:rPr>
        <w:t xml:space="preserve"> </w:t>
      </w:r>
      <w:r w:rsidR="00B5491D">
        <w:rPr>
          <w:rFonts w:ascii="Times New Roman" w:hAnsi="Times New Roman" w:cs="Times New Roman"/>
          <w:sz w:val="24"/>
          <w:szCs w:val="24"/>
        </w:rPr>
        <w:t xml:space="preserve"> </w:t>
      </w:r>
      <w:r w:rsidR="00FE3525">
        <w:rPr>
          <w:rFonts w:ascii="Times New Roman" w:hAnsi="Times New Roman" w:cs="Times New Roman"/>
          <w:sz w:val="24"/>
          <w:szCs w:val="24"/>
        </w:rPr>
        <w:t xml:space="preserve">So, if beta were 1 (and </w:t>
      </w:r>
      <w:r w:rsidR="00FE3525" w:rsidRPr="00FC0C84">
        <w:rPr>
          <w:rFonts w:ascii="Times New Roman" w:hAnsi="Times New Roman" w:cs="Times New Roman"/>
          <w:i/>
          <w:sz w:val="24"/>
          <w:szCs w:val="24"/>
        </w:rPr>
        <w:t>C</w:t>
      </w:r>
      <w:r w:rsidR="00FE3525">
        <w:rPr>
          <w:rFonts w:ascii="Times New Roman" w:hAnsi="Times New Roman" w:cs="Times New Roman"/>
          <w:sz w:val="24"/>
          <w:szCs w:val="24"/>
        </w:rPr>
        <w:t xml:space="preserve"> were equal to </w:t>
      </w:r>
      <w:r w:rsidR="00FE3525" w:rsidRPr="00FC0C84">
        <w:rPr>
          <w:rFonts w:ascii="Times New Roman" w:hAnsi="Times New Roman" w:cs="Times New Roman"/>
          <w:i/>
          <w:sz w:val="24"/>
          <w:szCs w:val="24"/>
        </w:rPr>
        <w:t>C</w:t>
      </w:r>
      <w:r w:rsidR="00FE3525" w:rsidRPr="00FC0C84">
        <w:rPr>
          <w:rFonts w:ascii="Times New Roman" w:hAnsi="Times New Roman" w:cs="Times New Roman"/>
          <w:i/>
          <w:sz w:val="24"/>
          <w:szCs w:val="24"/>
          <w:vertAlign w:val="subscript"/>
        </w:rPr>
        <w:t>m</w:t>
      </w:r>
      <w:r w:rsidR="00FE3525">
        <w:rPr>
          <w:rFonts w:ascii="Times New Roman" w:hAnsi="Times New Roman" w:cs="Times New Roman"/>
          <w:sz w:val="24"/>
          <w:szCs w:val="24"/>
        </w:rPr>
        <w:t>)</w:t>
      </w:r>
      <w:r w:rsidR="00D15AC8">
        <w:rPr>
          <w:rFonts w:ascii="Times New Roman" w:hAnsi="Times New Roman" w:cs="Times New Roman"/>
          <w:sz w:val="24"/>
          <w:szCs w:val="24"/>
        </w:rPr>
        <w:t>, equations (4) and (5</w:t>
      </w:r>
      <w:r w:rsidR="002D5930">
        <w:rPr>
          <w:rFonts w:ascii="Times New Roman" w:hAnsi="Times New Roman" w:cs="Times New Roman"/>
          <w:sz w:val="24"/>
          <w:szCs w:val="24"/>
        </w:rPr>
        <w:t xml:space="preserve">) </w:t>
      </w:r>
      <w:r w:rsidR="00FE3525">
        <w:rPr>
          <w:rFonts w:ascii="Times New Roman" w:hAnsi="Times New Roman" w:cs="Times New Roman"/>
          <w:sz w:val="24"/>
          <w:szCs w:val="24"/>
        </w:rPr>
        <w:t>would be equivalent</w:t>
      </w:r>
      <w:r w:rsidR="002D5930">
        <w:rPr>
          <w:rFonts w:ascii="Times New Roman" w:hAnsi="Times New Roman" w:cs="Times New Roman"/>
          <w:sz w:val="24"/>
          <w:szCs w:val="24"/>
        </w:rPr>
        <w:t xml:space="preserve"> because </w:t>
      </w:r>
      <w:r w:rsidR="002D5930" w:rsidRPr="002D5930">
        <w:rPr>
          <w:rFonts w:ascii="Times New Roman" w:hAnsi="Times New Roman" w:cs="Times New Roman"/>
          <w:i/>
          <w:sz w:val="24"/>
          <w:szCs w:val="24"/>
        </w:rPr>
        <w:t>C</w:t>
      </w:r>
      <w:r w:rsidR="002D5930">
        <w:rPr>
          <w:rFonts w:ascii="Times New Roman" w:hAnsi="Times New Roman" w:cs="Times New Roman"/>
          <w:sz w:val="24"/>
          <w:szCs w:val="24"/>
        </w:rPr>
        <w:t xml:space="preserve"> and </w:t>
      </w:r>
      <w:r w:rsidR="002D5930" w:rsidRPr="002D5930">
        <w:rPr>
          <w:rFonts w:ascii="Times New Roman" w:hAnsi="Times New Roman" w:cs="Times New Roman"/>
          <w:i/>
          <w:sz w:val="24"/>
          <w:szCs w:val="24"/>
        </w:rPr>
        <w:t>C</w:t>
      </w:r>
      <w:r w:rsidR="002D5930" w:rsidRPr="002D5930">
        <w:rPr>
          <w:rFonts w:ascii="Times New Roman" w:hAnsi="Times New Roman" w:cs="Times New Roman"/>
          <w:i/>
          <w:sz w:val="24"/>
          <w:szCs w:val="24"/>
          <w:vertAlign w:val="subscript"/>
        </w:rPr>
        <w:t>m</w:t>
      </w:r>
      <w:r w:rsidR="002D5930">
        <w:rPr>
          <w:rFonts w:ascii="Times New Roman" w:hAnsi="Times New Roman" w:cs="Times New Roman"/>
          <w:sz w:val="24"/>
          <w:szCs w:val="24"/>
        </w:rPr>
        <w:t xml:space="preserve"> would then offset.</w:t>
      </w:r>
      <w:r w:rsidR="00FE3525">
        <w:rPr>
          <w:rFonts w:ascii="Times New Roman" w:hAnsi="Times New Roman" w:cs="Times New Roman"/>
          <w:sz w:val="24"/>
          <w:szCs w:val="24"/>
        </w:rPr>
        <w:t xml:space="preserve">  Thus, </w:t>
      </w:r>
      <w:r w:rsidR="002D5930">
        <w:rPr>
          <w:rFonts w:ascii="Times New Roman" w:hAnsi="Times New Roman" w:cs="Times New Roman"/>
          <w:sz w:val="24"/>
          <w:szCs w:val="24"/>
        </w:rPr>
        <w:t xml:space="preserve">the use of </w:t>
      </w:r>
      <w:r w:rsidR="00D15AC8">
        <w:rPr>
          <w:rFonts w:ascii="Times New Roman" w:hAnsi="Times New Roman" w:cs="Times New Roman"/>
          <w:sz w:val="24"/>
          <w:szCs w:val="24"/>
        </w:rPr>
        <w:t>equation (4</w:t>
      </w:r>
      <w:r w:rsidR="00B5491D">
        <w:rPr>
          <w:rFonts w:ascii="Times New Roman" w:hAnsi="Times New Roman" w:cs="Times New Roman"/>
          <w:sz w:val="24"/>
          <w:szCs w:val="24"/>
        </w:rPr>
        <w:t xml:space="preserve">) </w:t>
      </w:r>
      <w:r w:rsidR="00D15AC8">
        <w:rPr>
          <w:rFonts w:ascii="Times New Roman" w:hAnsi="Times New Roman" w:cs="Times New Roman"/>
          <w:sz w:val="24"/>
          <w:szCs w:val="24"/>
        </w:rPr>
        <w:t>rather than (5</w:t>
      </w:r>
      <w:r w:rsidR="002D5930">
        <w:rPr>
          <w:rFonts w:ascii="Times New Roman" w:hAnsi="Times New Roman" w:cs="Times New Roman"/>
          <w:sz w:val="24"/>
          <w:szCs w:val="24"/>
        </w:rPr>
        <w:t xml:space="preserve">) </w:t>
      </w:r>
      <w:r w:rsidR="00B5491D">
        <w:rPr>
          <w:rFonts w:ascii="Times New Roman" w:hAnsi="Times New Roman" w:cs="Times New Roman"/>
          <w:sz w:val="24"/>
          <w:szCs w:val="24"/>
        </w:rPr>
        <w:t xml:space="preserve">would not matter if beta </w:t>
      </w:r>
      <w:r w:rsidR="00B5491D">
        <w:rPr>
          <w:rFonts w:ascii="Times New Roman" w:hAnsi="Times New Roman" w:cs="Times New Roman"/>
          <w:sz w:val="24"/>
          <w:szCs w:val="24"/>
        </w:rPr>
        <w:lastRenderedPageBreak/>
        <w:t xml:space="preserve">were 1 (and </w:t>
      </w:r>
      <w:r w:rsidR="00B5491D" w:rsidRPr="00FC0C84">
        <w:rPr>
          <w:rFonts w:ascii="Times New Roman" w:hAnsi="Times New Roman" w:cs="Times New Roman"/>
          <w:i/>
          <w:sz w:val="24"/>
          <w:szCs w:val="24"/>
        </w:rPr>
        <w:t>C</w:t>
      </w:r>
      <w:r w:rsidR="00B5491D">
        <w:rPr>
          <w:rFonts w:ascii="Times New Roman" w:hAnsi="Times New Roman" w:cs="Times New Roman"/>
          <w:sz w:val="24"/>
          <w:szCs w:val="24"/>
        </w:rPr>
        <w:t xml:space="preserve"> were </w:t>
      </w:r>
      <w:r w:rsidR="00C636C3">
        <w:rPr>
          <w:rFonts w:ascii="Times New Roman" w:hAnsi="Times New Roman" w:cs="Times New Roman"/>
          <w:sz w:val="24"/>
          <w:szCs w:val="24"/>
        </w:rPr>
        <w:t xml:space="preserve">equal </w:t>
      </w:r>
      <w:r w:rsidR="00B5491D">
        <w:rPr>
          <w:rFonts w:ascii="Times New Roman" w:hAnsi="Times New Roman" w:cs="Times New Roman"/>
          <w:sz w:val="24"/>
          <w:szCs w:val="24"/>
        </w:rPr>
        <w:t xml:space="preserve">to </w:t>
      </w:r>
      <w:r w:rsidR="00B5491D" w:rsidRPr="00FC0C84">
        <w:rPr>
          <w:rFonts w:ascii="Times New Roman" w:hAnsi="Times New Roman" w:cs="Times New Roman"/>
          <w:i/>
          <w:sz w:val="24"/>
          <w:szCs w:val="24"/>
        </w:rPr>
        <w:t>C</w:t>
      </w:r>
      <w:r w:rsidR="00B5491D" w:rsidRPr="00FC0C84">
        <w:rPr>
          <w:rFonts w:ascii="Times New Roman" w:hAnsi="Times New Roman" w:cs="Times New Roman"/>
          <w:i/>
          <w:sz w:val="24"/>
          <w:szCs w:val="24"/>
          <w:vertAlign w:val="subscript"/>
        </w:rPr>
        <w:t>m</w:t>
      </w:r>
      <w:r w:rsidR="00B5491D">
        <w:rPr>
          <w:rFonts w:ascii="Times New Roman" w:hAnsi="Times New Roman" w:cs="Times New Roman"/>
          <w:sz w:val="24"/>
          <w:szCs w:val="24"/>
        </w:rPr>
        <w:t>)</w:t>
      </w:r>
      <w:r w:rsidR="00C636C3">
        <w:rPr>
          <w:rFonts w:ascii="Times New Roman" w:hAnsi="Times New Roman" w:cs="Times New Roman"/>
          <w:sz w:val="24"/>
          <w:szCs w:val="24"/>
        </w:rPr>
        <w:t>.</w:t>
      </w:r>
      <w:r w:rsidR="00B5491D">
        <w:rPr>
          <w:rFonts w:ascii="Times New Roman" w:hAnsi="Times New Roman" w:cs="Times New Roman"/>
          <w:sz w:val="24"/>
          <w:szCs w:val="24"/>
        </w:rPr>
        <w:t xml:space="preserve">  </w:t>
      </w:r>
      <w:r w:rsidR="00240D89">
        <w:rPr>
          <w:rFonts w:ascii="Times New Roman" w:hAnsi="Times New Roman" w:cs="Times New Roman"/>
          <w:sz w:val="24"/>
          <w:szCs w:val="24"/>
        </w:rPr>
        <w:t xml:space="preserve">However, with the AER’s beta of 0.70, the </w:t>
      </w:r>
      <w:r>
        <w:rPr>
          <w:rFonts w:ascii="Times New Roman" w:hAnsi="Times New Roman" w:cs="Times New Roman"/>
          <w:sz w:val="24"/>
          <w:szCs w:val="24"/>
        </w:rPr>
        <w:t>use of equation (4) rather than (5</w:t>
      </w:r>
      <w:r w:rsidR="00C636C3">
        <w:rPr>
          <w:rFonts w:ascii="Times New Roman" w:hAnsi="Times New Roman" w:cs="Times New Roman"/>
          <w:sz w:val="24"/>
          <w:szCs w:val="24"/>
        </w:rPr>
        <w:t xml:space="preserve">) </w:t>
      </w:r>
      <w:r w:rsidR="00240D89">
        <w:rPr>
          <w:rFonts w:ascii="Times New Roman" w:hAnsi="Times New Roman" w:cs="Times New Roman"/>
          <w:sz w:val="24"/>
          <w:szCs w:val="24"/>
        </w:rPr>
        <w:t>would imply that 30% of these costs were not compensated for</w:t>
      </w:r>
      <w:r w:rsidR="002D5930">
        <w:rPr>
          <w:rFonts w:ascii="Times New Roman" w:hAnsi="Times New Roman" w:cs="Times New Roman"/>
          <w:sz w:val="24"/>
          <w:szCs w:val="24"/>
        </w:rPr>
        <w:t xml:space="preserve"> because the increment to </w:t>
      </w:r>
      <w:r w:rsidR="002D5930" w:rsidRPr="002D5930">
        <w:rPr>
          <w:rFonts w:ascii="Times New Roman" w:hAnsi="Times New Roman" w:cs="Times New Roman"/>
          <w:i/>
          <w:sz w:val="24"/>
          <w:szCs w:val="24"/>
        </w:rPr>
        <w:t>E</w:t>
      </w:r>
      <w:r w:rsidR="002D5930">
        <w:rPr>
          <w:rFonts w:ascii="Times New Roman" w:hAnsi="Times New Roman" w:cs="Times New Roman"/>
          <w:sz w:val="24"/>
          <w:szCs w:val="24"/>
        </w:rPr>
        <w:t>(</w:t>
      </w:r>
      <w:r w:rsidR="002D5930" w:rsidRPr="002D5930">
        <w:rPr>
          <w:rFonts w:ascii="Times New Roman" w:hAnsi="Times New Roman" w:cs="Times New Roman"/>
          <w:i/>
          <w:sz w:val="24"/>
          <w:szCs w:val="24"/>
        </w:rPr>
        <w:t>R</w:t>
      </w:r>
      <w:r w:rsidR="002D5930" w:rsidRPr="002D5930">
        <w:rPr>
          <w:rFonts w:ascii="Times New Roman" w:hAnsi="Times New Roman" w:cs="Times New Roman"/>
          <w:i/>
          <w:sz w:val="24"/>
          <w:szCs w:val="24"/>
          <w:vertAlign w:val="subscript"/>
        </w:rPr>
        <w:t>m</w:t>
      </w:r>
      <w:r w:rsidR="002D5930">
        <w:rPr>
          <w:rFonts w:ascii="Times New Roman" w:hAnsi="Times New Roman" w:cs="Times New Roman"/>
          <w:sz w:val="24"/>
          <w:szCs w:val="24"/>
        </w:rPr>
        <w:t>) would be multiplied by 0.70</w:t>
      </w:r>
      <w:r w:rsidR="00A40840">
        <w:rPr>
          <w:rFonts w:ascii="Times New Roman" w:hAnsi="Times New Roman" w:cs="Times New Roman"/>
          <w:sz w:val="24"/>
          <w:szCs w:val="24"/>
        </w:rPr>
        <w:t>.</w:t>
      </w:r>
      <w:r w:rsidR="00240D89">
        <w:rPr>
          <w:rFonts w:ascii="Times New Roman" w:hAnsi="Times New Roman" w:cs="Times New Roman"/>
          <w:sz w:val="24"/>
          <w:szCs w:val="24"/>
        </w:rPr>
        <w:t xml:space="preserve">  This is not a material issue because these costs are very small </w:t>
      </w:r>
      <w:r w:rsidR="00240D89" w:rsidRPr="008A6683">
        <w:rPr>
          <w:rFonts w:ascii="Times New Roman" w:hAnsi="Times New Roman" w:cs="Times New Roman"/>
          <w:sz w:val="24"/>
          <w:szCs w:val="24"/>
        </w:rPr>
        <w:t>(as a proportion of the i</w:t>
      </w:r>
      <w:r w:rsidR="008F1D68">
        <w:rPr>
          <w:rFonts w:ascii="Times New Roman" w:hAnsi="Times New Roman" w:cs="Times New Roman"/>
          <w:sz w:val="24"/>
          <w:szCs w:val="24"/>
        </w:rPr>
        <w:t>mputation credits</w:t>
      </w:r>
      <w:r w:rsidR="00240D89" w:rsidRPr="008A6683">
        <w:rPr>
          <w:rFonts w:ascii="Times New Roman" w:hAnsi="Times New Roman" w:cs="Times New Roman"/>
          <w:sz w:val="24"/>
          <w:szCs w:val="24"/>
        </w:rPr>
        <w:t>)</w:t>
      </w:r>
      <w:r w:rsidR="008F1D68">
        <w:rPr>
          <w:rFonts w:ascii="Times New Roman" w:hAnsi="Times New Roman" w:cs="Times New Roman"/>
          <w:sz w:val="24"/>
          <w:szCs w:val="24"/>
        </w:rPr>
        <w:t>, as discussed in the previous paragraph</w:t>
      </w:r>
      <w:r w:rsidR="002D5930">
        <w:rPr>
          <w:rFonts w:ascii="Times New Roman" w:hAnsi="Times New Roman" w:cs="Times New Roman"/>
          <w:sz w:val="24"/>
          <w:szCs w:val="24"/>
        </w:rPr>
        <w:t>, and 30% of them would be even less significant</w:t>
      </w:r>
      <w:r w:rsidR="008F1D68">
        <w:rPr>
          <w:rFonts w:ascii="Times New Roman" w:hAnsi="Times New Roman" w:cs="Times New Roman"/>
          <w:sz w:val="24"/>
          <w:szCs w:val="24"/>
        </w:rPr>
        <w:t>.</w:t>
      </w:r>
    </w:p>
    <w:p w:rsidR="008F1D68" w:rsidRDefault="008F1D68" w:rsidP="00335868">
      <w:pPr>
        <w:pStyle w:val="ListParagraph"/>
        <w:spacing w:after="0" w:line="360" w:lineRule="auto"/>
        <w:ind w:left="0"/>
        <w:jc w:val="both"/>
        <w:rPr>
          <w:rFonts w:ascii="Times New Roman" w:hAnsi="Times New Roman" w:cs="Times New Roman"/>
          <w:sz w:val="24"/>
          <w:szCs w:val="24"/>
        </w:rPr>
      </w:pPr>
    </w:p>
    <w:p w:rsidR="008F1D68" w:rsidRPr="00335868" w:rsidRDefault="008F1D68" w:rsidP="00335868">
      <w:pPr>
        <w:pStyle w:val="ListParagraph"/>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The AER’</w:t>
      </w:r>
      <w:r w:rsidR="008C2979">
        <w:rPr>
          <w:rFonts w:ascii="Times New Roman" w:hAnsi="Times New Roman" w:cs="Times New Roman"/>
          <w:sz w:val="24"/>
          <w:szCs w:val="24"/>
        </w:rPr>
        <w:t>s fifth question is whether</w:t>
      </w:r>
      <w:r>
        <w:rPr>
          <w:rFonts w:ascii="Times New Roman" w:hAnsi="Times New Roman" w:cs="Times New Roman"/>
          <w:sz w:val="24"/>
          <w:szCs w:val="24"/>
        </w:rPr>
        <w:t>, in light of the answers to the two previous questions, any upward adjustment to the AER’s MRP esti</w:t>
      </w:r>
      <w:r w:rsidR="008C2979">
        <w:rPr>
          <w:rFonts w:ascii="Times New Roman" w:hAnsi="Times New Roman" w:cs="Times New Roman"/>
          <w:sz w:val="24"/>
          <w:szCs w:val="24"/>
        </w:rPr>
        <w:t xml:space="preserve">mate is required to ensure that investors are compensated </w:t>
      </w:r>
      <w:r w:rsidR="00D17D34">
        <w:rPr>
          <w:rFonts w:ascii="Times New Roman" w:hAnsi="Times New Roman" w:cs="Times New Roman"/>
          <w:sz w:val="24"/>
          <w:szCs w:val="24"/>
        </w:rPr>
        <w:t xml:space="preserve">at least sufficiently </w:t>
      </w:r>
      <w:r w:rsidR="008C2979">
        <w:rPr>
          <w:rFonts w:ascii="Times New Roman" w:hAnsi="Times New Roman" w:cs="Times New Roman"/>
          <w:sz w:val="24"/>
          <w:szCs w:val="24"/>
        </w:rPr>
        <w:t xml:space="preserve">for incurring any transactions costs associated with claiming imputation credits.  As discussed in the previous paragraph, no such adjustment </w:t>
      </w:r>
      <w:r w:rsidR="003414AD">
        <w:rPr>
          <w:rFonts w:ascii="Times New Roman" w:hAnsi="Times New Roman" w:cs="Times New Roman"/>
          <w:sz w:val="24"/>
          <w:szCs w:val="24"/>
        </w:rPr>
        <w:t xml:space="preserve">to the MRP </w:t>
      </w:r>
      <w:r w:rsidR="008C2979">
        <w:rPr>
          <w:rFonts w:ascii="Times New Roman" w:hAnsi="Times New Roman" w:cs="Times New Roman"/>
          <w:sz w:val="24"/>
          <w:szCs w:val="24"/>
        </w:rPr>
        <w:t xml:space="preserve">is required because empirical estimates of the MRP will reflect the existence of any such costs.  </w:t>
      </w:r>
      <w:r w:rsidR="003414AD">
        <w:rPr>
          <w:rFonts w:ascii="Times New Roman" w:hAnsi="Times New Roman" w:cs="Times New Roman"/>
          <w:sz w:val="24"/>
          <w:szCs w:val="24"/>
        </w:rPr>
        <w:t xml:space="preserve">However, in </w:t>
      </w:r>
      <w:r w:rsidR="008C2979">
        <w:rPr>
          <w:rFonts w:ascii="Times New Roman" w:hAnsi="Times New Roman" w:cs="Times New Roman"/>
          <w:sz w:val="24"/>
          <w:szCs w:val="24"/>
        </w:rPr>
        <w:t>principle, what is required is explicit allowance for such costs in the valuation model</w:t>
      </w:r>
      <w:r w:rsidR="003414AD">
        <w:rPr>
          <w:rFonts w:ascii="Times New Roman" w:hAnsi="Times New Roman" w:cs="Times New Roman"/>
          <w:sz w:val="24"/>
          <w:szCs w:val="24"/>
        </w:rPr>
        <w:t xml:space="preserve"> but</w:t>
      </w:r>
      <w:r w:rsidR="008C2979">
        <w:rPr>
          <w:rFonts w:ascii="Times New Roman" w:hAnsi="Times New Roman" w:cs="Times New Roman"/>
          <w:sz w:val="24"/>
          <w:szCs w:val="24"/>
        </w:rPr>
        <w:t>, as discussed in the previous two paragraphs, the impact of this omission would be trivial.</w:t>
      </w:r>
    </w:p>
    <w:p w:rsidR="00335868" w:rsidRDefault="00335868" w:rsidP="00335868">
      <w:pPr>
        <w:pStyle w:val="ListParagraph"/>
        <w:spacing w:after="0" w:line="360" w:lineRule="auto"/>
        <w:ind w:left="0"/>
        <w:jc w:val="both"/>
        <w:rPr>
          <w:rFonts w:ascii="Times New Roman" w:hAnsi="Times New Roman" w:cs="Times New Roman"/>
          <w:sz w:val="24"/>
          <w:szCs w:val="24"/>
        </w:rPr>
      </w:pPr>
    </w:p>
    <w:p w:rsidR="008C2979" w:rsidRPr="00335868" w:rsidRDefault="00CB4617" w:rsidP="00335868">
      <w:pPr>
        <w:pStyle w:val="ListParagraph"/>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The AER’s last such question is whether the AER’s current gamma estimate of 0.40 remains appropriate to ensure that regulated firms expect to receive a cost of equity capital (inclusive of imputation credits) </w:t>
      </w:r>
      <w:r w:rsidR="00D374B0">
        <w:rPr>
          <w:rFonts w:ascii="Times New Roman" w:hAnsi="Times New Roman" w:cs="Times New Roman"/>
          <w:sz w:val="24"/>
          <w:szCs w:val="24"/>
        </w:rPr>
        <w:t xml:space="preserve">that is at least sufficient to meet the ARORO.  As discussed in Lally (2016a), </w:t>
      </w:r>
      <w:r w:rsidR="00121397">
        <w:rPr>
          <w:rFonts w:ascii="Times New Roman" w:hAnsi="Times New Roman" w:cs="Times New Roman"/>
          <w:sz w:val="24"/>
          <w:szCs w:val="24"/>
        </w:rPr>
        <w:t xml:space="preserve">I favour an estimate for theta of 1.  In addition, </w:t>
      </w:r>
      <w:r w:rsidR="00D374B0">
        <w:rPr>
          <w:rFonts w:ascii="Times New Roman" w:hAnsi="Times New Roman" w:cs="Times New Roman"/>
          <w:sz w:val="24"/>
          <w:szCs w:val="24"/>
        </w:rPr>
        <w:t xml:space="preserve">conditional upon recognizing the existence of foreign investors when estimating theta as the AER does, I favour an estimate of theta of 0.60.  Coupled with an estimate for the distribution rate of at least 0.83, my estimate for gamma is </w:t>
      </w:r>
      <w:r w:rsidR="00121397">
        <w:rPr>
          <w:rFonts w:ascii="Times New Roman" w:hAnsi="Times New Roman" w:cs="Times New Roman"/>
          <w:sz w:val="24"/>
          <w:szCs w:val="24"/>
        </w:rPr>
        <w:t xml:space="preserve">therefore </w:t>
      </w:r>
      <w:r w:rsidR="00D374B0">
        <w:rPr>
          <w:rFonts w:ascii="Times New Roman" w:hAnsi="Times New Roman" w:cs="Times New Roman"/>
          <w:sz w:val="24"/>
          <w:szCs w:val="24"/>
        </w:rPr>
        <w:t xml:space="preserve">at least 0.50.  Accordingly, I consider the AER’s estimate of 0.40 to be too low.  </w:t>
      </w:r>
      <w:r w:rsidR="008C2979">
        <w:rPr>
          <w:rFonts w:ascii="Times New Roman" w:hAnsi="Times New Roman" w:cs="Times New Roman"/>
          <w:sz w:val="24"/>
          <w:szCs w:val="24"/>
        </w:rPr>
        <w:t xml:space="preserve"> </w:t>
      </w:r>
    </w:p>
    <w:p w:rsidR="00AC6C2C" w:rsidRDefault="00AC6C2C" w:rsidP="00122250">
      <w:pPr>
        <w:pStyle w:val="ListParagraph"/>
        <w:spacing w:after="0" w:line="360" w:lineRule="auto"/>
        <w:ind w:left="0"/>
        <w:jc w:val="both"/>
        <w:rPr>
          <w:rFonts w:ascii="Times New Roman" w:hAnsi="Times New Roman" w:cs="Times New Roman"/>
          <w:sz w:val="24"/>
          <w:szCs w:val="24"/>
        </w:rPr>
      </w:pPr>
    </w:p>
    <w:p w:rsidR="00122250" w:rsidRPr="00FC5A11" w:rsidRDefault="00122250" w:rsidP="001E2EC4">
      <w:pPr>
        <w:pStyle w:val="ListParagraph"/>
        <w:numPr>
          <w:ilvl w:val="0"/>
          <w:numId w:val="1"/>
        </w:numPr>
        <w:spacing w:after="0" w:line="360" w:lineRule="auto"/>
        <w:ind w:left="360" w:hanging="336"/>
        <w:jc w:val="both"/>
        <w:rPr>
          <w:rFonts w:ascii="Times New Roman" w:hAnsi="Times New Roman" w:cs="Times New Roman"/>
          <w:b/>
          <w:sz w:val="24"/>
          <w:szCs w:val="24"/>
        </w:rPr>
      </w:pPr>
      <w:r>
        <w:rPr>
          <w:rFonts w:ascii="Times New Roman" w:hAnsi="Times New Roman" w:cs="Times New Roman"/>
          <w:b/>
          <w:sz w:val="24"/>
          <w:szCs w:val="24"/>
        </w:rPr>
        <w:t>Conclusions</w:t>
      </w:r>
    </w:p>
    <w:p w:rsidR="00122250" w:rsidRDefault="00122250" w:rsidP="00122250">
      <w:pPr>
        <w:pStyle w:val="ListParagraph"/>
        <w:spacing w:after="0" w:line="360" w:lineRule="auto"/>
        <w:ind w:left="0"/>
        <w:jc w:val="both"/>
        <w:rPr>
          <w:rFonts w:ascii="Times New Roman" w:hAnsi="Times New Roman" w:cs="Times New Roman"/>
          <w:sz w:val="24"/>
          <w:szCs w:val="24"/>
        </w:rPr>
      </w:pPr>
    </w:p>
    <w:p w:rsidR="00B44AE0" w:rsidRDefault="009914B2" w:rsidP="00B44AE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This paper has addressed </w:t>
      </w:r>
      <w:r w:rsidR="007401E1">
        <w:rPr>
          <w:rFonts w:ascii="Times New Roman" w:hAnsi="Times New Roman" w:cs="Times New Roman"/>
          <w:sz w:val="24"/>
          <w:szCs w:val="24"/>
        </w:rPr>
        <w:t xml:space="preserve">a set of questions raised by the AER about two recent papers from Frontier, and a number of additional questions about gamma.  I have also </w:t>
      </w:r>
      <w:r>
        <w:rPr>
          <w:rFonts w:ascii="Times New Roman" w:hAnsi="Times New Roman" w:cs="Times New Roman"/>
          <w:sz w:val="24"/>
          <w:szCs w:val="24"/>
        </w:rPr>
        <w:t>reviewed the two papers b</w:t>
      </w:r>
      <w:r w:rsidR="006E3226">
        <w:rPr>
          <w:rFonts w:ascii="Times New Roman" w:hAnsi="Times New Roman" w:cs="Times New Roman"/>
          <w:sz w:val="24"/>
          <w:szCs w:val="24"/>
        </w:rPr>
        <w:t xml:space="preserve">y Frontier.  The first of these Frontier papers </w:t>
      </w:r>
      <w:r>
        <w:rPr>
          <w:rFonts w:ascii="Times New Roman" w:hAnsi="Times New Roman" w:cs="Times New Roman"/>
          <w:sz w:val="24"/>
          <w:szCs w:val="24"/>
        </w:rPr>
        <w:t xml:space="preserve">involves rerunning the DDO methodology invoked in earlier papers </w:t>
      </w:r>
      <w:r w:rsidR="007401E1">
        <w:rPr>
          <w:rFonts w:ascii="Times New Roman" w:hAnsi="Times New Roman" w:cs="Times New Roman"/>
          <w:sz w:val="24"/>
          <w:szCs w:val="24"/>
        </w:rPr>
        <w:t xml:space="preserve">by SFG, </w:t>
      </w:r>
      <w:r w:rsidR="00483A56">
        <w:rPr>
          <w:rFonts w:ascii="Times New Roman" w:hAnsi="Times New Roman" w:cs="Times New Roman"/>
          <w:sz w:val="24"/>
          <w:szCs w:val="24"/>
        </w:rPr>
        <w:t xml:space="preserve">but </w:t>
      </w:r>
      <w:r>
        <w:rPr>
          <w:rFonts w:ascii="Times New Roman" w:hAnsi="Times New Roman" w:cs="Times New Roman"/>
          <w:sz w:val="24"/>
          <w:szCs w:val="24"/>
        </w:rPr>
        <w:t>using a larger data set, and produces very similar results</w:t>
      </w:r>
      <w:r w:rsidR="005D6CA4">
        <w:rPr>
          <w:rFonts w:ascii="Times New Roman" w:hAnsi="Times New Roman" w:cs="Times New Roman"/>
          <w:sz w:val="24"/>
          <w:szCs w:val="24"/>
        </w:rPr>
        <w:t xml:space="preserve">.  However, as with the earlier papers by SFG, </w:t>
      </w:r>
      <w:r>
        <w:rPr>
          <w:rFonts w:ascii="Times New Roman" w:hAnsi="Times New Roman" w:cs="Times New Roman"/>
          <w:sz w:val="24"/>
          <w:szCs w:val="24"/>
        </w:rPr>
        <w:t xml:space="preserve">this methodology suffers from </w:t>
      </w:r>
      <w:r w:rsidR="007401E1">
        <w:rPr>
          <w:rFonts w:ascii="Times New Roman" w:hAnsi="Times New Roman" w:cs="Times New Roman"/>
          <w:sz w:val="24"/>
          <w:szCs w:val="24"/>
        </w:rPr>
        <w:t xml:space="preserve">12 </w:t>
      </w:r>
      <w:r>
        <w:rPr>
          <w:rFonts w:ascii="Times New Roman" w:hAnsi="Times New Roman" w:cs="Times New Roman"/>
          <w:sz w:val="24"/>
          <w:szCs w:val="24"/>
        </w:rPr>
        <w:t xml:space="preserve">significant problems in providing an estimate of the utilization rate for the </w:t>
      </w:r>
      <w:r w:rsidR="00136C4D">
        <w:rPr>
          <w:rFonts w:ascii="Times New Roman" w:hAnsi="Times New Roman" w:cs="Times New Roman"/>
          <w:sz w:val="24"/>
          <w:szCs w:val="24"/>
        </w:rPr>
        <w:t xml:space="preserve">imputation </w:t>
      </w:r>
      <w:r w:rsidR="008601B8">
        <w:rPr>
          <w:rFonts w:ascii="Times New Roman" w:hAnsi="Times New Roman" w:cs="Times New Roman"/>
          <w:sz w:val="24"/>
          <w:szCs w:val="24"/>
        </w:rPr>
        <w:t xml:space="preserve">credits.  </w:t>
      </w:r>
      <w:r w:rsidR="00B44AE0">
        <w:rPr>
          <w:rFonts w:ascii="Times New Roman" w:hAnsi="Times New Roman" w:cs="Times New Roman"/>
          <w:sz w:val="24"/>
          <w:szCs w:val="24"/>
        </w:rPr>
        <w:t xml:space="preserve">The second of these Frontier papers raises a number of new arguments </w:t>
      </w:r>
      <w:r w:rsidR="00FD4600">
        <w:rPr>
          <w:rFonts w:ascii="Times New Roman" w:hAnsi="Times New Roman" w:cs="Times New Roman"/>
          <w:sz w:val="24"/>
          <w:szCs w:val="24"/>
        </w:rPr>
        <w:t>relating to gamma</w:t>
      </w:r>
      <w:r w:rsidR="00B44AE0">
        <w:rPr>
          <w:rFonts w:ascii="Times New Roman" w:hAnsi="Times New Roman" w:cs="Times New Roman"/>
          <w:sz w:val="24"/>
          <w:szCs w:val="24"/>
        </w:rPr>
        <w:t xml:space="preserve">, and cites a number of papers in support of its views.  However, I do not agree with </w:t>
      </w:r>
      <w:r w:rsidR="00B44AE0">
        <w:rPr>
          <w:rFonts w:ascii="Times New Roman" w:hAnsi="Times New Roman" w:cs="Times New Roman"/>
          <w:sz w:val="24"/>
          <w:szCs w:val="24"/>
        </w:rPr>
        <w:lastRenderedPageBreak/>
        <w:t>any of the new arguments raised by Frontier, or the arguments raised by these other authors, and I also consider that most of Frontier’s claims concerning support from other authors involves Frontier misrepresenting the views of these other authors.</w:t>
      </w:r>
    </w:p>
    <w:p w:rsidR="003B18FC" w:rsidRDefault="003B18FC">
      <w:pPr>
        <w:rPr>
          <w:rFonts w:ascii="Times New Roman" w:hAnsi="Times New Roman" w:cs="Times New Roman"/>
          <w:sz w:val="24"/>
          <w:szCs w:val="24"/>
        </w:rPr>
      </w:pPr>
      <w:r>
        <w:rPr>
          <w:rFonts w:ascii="Times New Roman" w:hAnsi="Times New Roman" w:cs="Times New Roman"/>
          <w:sz w:val="24"/>
          <w:szCs w:val="24"/>
        </w:rPr>
        <w:br w:type="page"/>
      </w:r>
    </w:p>
    <w:p w:rsidR="00122250" w:rsidRDefault="00122250" w:rsidP="00122250">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lastRenderedPageBreak/>
        <w:t>REFERENCES</w:t>
      </w:r>
    </w:p>
    <w:p w:rsidR="00122250" w:rsidRDefault="00122250" w:rsidP="00122250">
      <w:pPr>
        <w:pStyle w:val="BodyText"/>
        <w:spacing w:line="240" w:lineRule="auto"/>
      </w:pPr>
    </w:p>
    <w:p w:rsidR="00483F0F" w:rsidRPr="00483F0F" w:rsidRDefault="00483F0F" w:rsidP="00122250">
      <w:pPr>
        <w:pStyle w:val="BodyText"/>
        <w:spacing w:line="240" w:lineRule="auto"/>
      </w:pPr>
      <w:r>
        <w:t xml:space="preserve">ACT, 2016.  </w:t>
      </w:r>
      <w:r>
        <w:rPr>
          <w:i/>
        </w:rPr>
        <w:t>Application by Public Interest Advocacy Centre Ltd and Ausgrid [2016] ACompT 1</w:t>
      </w:r>
      <w:r>
        <w:t xml:space="preserve"> (</w:t>
      </w:r>
      <w:hyperlink r:id="rId41" w:history="1">
        <w:r w:rsidRPr="000821A9">
          <w:rPr>
            <w:rStyle w:val="Hyperlink"/>
          </w:rPr>
          <w:t>www.competitiontribunal.gov.au</w:t>
        </w:r>
      </w:hyperlink>
      <w:r w:rsidR="00BC24D3">
        <w:t>).</w:t>
      </w:r>
    </w:p>
    <w:p w:rsidR="00122250" w:rsidRDefault="00122250" w:rsidP="00122250">
      <w:pPr>
        <w:pStyle w:val="BodyText"/>
        <w:spacing w:line="240" w:lineRule="auto"/>
      </w:pPr>
    </w:p>
    <w:p w:rsidR="003166A7" w:rsidRPr="003166A7" w:rsidRDefault="00D87462" w:rsidP="00122250">
      <w:pPr>
        <w:pStyle w:val="BodyText"/>
        <w:spacing w:line="240" w:lineRule="auto"/>
      </w:pPr>
      <w:r>
        <w:t>AEMC, 2016</w:t>
      </w:r>
      <w:r w:rsidR="003166A7">
        <w:t xml:space="preserve">.  </w:t>
      </w:r>
      <w:r w:rsidR="003166A7">
        <w:rPr>
          <w:i/>
        </w:rPr>
        <w:t>National Electricity Rules</w:t>
      </w:r>
      <w:r w:rsidR="003166A7">
        <w:t xml:space="preserve"> (</w:t>
      </w:r>
      <w:hyperlink r:id="rId42" w:history="1">
        <w:r w:rsidR="003166A7" w:rsidRPr="000823AD">
          <w:rPr>
            <w:rStyle w:val="Hyperlink"/>
          </w:rPr>
          <w:t>http://www.aemc.gov.au/getattachment/f18d8d43-c49b-4a31-b8b6-246073ee2d17/National-Electricity-Rules-Version-79.aspx</w:t>
        </w:r>
      </w:hyperlink>
      <w:r w:rsidR="003166A7">
        <w:t>)</w:t>
      </w:r>
      <w:r w:rsidR="00BC24D3">
        <w:t xml:space="preserve">. </w:t>
      </w:r>
    </w:p>
    <w:p w:rsidR="003166A7" w:rsidRDefault="003166A7" w:rsidP="00122250">
      <w:pPr>
        <w:pStyle w:val="BodyText"/>
        <w:spacing w:line="240" w:lineRule="auto"/>
      </w:pPr>
    </w:p>
    <w:p w:rsidR="00983030" w:rsidRDefault="00983030" w:rsidP="003F33F0">
      <w:pPr>
        <w:pStyle w:val="BodyText"/>
        <w:spacing w:line="240" w:lineRule="auto"/>
      </w:pPr>
      <w:r>
        <w:t>Ainsworth, A., Partington, G., and Warren, G., 2015.  “Do Franking Credits Matter? Exploring the Financial Implications of Dividend Imputation” (</w:t>
      </w:r>
      <w:hyperlink r:id="rId43" w:history="1">
        <w:r w:rsidRPr="004178B1">
          <w:rPr>
            <w:rStyle w:val="Hyperlink"/>
          </w:rPr>
          <w:t>www.cifr.edu.au</w:t>
        </w:r>
      </w:hyperlink>
      <w:r w:rsidR="00BC24D3">
        <w:t xml:space="preserve">). </w:t>
      </w:r>
    </w:p>
    <w:p w:rsidR="00983030" w:rsidRDefault="00983030" w:rsidP="003F33F0">
      <w:pPr>
        <w:pStyle w:val="BodyText"/>
        <w:spacing w:line="240" w:lineRule="auto"/>
      </w:pPr>
    </w:p>
    <w:p w:rsidR="00C54723" w:rsidRPr="00C54723" w:rsidRDefault="00C54723" w:rsidP="009467F5">
      <w:pPr>
        <w:pStyle w:val="BodyText"/>
        <w:spacing w:line="240" w:lineRule="auto"/>
        <w:rPr>
          <w:bCs/>
          <w:lang w:val="en-NZ"/>
        </w:rPr>
      </w:pPr>
      <w:r>
        <w:rPr>
          <w:bCs/>
          <w:lang w:val="en-NZ"/>
        </w:rPr>
        <w:t xml:space="preserve">Frontier Economics, 2016a.  </w:t>
      </w:r>
      <w:r>
        <w:rPr>
          <w:bCs/>
          <w:i/>
          <w:lang w:val="en-NZ"/>
        </w:rPr>
        <w:t>An Updated Dividend Drop-Off Estimate of Theta</w:t>
      </w:r>
      <w:r>
        <w:rPr>
          <w:bCs/>
          <w:lang w:val="en-NZ"/>
        </w:rPr>
        <w:t>, report prepared for AGN, Multinet Gas, Ausnet Transmission, Ausnet Gas Distribution, and Transgrid (</w:t>
      </w:r>
      <w:hyperlink r:id="rId44" w:history="1">
        <w:r w:rsidRPr="0008578A">
          <w:rPr>
            <w:rStyle w:val="Hyperlink"/>
            <w:bCs/>
            <w:lang w:val="en-NZ"/>
          </w:rPr>
          <w:t>www.aer.gov.au</w:t>
        </w:r>
      </w:hyperlink>
      <w:r w:rsidR="00BC24D3">
        <w:rPr>
          <w:bCs/>
          <w:lang w:val="en-NZ"/>
        </w:rPr>
        <w:t xml:space="preserve">). </w:t>
      </w:r>
    </w:p>
    <w:p w:rsidR="00C54723" w:rsidRDefault="00C54723" w:rsidP="009467F5">
      <w:pPr>
        <w:pStyle w:val="BodyText"/>
        <w:spacing w:line="240" w:lineRule="auto"/>
        <w:rPr>
          <w:bCs/>
          <w:lang w:val="en-NZ"/>
        </w:rPr>
      </w:pPr>
    </w:p>
    <w:p w:rsidR="00735882" w:rsidRPr="00735882" w:rsidRDefault="00C54723" w:rsidP="009467F5">
      <w:pPr>
        <w:pStyle w:val="BodyText"/>
        <w:spacing w:line="240" w:lineRule="auto"/>
        <w:rPr>
          <w:bCs/>
          <w:lang w:val="en-NZ"/>
        </w:rPr>
      </w:pPr>
      <w:r>
        <w:rPr>
          <w:bCs/>
          <w:lang w:val="en-NZ"/>
        </w:rPr>
        <w:t>_________________ 2016b.</w:t>
      </w:r>
      <w:r w:rsidR="00735882">
        <w:rPr>
          <w:bCs/>
          <w:lang w:val="en-NZ"/>
        </w:rPr>
        <w:t xml:space="preserve">  </w:t>
      </w:r>
      <w:r w:rsidR="00735882">
        <w:rPr>
          <w:bCs/>
          <w:i/>
          <w:lang w:val="en-NZ"/>
        </w:rPr>
        <w:t>Issues in the Estimation of Gamma</w:t>
      </w:r>
      <w:r w:rsidR="00735882">
        <w:rPr>
          <w:bCs/>
          <w:lang w:val="en-NZ"/>
        </w:rPr>
        <w:t>, report prepared for AGN, Multinet Gas, Ausnet Transmission, and Ausnet Gas (</w:t>
      </w:r>
      <w:hyperlink r:id="rId45" w:history="1">
        <w:r w:rsidR="00735882" w:rsidRPr="0008578A">
          <w:rPr>
            <w:rStyle w:val="Hyperlink"/>
            <w:bCs/>
            <w:lang w:val="en-NZ"/>
          </w:rPr>
          <w:t>www.aer.gov.au</w:t>
        </w:r>
      </w:hyperlink>
      <w:r w:rsidR="0020475D">
        <w:rPr>
          <w:bCs/>
          <w:lang w:val="en-NZ"/>
        </w:rPr>
        <w:t xml:space="preserve">). </w:t>
      </w:r>
    </w:p>
    <w:p w:rsidR="00735882" w:rsidRPr="0039614A" w:rsidRDefault="00735882" w:rsidP="009467F5">
      <w:pPr>
        <w:pStyle w:val="BodyText"/>
        <w:spacing w:line="240" w:lineRule="auto"/>
        <w:rPr>
          <w:bCs/>
          <w:lang w:val="en-NZ"/>
        </w:rPr>
      </w:pPr>
    </w:p>
    <w:p w:rsidR="00122250" w:rsidRPr="009F69A8" w:rsidRDefault="00122250" w:rsidP="00122250">
      <w:pPr>
        <w:pStyle w:val="BodyText"/>
        <w:spacing w:line="240" w:lineRule="auto"/>
      </w:pPr>
      <w:r>
        <w:t xml:space="preserve">Hathaway, N., 2013, </w:t>
      </w:r>
      <w:r>
        <w:rPr>
          <w:i/>
        </w:rPr>
        <w:t>Imputation Credit Redemption ATO Data 1988-2011</w:t>
      </w:r>
      <w:r>
        <w:t xml:space="preserve">: </w:t>
      </w:r>
      <w:r>
        <w:rPr>
          <w:i/>
        </w:rPr>
        <w:t>Where Have All The Credits Gone</w:t>
      </w:r>
      <w:r>
        <w:t>? (</w:t>
      </w:r>
      <w:hyperlink r:id="rId46" w:history="1">
        <w:r w:rsidRPr="004D427B">
          <w:rPr>
            <w:rStyle w:val="Hyperlink"/>
          </w:rPr>
          <w:t>www.aer.gov.au</w:t>
        </w:r>
      </w:hyperlink>
      <w:r w:rsidR="001C3D30">
        <w:t xml:space="preserve">). </w:t>
      </w:r>
    </w:p>
    <w:p w:rsidR="00122250" w:rsidRDefault="00122250" w:rsidP="00122250">
      <w:pPr>
        <w:pStyle w:val="BodyText"/>
        <w:spacing w:line="240" w:lineRule="auto"/>
      </w:pPr>
    </w:p>
    <w:p w:rsidR="00023C39" w:rsidRPr="00863FD6" w:rsidRDefault="00683C15" w:rsidP="00023C39">
      <w:pPr>
        <w:pStyle w:val="BodyText"/>
        <w:spacing w:line="240" w:lineRule="auto"/>
        <w:rPr>
          <w:bCs/>
        </w:rPr>
      </w:pPr>
      <w:r>
        <w:t xml:space="preserve">Lally, M., </w:t>
      </w:r>
      <w:r w:rsidR="00023C39">
        <w:t xml:space="preserve">2012.  </w:t>
      </w:r>
      <w:r w:rsidR="00023C39">
        <w:rPr>
          <w:i/>
        </w:rPr>
        <w:t>The Estimated Utilisation Rate for Imputation Credits</w:t>
      </w:r>
      <w:r w:rsidR="00023C39">
        <w:t>, report prepared for the QCA (</w:t>
      </w:r>
      <w:hyperlink r:id="rId47" w:history="1">
        <w:r w:rsidR="00023C39" w:rsidRPr="0024591F">
          <w:rPr>
            <w:rStyle w:val="Hyperlink"/>
          </w:rPr>
          <w:t>www.qca.org.au</w:t>
        </w:r>
      </w:hyperlink>
      <w:r w:rsidR="0020475D">
        <w:t xml:space="preserve">). </w:t>
      </w:r>
    </w:p>
    <w:p w:rsidR="00023C39" w:rsidRDefault="00023C39" w:rsidP="00122250">
      <w:pPr>
        <w:pStyle w:val="BodyText"/>
        <w:spacing w:line="240" w:lineRule="auto"/>
      </w:pPr>
    </w:p>
    <w:p w:rsidR="00C97BE7" w:rsidRDefault="00023C39" w:rsidP="00122250">
      <w:pPr>
        <w:pStyle w:val="BodyText"/>
        <w:spacing w:line="240" w:lineRule="auto"/>
      </w:pPr>
      <w:r>
        <w:t xml:space="preserve">_______ </w:t>
      </w:r>
      <w:r w:rsidR="00C97BE7">
        <w:t xml:space="preserve">2013.  </w:t>
      </w:r>
      <w:r w:rsidR="00C97BE7">
        <w:rPr>
          <w:i/>
        </w:rPr>
        <w:t>The Estimation of Gamma</w:t>
      </w:r>
      <w:r w:rsidR="00C97BE7">
        <w:t>, report prepared for the AER (</w:t>
      </w:r>
      <w:hyperlink r:id="rId48" w:history="1">
        <w:r w:rsidR="00C97BE7" w:rsidRPr="00785575">
          <w:rPr>
            <w:rStyle w:val="Hyperlink"/>
          </w:rPr>
          <w:t>www.aer.gov.au</w:t>
        </w:r>
      </w:hyperlink>
      <w:r w:rsidR="0020475D">
        <w:t>).</w:t>
      </w:r>
    </w:p>
    <w:p w:rsidR="00710783" w:rsidRDefault="00710783" w:rsidP="00122250">
      <w:pPr>
        <w:pStyle w:val="BodyText"/>
        <w:spacing w:line="240" w:lineRule="auto"/>
      </w:pPr>
    </w:p>
    <w:p w:rsidR="00710783" w:rsidRDefault="00710783" w:rsidP="00122250">
      <w:pPr>
        <w:pStyle w:val="BodyText"/>
        <w:spacing w:line="240" w:lineRule="auto"/>
      </w:pPr>
      <w:r>
        <w:t xml:space="preserve">_______ 2014.  </w:t>
      </w:r>
      <w:r>
        <w:rPr>
          <w:i/>
        </w:rPr>
        <w:t>Review of Submissions to the QCA on the MRP, Risk-Free Rate and Gamma</w:t>
      </w:r>
      <w:r>
        <w:t>, report prepared for the QCA (</w:t>
      </w:r>
      <w:hyperlink r:id="rId49" w:history="1">
        <w:r w:rsidRPr="00785575">
          <w:rPr>
            <w:rStyle w:val="Hyperlink"/>
          </w:rPr>
          <w:t>www.qca.org.au</w:t>
        </w:r>
      </w:hyperlink>
      <w:r w:rsidR="0020475D">
        <w:t xml:space="preserve">). </w:t>
      </w:r>
    </w:p>
    <w:p w:rsidR="008B653D" w:rsidRDefault="008B653D" w:rsidP="00122250">
      <w:pPr>
        <w:pStyle w:val="BodyText"/>
        <w:spacing w:line="240" w:lineRule="auto"/>
      </w:pPr>
    </w:p>
    <w:p w:rsidR="00683C15" w:rsidRPr="00683C15" w:rsidRDefault="00683C15" w:rsidP="00122250">
      <w:pPr>
        <w:pStyle w:val="BodyText"/>
        <w:spacing w:line="240" w:lineRule="auto"/>
      </w:pPr>
      <w:r>
        <w:t xml:space="preserve">_______ 2015.  </w:t>
      </w:r>
      <w:r>
        <w:rPr>
          <w:i/>
        </w:rPr>
        <w:t>Estimating the Distribution Rate for Imputation Credits</w:t>
      </w:r>
      <w:r>
        <w:t>, working paper.</w:t>
      </w:r>
    </w:p>
    <w:p w:rsidR="00122250" w:rsidRDefault="00122250" w:rsidP="00122250">
      <w:pPr>
        <w:pStyle w:val="BodyText"/>
        <w:spacing w:line="240" w:lineRule="auto"/>
      </w:pPr>
    </w:p>
    <w:p w:rsidR="00E74AE3" w:rsidRPr="00E74AE3" w:rsidRDefault="00E74AE3" w:rsidP="00122250">
      <w:pPr>
        <w:pStyle w:val="BodyText"/>
        <w:spacing w:line="240" w:lineRule="auto"/>
      </w:pPr>
      <w:r>
        <w:t>_______ 2016</w:t>
      </w:r>
      <w:r w:rsidR="003B3EA2">
        <w:t>a</w:t>
      </w:r>
      <w:r>
        <w:t xml:space="preserve">.  </w:t>
      </w:r>
      <w:r>
        <w:rPr>
          <w:i/>
        </w:rPr>
        <w:t>Gamma and the ACT Decision</w:t>
      </w:r>
      <w:r>
        <w:t>, report prepared for the AER (</w:t>
      </w:r>
      <w:hyperlink r:id="rId50" w:history="1">
        <w:r w:rsidRPr="00785575">
          <w:rPr>
            <w:rStyle w:val="Hyperlink"/>
          </w:rPr>
          <w:t>www.aer.gov.au</w:t>
        </w:r>
      </w:hyperlink>
      <w:r w:rsidR="0020475D">
        <w:t>).</w:t>
      </w:r>
    </w:p>
    <w:p w:rsidR="00E74AE3" w:rsidRDefault="00E74AE3" w:rsidP="00122250">
      <w:pPr>
        <w:pStyle w:val="BodyText"/>
        <w:spacing w:line="240" w:lineRule="auto"/>
      </w:pPr>
    </w:p>
    <w:p w:rsidR="003B3EA2" w:rsidRPr="00E74AE3" w:rsidRDefault="003B3EA2" w:rsidP="003B3EA2">
      <w:pPr>
        <w:pStyle w:val="BodyText"/>
        <w:spacing w:line="240" w:lineRule="auto"/>
      </w:pPr>
      <w:r>
        <w:t xml:space="preserve">_______ 2016b.  </w:t>
      </w:r>
      <w:r>
        <w:rPr>
          <w:i/>
        </w:rPr>
        <w:t>Review of the ACT’s Gamma Decision</w:t>
      </w:r>
      <w:r>
        <w:t>, report prepared for the QCA (</w:t>
      </w:r>
      <w:hyperlink r:id="rId51" w:history="1">
        <w:r w:rsidRPr="0008578A">
          <w:rPr>
            <w:rStyle w:val="Hyperlink"/>
          </w:rPr>
          <w:t>www.qca.org.au</w:t>
        </w:r>
      </w:hyperlink>
      <w:r w:rsidR="008A1873">
        <w:t xml:space="preserve">). </w:t>
      </w:r>
    </w:p>
    <w:p w:rsidR="003B3EA2" w:rsidRDefault="003B3EA2" w:rsidP="00122250">
      <w:pPr>
        <w:pStyle w:val="BodyText"/>
        <w:spacing w:line="240" w:lineRule="auto"/>
      </w:pPr>
    </w:p>
    <w:p w:rsidR="00122250" w:rsidRPr="00AE702D" w:rsidRDefault="00122250" w:rsidP="00122250">
      <w:pPr>
        <w:pStyle w:val="BodyText"/>
        <w:spacing w:line="240" w:lineRule="auto"/>
      </w:pPr>
      <w:r>
        <w:t xml:space="preserve">_______ and van Zijl, T., 2003, ‘Capital Gains Tax and the Capital Asset Pricing Model’, </w:t>
      </w:r>
      <w:r>
        <w:rPr>
          <w:i/>
        </w:rPr>
        <w:t>Accounting and Finance</w:t>
      </w:r>
      <w:r w:rsidR="008A1873">
        <w:t>, vol. 43, pp. 187-210.</w:t>
      </w:r>
    </w:p>
    <w:p w:rsidR="00122250" w:rsidRDefault="00122250" w:rsidP="00122250">
      <w:pPr>
        <w:pStyle w:val="BodyText"/>
        <w:spacing w:line="240" w:lineRule="auto"/>
      </w:pPr>
    </w:p>
    <w:p w:rsidR="00D05A42" w:rsidRPr="00D05A42" w:rsidRDefault="00D05A42" w:rsidP="00122250">
      <w:pPr>
        <w:pStyle w:val="BodyText"/>
        <w:spacing w:line="240" w:lineRule="auto"/>
      </w:pPr>
      <w:r>
        <w:t xml:space="preserve">Mero, S., Sadler, R., and Begley, R., 2017.  </w:t>
      </w:r>
      <w:r>
        <w:rPr>
          <w:i/>
        </w:rPr>
        <w:t>Estimating the Utilisation of Franking Credits through the Dividend Drop-Off Method</w:t>
      </w:r>
      <w:r>
        <w:t xml:space="preserve"> (</w:t>
      </w:r>
      <w:hyperlink r:id="rId52" w:history="1">
        <w:r w:rsidR="00A10C76" w:rsidRPr="00283F4A">
          <w:rPr>
            <w:rStyle w:val="Hyperlink"/>
          </w:rPr>
          <w:t>www.erawa.com.au</w:t>
        </w:r>
      </w:hyperlink>
      <w:r w:rsidR="00A10C76">
        <w:t>)</w:t>
      </w:r>
      <w:r w:rsidR="008A1873">
        <w:t>.</w:t>
      </w:r>
    </w:p>
    <w:p w:rsidR="00D05A42" w:rsidRPr="005A6813" w:rsidRDefault="00D05A42" w:rsidP="00122250">
      <w:pPr>
        <w:pStyle w:val="BodyText"/>
        <w:spacing w:line="240" w:lineRule="auto"/>
      </w:pPr>
    </w:p>
    <w:p w:rsidR="00C04E5F" w:rsidRPr="00C04E5F" w:rsidRDefault="00C04E5F" w:rsidP="00122250">
      <w:pPr>
        <w:pStyle w:val="BodyText"/>
        <w:spacing w:line="240" w:lineRule="auto"/>
      </w:pPr>
      <w:r>
        <w:t xml:space="preserve">Monkhouse, P., 1993, ‘The Cost of Equity under the Australian Dividend Imputation System’, </w:t>
      </w:r>
      <w:r>
        <w:rPr>
          <w:i/>
        </w:rPr>
        <w:t>Accounting and Finance</w:t>
      </w:r>
      <w:r w:rsidR="001C3D30">
        <w:t>, vol.</w:t>
      </w:r>
      <w:r w:rsidR="008A1873">
        <w:t xml:space="preserve"> 33 (2), pp. 1-18. </w:t>
      </w:r>
      <w:r w:rsidR="001C3D30">
        <w:t xml:space="preserve"> </w:t>
      </w:r>
    </w:p>
    <w:p w:rsidR="00C04E5F" w:rsidRDefault="00C04E5F" w:rsidP="00122250">
      <w:pPr>
        <w:pStyle w:val="BodyText"/>
        <w:spacing w:line="240" w:lineRule="auto"/>
      </w:pPr>
    </w:p>
    <w:p w:rsidR="00122250" w:rsidRDefault="00122250" w:rsidP="00122250">
      <w:pPr>
        <w:pStyle w:val="BodyText"/>
        <w:spacing w:line="240" w:lineRule="auto"/>
      </w:pPr>
      <w:r>
        <w:t xml:space="preserve">Officer, R., 1994, ‘The Cost of Capital of a Company under an Imputation Tax System’, </w:t>
      </w:r>
      <w:r>
        <w:rPr>
          <w:i/>
        </w:rPr>
        <w:t>Accounting and Finance</w:t>
      </w:r>
      <w:r w:rsidR="008A1873">
        <w:t xml:space="preserve">, vol. 34, pp. 1-17. </w:t>
      </w:r>
    </w:p>
    <w:p w:rsidR="00122250" w:rsidRDefault="00122250" w:rsidP="00122250">
      <w:pPr>
        <w:pStyle w:val="BodyText"/>
        <w:spacing w:line="240" w:lineRule="auto"/>
        <w:rPr>
          <w:bCs/>
        </w:rPr>
      </w:pPr>
    </w:p>
    <w:p w:rsidR="00142F46" w:rsidRDefault="00BC2157" w:rsidP="00C3250C">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SFG, </w:t>
      </w:r>
      <w:r w:rsidR="00142F46">
        <w:rPr>
          <w:rFonts w:ascii="Times New Roman" w:hAnsi="Times New Roman" w:cs="Times New Roman"/>
          <w:sz w:val="24"/>
          <w:szCs w:val="24"/>
        </w:rPr>
        <w:t xml:space="preserve">2011.  </w:t>
      </w:r>
      <w:r w:rsidR="00142F46">
        <w:rPr>
          <w:rFonts w:ascii="Times New Roman" w:hAnsi="Times New Roman" w:cs="Times New Roman"/>
          <w:i/>
          <w:sz w:val="24"/>
          <w:szCs w:val="24"/>
        </w:rPr>
        <w:t>Dividend Drop-Off Estimate of Theta</w:t>
      </w:r>
      <w:r w:rsidR="00142F46">
        <w:rPr>
          <w:rFonts w:ascii="Times New Roman" w:hAnsi="Times New Roman" w:cs="Times New Roman"/>
          <w:sz w:val="24"/>
          <w:szCs w:val="24"/>
        </w:rPr>
        <w:t>, report prepared for Energex Ltd, Ergon Energy Ltd and ETSA Utilities (</w:t>
      </w:r>
      <w:hyperlink r:id="rId53" w:history="1">
        <w:r w:rsidR="00142F46" w:rsidRPr="00401EA6">
          <w:rPr>
            <w:rStyle w:val="Hyperlink"/>
            <w:rFonts w:ascii="Times New Roman" w:hAnsi="Times New Roman" w:cs="Times New Roman"/>
            <w:sz w:val="24"/>
            <w:szCs w:val="24"/>
          </w:rPr>
          <w:t>www.aer.gov.au</w:t>
        </w:r>
      </w:hyperlink>
      <w:r w:rsidR="008A1873">
        <w:rPr>
          <w:rFonts w:ascii="Times New Roman" w:hAnsi="Times New Roman" w:cs="Times New Roman"/>
          <w:sz w:val="24"/>
          <w:szCs w:val="24"/>
        </w:rPr>
        <w:t xml:space="preserve">). </w:t>
      </w:r>
    </w:p>
    <w:p w:rsidR="00142F46" w:rsidRDefault="00142F46" w:rsidP="00C3250C">
      <w:pPr>
        <w:spacing w:after="0" w:line="240" w:lineRule="auto"/>
        <w:jc w:val="both"/>
        <w:rPr>
          <w:rFonts w:ascii="Times New Roman" w:hAnsi="Times New Roman" w:cs="Times New Roman"/>
          <w:sz w:val="24"/>
          <w:szCs w:val="24"/>
        </w:rPr>
      </w:pPr>
    </w:p>
    <w:p w:rsidR="00BC2157" w:rsidRPr="00BC2157" w:rsidRDefault="00142F46" w:rsidP="00C3250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____ </w:t>
      </w:r>
      <w:r w:rsidR="00BC2157">
        <w:rPr>
          <w:rFonts w:ascii="Times New Roman" w:hAnsi="Times New Roman" w:cs="Times New Roman"/>
          <w:sz w:val="24"/>
          <w:szCs w:val="24"/>
        </w:rPr>
        <w:t xml:space="preserve">2013.  </w:t>
      </w:r>
      <w:r w:rsidR="00BC2157">
        <w:rPr>
          <w:rFonts w:ascii="Times New Roman" w:hAnsi="Times New Roman" w:cs="Times New Roman"/>
          <w:i/>
          <w:sz w:val="24"/>
          <w:szCs w:val="24"/>
        </w:rPr>
        <w:t>Updated Dividend Drop-Off Estimate of Theta</w:t>
      </w:r>
      <w:r w:rsidR="00BC2157">
        <w:rPr>
          <w:rFonts w:ascii="Times New Roman" w:hAnsi="Times New Roman" w:cs="Times New Roman"/>
          <w:sz w:val="24"/>
          <w:szCs w:val="24"/>
        </w:rPr>
        <w:t>, report for the Energy Networks Association (</w:t>
      </w:r>
      <w:hyperlink r:id="rId54" w:history="1">
        <w:r w:rsidR="00BC2157" w:rsidRPr="001265C8">
          <w:rPr>
            <w:rStyle w:val="Hyperlink"/>
            <w:rFonts w:ascii="Times New Roman" w:hAnsi="Times New Roman" w:cs="Times New Roman"/>
            <w:sz w:val="24"/>
            <w:szCs w:val="24"/>
          </w:rPr>
          <w:t>www.erawa.com.au</w:t>
        </w:r>
      </w:hyperlink>
      <w:r w:rsidR="008A1873">
        <w:rPr>
          <w:rFonts w:ascii="Times New Roman" w:hAnsi="Times New Roman" w:cs="Times New Roman"/>
          <w:sz w:val="24"/>
          <w:szCs w:val="24"/>
        </w:rPr>
        <w:t xml:space="preserve">). </w:t>
      </w:r>
    </w:p>
    <w:p w:rsidR="00491234" w:rsidRDefault="00491234" w:rsidP="00827510">
      <w:pPr>
        <w:pStyle w:val="BodyText"/>
        <w:spacing w:line="240" w:lineRule="auto"/>
        <w:ind w:right="-13"/>
      </w:pPr>
    </w:p>
    <w:p w:rsidR="00684634" w:rsidRPr="002F0AC1" w:rsidRDefault="00684634" w:rsidP="00684634">
      <w:pPr>
        <w:pStyle w:val="BodyText"/>
        <w:spacing w:line="240" w:lineRule="auto"/>
        <w:rPr>
          <w:bCs/>
        </w:rPr>
      </w:pPr>
      <w:r>
        <w:rPr>
          <w:bCs/>
        </w:rPr>
        <w:t xml:space="preserve">Vo, D., Gellard, B., and Mero, S., 2013, </w:t>
      </w:r>
      <w:r>
        <w:rPr>
          <w:bCs/>
          <w:i/>
        </w:rPr>
        <w:t>Estimating the Market Value of Franking Credits</w:t>
      </w:r>
      <w:r>
        <w:rPr>
          <w:bCs/>
        </w:rPr>
        <w:t xml:space="preserve">: </w:t>
      </w:r>
      <w:r>
        <w:rPr>
          <w:bCs/>
          <w:i/>
        </w:rPr>
        <w:t>Empirical Evidence from Australia</w:t>
      </w:r>
      <w:r>
        <w:rPr>
          <w:bCs/>
        </w:rPr>
        <w:t xml:space="preserve"> (</w:t>
      </w:r>
      <w:hyperlink r:id="rId55" w:history="1">
        <w:r w:rsidRPr="00CA330C">
          <w:rPr>
            <w:rStyle w:val="Hyperlink"/>
            <w:bCs/>
          </w:rPr>
          <w:t>www.erawa.com.au</w:t>
        </w:r>
      </w:hyperlink>
      <w:r w:rsidR="008A1873">
        <w:rPr>
          <w:bCs/>
        </w:rPr>
        <w:t>).</w:t>
      </w:r>
    </w:p>
    <w:p w:rsidR="00684634" w:rsidRDefault="00684634" w:rsidP="00827510">
      <w:pPr>
        <w:pStyle w:val="BodyText"/>
        <w:spacing w:line="240" w:lineRule="auto"/>
        <w:ind w:right="-13"/>
      </w:pPr>
    </w:p>
    <w:sectPr w:rsidR="00684634" w:rsidSect="004425A5">
      <w:headerReference w:type="even" r:id="rId56"/>
      <w:headerReference w:type="default" r:id="rId57"/>
      <w:footerReference w:type="even" r:id="rId58"/>
      <w:footerReference w:type="default" r:id="rId59"/>
      <w:headerReference w:type="first" r:id="rId60"/>
      <w:footerReference w:type="first" r:id="rId6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6085" w:rsidRDefault="005E6085" w:rsidP="00122250">
      <w:pPr>
        <w:spacing w:after="0" w:line="240" w:lineRule="auto"/>
      </w:pPr>
      <w:r>
        <w:separator/>
      </w:r>
    </w:p>
  </w:endnote>
  <w:endnote w:type="continuationSeparator" w:id="0">
    <w:p w:rsidR="005E6085" w:rsidRDefault="005E6085" w:rsidP="001222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Gautami">
    <w:panose1 w:val="020B0502040204020203"/>
    <w:charset w:val="00"/>
    <w:family w:val="swiss"/>
    <w:pitch w:val="variable"/>
    <w:sig w:usb0="00200003" w:usb1="00000000" w:usb2="00000000" w:usb3="00000000" w:csb0="00000001" w:csb1="00000000"/>
  </w:font>
  <w:font w:name="Arial Bold">
    <w:altName w:val="Arial"/>
    <w:panose1 w:val="020B07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44EA" w:rsidRDefault="009B44E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7603332"/>
      <w:docPartObj>
        <w:docPartGallery w:val="Page Numbers (Bottom of Page)"/>
        <w:docPartUnique/>
      </w:docPartObj>
    </w:sdtPr>
    <w:sdtEndPr/>
    <w:sdtContent>
      <w:p w:rsidR="009B44EA" w:rsidRDefault="009B44EA">
        <w:pPr>
          <w:pStyle w:val="Footer"/>
          <w:jc w:val="center"/>
        </w:pPr>
        <w:r>
          <w:fldChar w:fldCharType="begin"/>
        </w:r>
        <w:r>
          <w:instrText xml:space="preserve"> PAGE   \* MERGEFORMAT </w:instrText>
        </w:r>
        <w:r>
          <w:fldChar w:fldCharType="separate"/>
        </w:r>
        <w:r w:rsidR="007B2D2A">
          <w:rPr>
            <w:noProof/>
          </w:rPr>
          <w:t>2</w:t>
        </w:r>
        <w:r>
          <w:rPr>
            <w:noProof/>
          </w:rPr>
          <w:fldChar w:fldCharType="end"/>
        </w:r>
      </w:p>
    </w:sdtContent>
  </w:sdt>
  <w:p w:rsidR="009B44EA" w:rsidRDefault="009B44E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44EA" w:rsidRDefault="009B44E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6085" w:rsidRDefault="005E6085" w:rsidP="00122250">
      <w:pPr>
        <w:spacing w:after="0" w:line="240" w:lineRule="auto"/>
      </w:pPr>
      <w:r>
        <w:separator/>
      </w:r>
    </w:p>
  </w:footnote>
  <w:footnote w:type="continuationSeparator" w:id="0">
    <w:p w:rsidR="005E6085" w:rsidRDefault="005E6085" w:rsidP="00122250">
      <w:pPr>
        <w:spacing w:after="0" w:line="240" w:lineRule="auto"/>
      </w:pPr>
      <w:r>
        <w:continuationSeparator/>
      </w:r>
    </w:p>
  </w:footnote>
  <w:footnote w:id="1">
    <w:p w:rsidR="00A10C76" w:rsidRDefault="00A10C76" w:rsidP="00A10C76">
      <w:pPr>
        <w:pStyle w:val="FootnoteText"/>
        <w:jc w:val="both"/>
        <w:rPr>
          <w:rFonts w:ascii="Times New Roman" w:hAnsi="Times New Roman" w:cs="Times New Roman"/>
        </w:rPr>
      </w:pPr>
      <w:r w:rsidRPr="00A10C76">
        <w:rPr>
          <w:rStyle w:val="FootnoteReference"/>
          <w:rFonts w:ascii="Times New Roman" w:hAnsi="Times New Roman" w:cs="Times New Roman"/>
        </w:rPr>
        <w:footnoteRef/>
      </w:r>
      <w:r w:rsidRPr="00A10C76">
        <w:rPr>
          <w:rFonts w:ascii="Times New Roman" w:hAnsi="Times New Roman" w:cs="Times New Roman"/>
        </w:rPr>
        <w:t xml:space="preserve"> The</w:t>
      </w:r>
      <w:r>
        <w:rPr>
          <w:rFonts w:ascii="Times New Roman" w:hAnsi="Times New Roman" w:cs="Times New Roman"/>
        </w:rPr>
        <w:t xml:space="preserve"> analysis on this question by Vo et al (2013) does not apply a market adjustment to the ex-dividend share price.  However, Mero et al (2017</w:t>
      </w:r>
      <w:r w:rsidR="009A6E55">
        <w:rPr>
          <w:rFonts w:ascii="Times New Roman" w:hAnsi="Times New Roman" w:cs="Times New Roman"/>
        </w:rPr>
        <w:t>, Figure 1, Figure 2, Figure 3</w:t>
      </w:r>
      <w:r>
        <w:rPr>
          <w:rFonts w:ascii="Times New Roman" w:hAnsi="Times New Roman" w:cs="Times New Roman"/>
        </w:rPr>
        <w:t xml:space="preserve">) </w:t>
      </w:r>
      <w:r w:rsidR="00A915C8">
        <w:rPr>
          <w:rFonts w:ascii="Times New Roman" w:hAnsi="Times New Roman" w:cs="Times New Roman"/>
        </w:rPr>
        <w:t xml:space="preserve">reruns the </w:t>
      </w:r>
      <w:r>
        <w:rPr>
          <w:rFonts w:ascii="Times New Roman" w:hAnsi="Times New Roman" w:cs="Times New Roman"/>
        </w:rPr>
        <w:t xml:space="preserve">analysis with this adjustment and still </w:t>
      </w:r>
      <w:r w:rsidR="00A915C8">
        <w:rPr>
          <w:rFonts w:ascii="Times New Roman" w:hAnsi="Times New Roman" w:cs="Times New Roman"/>
        </w:rPr>
        <w:t xml:space="preserve">finds </w:t>
      </w:r>
      <w:r>
        <w:rPr>
          <w:rFonts w:ascii="Times New Roman" w:hAnsi="Times New Roman" w:cs="Times New Roman"/>
        </w:rPr>
        <w:t xml:space="preserve">significant variation in the </w:t>
      </w:r>
      <w:r w:rsidR="00E7153B">
        <w:rPr>
          <w:rFonts w:ascii="Times New Roman" w:hAnsi="Times New Roman" w:cs="Times New Roman"/>
        </w:rPr>
        <w:t xml:space="preserve">estimates for the coefficient on the credits </w:t>
      </w:r>
      <w:r>
        <w:rPr>
          <w:rFonts w:ascii="Times New Roman" w:hAnsi="Times New Roman" w:cs="Times New Roman"/>
        </w:rPr>
        <w:t>as the extreme observations are deleted</w:t>
      </w:r>
      <w:r w:rsidR="009A6E55">
        <w:rPr>
          <w:rFonts w:ascii="Times New Roman" w:hAnsi="Times New Roman" w:cs="Times New Roman"/>
        </w:rPr>
        <w:t xml:space="preserve">.  For example, </w:t>
      </w:r>
      <w:r w:rsidR="002420B5">
        <w:rPr>
          <w:rFonts w:ascii="Times New Roman" w:hAnsi="Times New Roman" w:cs="Times New Roman"/>
        </w:rPr>
        <w:t xml:space="preserve">their </w:t>
      </w:r>
      <w:r w:rsidR="00380D68">
        <w:rPr>
          <w:rFonts w:ascii="Times New Roman" w:hAnsi="Times New Roman" w:cs="Times New Roman"/>
        </w:rPr>
        <w:t xml:space="preserve">estimated coefficients </w:t>
      </w:r>
      <w:r w:rsidR="009A6E55">
        <w:rPr>
          <w:rFonts w:ascii="Times New Roman" w:hAnsi="Times New Roman" w:cs="Times New Roman"/>
        </w:rPr>
        <w:t>range from 0.3 to 0.55 for Model 3 with OLS and from</w:t>
      </w:r>
      <w:r w:rsidR="00032060">
        <w:rPr>
          <w:rFonts w:ascii="Times New Roman" w:hAnsi="Times New Roman" w:cs="Times New Roman"/>
        </w:rPr>
        <w:t xml:space="preserve"> 0 to 0.35 for Model 4 with OLS.</w:t>
      </w:r>
    </w:p>
    <w:p w:rsidR="00032060" w:rsidRPr="00A10C76" w:rsidRDefault="00032060" w:rsidP="00A10C76">
      <w:pPr>
        <w:pStyle w:val="FootnoteText"/>
        <w:jc w:val="both"/>
        <w:rPr>
          <w:rFonts w:ascii="Times New Roman" w:hAnsi="Times New Roman" w:cs="Times New Roman"/>
        </w:rPr>
      </w:pPr>
    </w:p>
  </w:footnote>
  <w:footnote w:id="2">
    <w:p w:rsidR="00032060" w:rsidRDefault="00032060" w:rsidP="00F75DA9">
      <w:pPr>
        <w:pStyle w:val="FootnoteText"/>
        <w:jc w:val="both"/>
        <w:rPr>
          <w:rFonts w:ascii="Times New Roman" w:hAnsi="Times New Roman" w:cs="Times New Roman"/>
        </w:rPr>
      </w:pPr>
      <w:r w:rsidRPr="00032060">
        <w:rPr>
          <w:rStyle w:val="FootnoteReference"/>
          <w:rFonts w:ascii="Times New Roman" w:hAnsi="Times New Roman" w:cs="Times New Roman"/>
        </w:rPr>
        <w:footnoteRef/>
      </w:r>
      <w:r w:rsidRPr="00032060">
        <w:rPr>
          <w:rFonts w:ascii="Times New Roman" w:hAnsi="Times New Roman" w:cs="Times New Roman"/>
        </w:rPr>
        <w:t xml:space="preserve"> </w:t>
      </w:r>
      <w:r w:rsidR="006E3998">
        <w:rPr>
          <w:rFonts w:ascii="Times New Roman" w:hAnsi="Times New Roman" w:cs="Times New Roman"/>
        </w:rPr>
        <w:t>Mero et al (2017) conduct a number of formal tests of these models.  Remarkably, they find that only Model 4 fails the heteroscedasticity test despite the fact that SFG (2011) develops it in order to address this problem</w:t>
      </w:r>
      <w:r w:rsidR="000F7742">
        <w:rPr>
          <w:rFonts w:ascii="Times New Roman" w:hAnsi="Times New Roman" w:cs="Times New Roman"/>
        </w:rPr>
        <w:t xml:space="preserve"> and Frontier (2016a) favours it</w:t>
      </w:r>
      <w:r w:rsidR="001E2A08">
        <w:rPr>
          <w:rFonts w:ascii="Times New Roman" w:hAnsi="Times New Roman" w:cs="Times New Roman"/>
        </w:rPr>
        <w:t>.</w:t>
      </w:r>
    </w:p>
    <w:p w:rsidR="001E2A08" w:rsidRPr="00032060" w:rsidRDefault="001E2A08" w:rsidP="00F75DA9">
      <w:pPr>
        <w:pStyle w:val="FootnoteText"/>
        <w:jc w:val="both"/>
        <w:rPr>
          <w:rFonts w:ascii="Times New Roman" w:hAnsi="Times New Roman" w:cs="Times New Roman"/>
        </w:rPr>
      </w:pPr>
    </w:p>
  </w:footnote>
  <w:footnote w:id="3">
    <w:p w:rsidR="001E2A08" w:rsidRDefault="001E2A08" w:rsidP="001E2A08">
      <w:pPr>
        <w:pStyle w:val="FootnoteText"/>
        <w:jc w:val="both"/>
        <w:rPr>
          <w:rFonts w:ascii="Times New Roman" w:hAnsi="Times New Roman" w:cs="Times New Roman"/>
        </w:rPr>
      </w:pPr>
      <w:r w:rsidRPr="001E2A08">
        <w:rPr>
          <w:rStyle w:val="FootnoteReference"/>
          <w:rFonts w:ascii="Times New Roman" w:hAnsi="Times New Roman" w:cs="Times New Roman"/>
        </w:rPr>
        <w:footnoteRef/>
      </w:r>
      <w:r w:rsidRPr="001E2A08">
        <w:rPr>
          <w:rFonts w:ascii="Times New Roman" w:hAnsi="Times New Roman" w:cs="Times New Roman"/>
        </w:rPr>
        <w:t xml:space="preserve"> In</w:t>
      </w:r>
      <w:r>
        <w:rPr>
          <w:rFonts w:ascii="Times New Roman" w:hAnsi="Times New Roman" w:cs="Times New Roman"/>
        </w:rPr>
        <w:t xml:space="preserve"> presenting the questions posed by the AER, I use the AER’s words.  However, in responding to the questions, I avoid language that is ambiguous.  In particular, the word “theta” could refer to the coefficient on the credits in a DDO or </w:t>
      </w:r>
      <w:r w:rsidR="00E9251D">
        <w:rPr>
          <w:rFonts w:ascii="Times New Roman" w:hAnsi="Times New Roman" w:cs="Times New Roman"/>
        </w:rPr>
        <w:t xml:space="preserve">to </w:t>
      </w:r>
      <w:r>
        <w:rPr>
          <w:rFonts w:ascii="Times New Roman" w:hAnsi="Times New Roman" w:cs="Times New Roman"/>
        </w:rPr>
        <w:t>the parameter in the Officer (1994) model, and these two uses are not equivalent.  Accordingly, I refer to the “coefficient on the credits</w:t>
      </w:r>
      <w:r w:rsidR="00E9251D">
        <w:rPr>
          <w:rFonts w:ascii="Times New Roman" w:hAnsi="Times New Roman" w:cs="Times New Roman"/>
        </w:rPr>
        <w:t xml:space="preserve"> in a DDO</w:t>
      </w:r>
      <w:r>
        <w:rPr>
          <w:rFonts w:ascii="Times New Roman" w:hAnsi="Times New Roman" w:cs="Times New Roman"/>
        </w:rPr>
        <w:t xml:space="preserve">” or the “utilization rate </w:t>
      </w:r>
      <w:r w:rsidR="00E25E33">
        <w:rPr>
          <w:rFonts w:ascii="Times New Roman" w:hAnsi="Times New Roman" w:cs="Times New Roman"/>
        </w:rPr>
        <w:t>for the credits” as appropriate.</w:t>
      </w:r>
    </w:p>
    <w:p w:rsidR="00E25E33" w:rsidRPr="001E2A08" w:rsidRDefault="00E25E33" w:rsidP="001E2A08">
      <w:pPr>
        <w:pStyle w:val="FootnoteText"/>
        <w:jc w:val="both"/>
        <w:rPr>
          <w:rFonts w:ascii="Times New Roman" w:hAnsi="Times New Roman" w:cs="Times New Roman"/>
        </w:rPr>
      </w:pPr>
    </w:p>
  </w:footnote>
  <w:footnote w:id="4">
    <w:p w:rsidR="00E25E33" w:rsidRPr="00D413B9" w:rsidRDefault="00E25E33" w:rsidP="00E25E33">
      <w:pPr>
        <w:pStyle w:val="FootnoteText"/>
        <w:jc w:val="both"/>
        <w:rPr>
          <w:rFonts w:ascii="Times New Roman" w:hAnsi="Times New Roman" w:cs="Times New Roman"/>
        </w:rPr>
      </w:pPr>
      <w:r w:rsidRPr="00D413B9">
        <w:rPr>
          <w:rStyle w:val="FootnoteReference"/>
          <w:rFonts w:ascii="Times New Roman" w:hAnsi="Times New Roman" w:cs="Times New Roman"/>
        </w:rPr>
        <w:footnoteRef/>
      </w:r>
      <w:r w:rsidRPr="00D413B9">
        <w:rPr>
          <w:rFonts w:ascii="Times New Roman" w:hAnsi="Times New Roman" w:cs="Times New Roman"/>
        </w:rPr>
        <w:t xml:space="preserve"> The assumption that capital gains are taxed at the same rate as (gross) dividends is adopted purely to simplify the example.  An example will be shown later in which this assumption is relaxed.</w:t>
      </w:r>
    </w:p>
  </w:footnote>
  <w:footnote w:id="5">
    <w:p w:rsidR="00C97728" w:rsidRDefault="00C97728" w:rsidP="00C97728">
      <w:pPr>
        <w:pStyle w:val="FootnoteText"/>
        <w:jc w:val="both"/>
        <w:rPr>
          <w:rFonts w:ascii="Times New Roman" w:hAnsi="Times New Roman" w:cs="Times New Roman"/>
        </w:rPr>
      </w:pPr>
      <w:r w:rsidRPr="00FF1D1C">
        <w:rPr>
          <w:rStyle w:val="FootnoteReference"/>
          <w:rFonts w:ascii="Times New Roman" w:hAnsi="Times New Roman" w:cs="Times New Roman"/>
        </w:rPr>
        <w:footnoteRef/>
      </w:r>
      <w:r w:rsidRPr="00FF1D1C">
        <w:rPr>
          <w:rFonts w:ascii="Times New Roman" w:hAnsi="Times New Roman" w:cs="Times New Roman"/>
        </w:rPr>
        <w:t xml:space="preserve"> Table 11</w:t>
      </w:r>
      <w:r>
        <w:rPr>
          <w:rFonts w:ascii="Times New Roman" w:hAnsi="Times New Roman" w:cs="Times New Roman"/>
        </w:rPr>
        <w:t xml:space="preserve"> is actually labelled Table 8, but should be labelled Table 11.</w:t>
      </w:r>
    </w:p>
    <w:p w:rsidR="00C97728" w:rsidRPr="00FF1D1C" w:rsidRDefault="00C97728" w:rsidP="00C97728">
      <w:pPr>
        <w:pStyle w:val="FootnoteText"/>
        <w:rPr>
          <w:rFonts w:ascii="Times New Roman" w:hAnsi="Times New Roman" w:cs="Times New Roman"/>
        </w:rPr>
      </w:pPr>
    </w:p>
  </w:footnote>
  <w:footnote w:id="6">
    <w:p w:rsidR="009A2229" w:rsidRPr="009A2229" w:rsidRDefault="009A2229" w:rsidP="00632AA5">
      <w:pPr>
        <w:pStyle w:val="FootnoteText"/>
        <w:jc w:val="both"/>
        <w:rPr>
          <w:rFonts w:ascii="Times New Roman" w:hAnsi="Times New Roman" w:cs="Times New Roman"/>
        </w:rPr>
      </w:pPr>
      <w:r w:rsidRPr="009A2229">
        <w:rPr>
          <w:rStyle w:val="FootnoteReference"/>
          <w:rFonts w:ascii="Times New Roman" w:hAnsi="Times New Roman" w:cs="Times New Roman"/>
        </w:rPr>
        <w:footnoteRef/>
      </w:r>
      <w:r w:rsidRPr="009A2229">
        <w:rPr>
          <w:rFonts w:ascii="Times New Roman" w:hAnsi="Times New Roman" w:cs="Times New Roman"/>
        </w:rPr>
        <w:t xml:space="preserve"> At</w:t>
      </w:r>
      <w:r>
        <w:rPr>
          <w:rFonts w:ascii="Times New Roman" w:hAnsi="Times New Roman" w:cs="Times New Roman"/>
        </w:rPr>
        <w:t xml:space="preserve"> Australia’s current tax rate of 30%, the maximum credits that could be attached to a $4 dividend would be $1.71 rather than $2, but the figure of $2 is used to </w:t>
      </w:r>
      <w:r w:rsidR="00632AA5">
        <w:rPr>
          <w:rFonts w:ascii="Times New Roman" w:hAnsi="Times New Roman" w:cs="Times New Roman"/>
        </w:rPr>
        <w:t>simplify the presentation.</w:t>
      </w:r>
    </w:p>
  </w:footnote>
  <w:footnote w:id="7">
    <w:p w:rsidR="00AE1028" w:rsidRPr="00AE1028" w:rsidRDefault="00AE1028" w:rsidP="00AE1028">
      <w:pPr>
        <w:pStyle w:val="FootnoteText"/>
        <w:jc w:val="both"/>
        <w:rPr>
          <w:rFonts w:ascii="Times New Roman" w:hAnsi="Times New Roman" w:cs="Times New Roman"/>
        </w:rPr>
      </w:pPr>
      <w:r w:rsidRPr="00AE1028">
        <w:rPr>
          <w:rStyle w:val="FootnoteReference"/>
          <w:rFonts w:ascii="Times New Roman" w:hAnsi="Times New Roman" w:cs="Times New Roman"/>
        </w:rPr>
        <w:footnoteRef/>
      </w:r>
      <w:r w:rsidRPr="00AE1028">
        <w:rPr>
          <w:rFonts w:ascii="Times New Roman" w:hAnsi="Times New Roman" w:cs="Times New Roman"/>
        </w:rPr>
        <w:t xml:space="preserve"> </w:t>
      </w:r>
      <w:r w:rsidR="00862FE4">
        <w:rPr>
          <w:rFonts w:ascii="Times New Roman" w:hAnsi="Times New Roman" w:cs="Times New Roman"/>
        </w:rPr>
        <w:t xml:space="preserve">In this example, the </w:t>
      </w:r>
      <w:r>
        <w:rPr>
          <w:rFonts w:ascii="Times New Roman" w:hAnsi="Times New Roman" w:cs="Times New Roman"/>
        </w:rPr>
        <w:t>personal tax rates on capital gains and dividends are assumed to be equal, and therefore the expected coefficient on cash dividends would be 1.  So, no adjustment to the estimated coefficient on the credits would be required in order to produce an estimate of the utilization rate.</w:t>
      </w:r>
    </w:p>
  </w:footnote>
  <w:footnote w:id="8">
    <w:p w:rsidR="00D47AB7" w:rsidRPr="00D47AB7" w:rsidRDefault="00D47AB7" w:rsidP="00396644">
      <w:pPr>
        <w:pStyle w:val="FootnoteText"/>
        <w:jc w:val="both"/>
        <w:rPr>
          <w:rFonts w:ascii="Times New Roman" w:hAnsi="Times New Roman" w:cs="Times New Roman"/>
        </w:rPr>
      </w:pPr>
      <w:r w:rsidRPr="00D47AB7">
        <w:rPr>
          <w:rStyle w:val="FootnoteReference"/>
          <w:rFonts w:ascii="Times New Roman" w:hAnsi="Times New Roman" w:cs="Times New Roman"/>
        </w:rPr>
        <w:footnoteRef/>
      </w:r>
      <w:r w:rsidRPr="00D47AB7">
        <w:rPr>
          <w:rFonts w:ascii="Times New Roman" w:hAnsi="Times New Roman" w:cs="Times New Roman"/>
        </w:rPr>
        <w:t xml:space="preserve"> This</w:t>
      </w:r>
      <w:r>
        <w:rPr>
          <w:rFonts w:ascii="Times New Roman" w:hAnsi="Times New Roman" w:cs="Times New Roman"/>
        </w:rPr>
        <w:t xml:space="preserve"> reduces to equation (1) if the tax rates </w:t>
      </w:r>
      <w:r w:rsidRPr="00D47AB7">
        <w:rPr>
          <w:rFonts w:ascii="Times New Roman" w:hAnsi="Times New Roman" w:cs="Times New Roman"/>
          <w:i/>
        </w:rPr>
        <w:t>T</w:t>
      </w:r>
      <w:r w:rsidRPr="00D47AB7">
        <w:rPr>
          <w:rFonts w:ascii="Times New Roman" w:hAnsi="Times New Roman" w:cs="Times New Roman"/>
          <w:i/>
          <w:vertAlign w:val="subscript"/>
        </w:rPr>
        <w:t>g</w:t>
      </w:r>
      <w:r>
        <w:rPr>
          <w:rFonts w:ascii="Times New Roman" w:hAnsi="Times New Roman" w:cs="Times New Roman"/>
        </w:rPr>
        <w:t xml:space="preserve"> and </w:t>
      </w:r>
      <w:r w:rsidRPr="00D47AB7">
        <w:rPr>
          <w:rFonts w:ascii="Times New Roman" w:hAnsi="Times New Roman" w:cs="Times New Roman"/>
          <w:i/>
        </w:rPr>
        <w:t>T</w:t>
      </w:r>
      <w:r w:rsidRPr="00D47AB7">
        <w:rPr>
          <w:rFonts w:ascii="Times New Roman" w:hAnsi="Times New Roman" w:cs="Times New Roman"/>
          <w:i/>
          <w:vertAlign w:val="subscript"/>
        </w:rPr>
        <w:t>d</w:t>
      </w:r>
      <w:r w:rsidR="0028040C">
        <w:rPr>
          <w:rFonts w:ascii="Times New Roman" w:hAnsi="Times New Roman" w:cs="Times New Roman"/>
        </w:rPr>
        <w:t xml:space="preserve"> are equal.  However, the discussion following equation (1) demonstrates that tax arbitrage may push the coefficient on the credits within the gross dividend above or below the utilization </w:t>
      </w:r>
      <w:r w:rsidR="00396644">
        <w:rPr>
          <w:rFonts w:ascii="Times New Roman" w:hAnsi="Times New Roman" w:cs="Times New Roman"/>
        </w:rPr>
        <w:t xml:space="preserve">rate </w:t>
      </w:r>
      <w:r w:rsidR="00396644" w:rsidRPr="009B7EF5">
        <w:rPr>
          <w:rFonts w:ascii="Times New Roman" w:hAnsi="Times New Roman" w:cs="Times New Roman"/>
          <w:i/>
        </w:rPr>
        <w:t>U</w:t>
      </w:r>
      <w:r w:rsidR="00396644">
        <w:rPr>
          <w:rFonts w:ascii="Times New Roman" w:hAnsi="Times New Roman" w:cs="Times New Roman"/>
        </w:rPr>
        <w:t>.  However, for the purposes of examining Frontier’s current argument, it is nece</w:t>
      </w:r>
      <w:r w:rsidR="004D62FA">
        <w:rPr>
          <w:rFonts w:ascii="Times New Roman" w:hAnsi="Times New Roman" w:cs="Times New Roman"/>
        </w:rPr>
        <w:t>ssary to ignore tax arbitrage so as to focus upon their argument.</w:t>
      </w:r>
    </w:p>
  </w:footnote>
  <w:footnote w:id="9">
    <w:p w:rsidR="00156C6B" w:rsidRPr="00156C6B" w:rsidRDefault="00156C6B" w:rsidP="00156C6B">
      <w:pPr>
        <w:pStyle w:val="FootnoteText"/>
        <w:jc w:val="both"/>
        <w:rPr>
          <w:rFonts w:ascii="Times New Roman" w:hAnsi="Times New Roman" w:cs="Times New Roman"/>
        </w:rPr>
      </w:pPr>
      <w:r w:rsidRPr="00156C6B">
        <w:rPr>
          <w:rStyle w:val="FootnoteReference"/>
          <w:rFonts w:ascii="Times New Roman" w:hAnsi="Times New Roman" w:cs="Times New Roman"/>
        </w:rPr>
        <w:footnoteRef/>
      </w:r>
      <w:r w:rsidRPr="00156C6B">
        <w:rPr>
          <w:rFonts w:ascii="Times New Roman" w:hAnsi="Times New Roman" w:cs="Times New Roman"/>
        </w:rPr>
        <w:t xml:space="preserve"> In</w:t>
      </w:r>
      <w:r>
        <w:rPr>
          <w:rFonts w:ascii="Times New Roman" w:hAnsi="Times New Roman" w:cs="Times New Roman"/>
        </w:rPr>
        <w:t xml:space="preserve"> expressing this point, Frontier equates </w:t>
      </w:r>
      <w:r w:rsidRPr="00156C6B">
        <w:rPr>
          <w:rFonts w:ascii="Times New Roman" w:hAnsi="Times New Roman" w:cs="Times New Roman"/>
          <w:i/>
        </w:rPr>
        <w:t>δ</w:t>
      </w:r>
      <w:r>
        <w:rPr>
          <w:rFonts w:ascii="Times New Roman" w:hAnsi="Times New Roman" w:cs="Times New Roman"/>
        </w:rPr>
        <w:t xml:space="preserve"> = 1 with cash dividends being valued at face value.  However, </w:t>
      </w:r>
      <w:r w:rsidR="00971EEE">
        <w:rPr>
          <w:rFonts w:ascii="Times New Roman" w:hAnsi="Times New Roman" w:cs="Times New Roman"/>
        </w:rPr>
        <w:t xml:space="preserve">the phrase “valued at face value” is much less precise than </w:t>
      </w:r>
      <w:r w:rsidR="00971EEE" w:rsidRPr="00156C6B">
        <w:rPr>
          <w:rFonts w:ascii="Times New Roman" w:hAnsi="Times New Roman" w:cs="Times New Roman"/>
          <w:i/>
        </w:rPr>
        <w:t>δ</w:t>
      </w:r>
      <w:r w:rsidR="00971EEE">
        <w:rPr>
          <w:rFonts w:ascii="Times New Roman" w:hAnsi="Times New Roman" w:cs="Times New Roman"/>
        </w:rPr>
        <w:t xml:space="preserve"> = 1, the latter is </w:t>
      </w:r>
      <w:r w:rsidR="00D351C3">
        <w:rPr>
          <w:rFonts w:ascii="Times New Roman" w:hAnsi="Times New Roman" w:cs="Times New Roman"/>
        </w:rPr>
        <w:t>assumed in the Officer model</w:t>
      </w:r>
      <w:r w:rsidR="00971EEE">
        <w:rPr>
          <w:rFonts w:ascii="Times New Roman" w:hAnsi="Times New Roman" w:cs="Times New Roman"/>
        </w:rPr>
        <w:t xml:space="preserve">, and </w:t>
      </w:r>
      <w:r>
        <w:rPr>
          <w:rFonts w:ascii="Times New Roman" w:hAnsi="Times New Roman" w:cs="Times New Roman"/>
        </w:rPr>
        <w:t xml:space="preserve">I have therefore examined Frontier’s argument expressed in terms of </w:t>
      </w:r>
      <w:r w:rsidRPr="00156C6B">
        <w:rPr>
          <w:rFonts w:ascii="Times New Roman" w:hAnsi="Times New Roman" w:cs="Times New Roman"/>
          <w:i/>
        </w:rPr>
        <w:t>δ</w:t>
      </w:r>
      <w:r>
        <w:rPr>
          <w:rFonts w:ascii="Times New Roman" w:hAnsi="Times New Roman" w:cs="Times New Roman"/>
        </w:rPr>
        <w:t xml:space="preserve"> = 1 rather than i</w:t>
      </w:r>
      <w:r w:rsidR="00971EEE">
        <w:rPr>
          <w:rFonts w:ascii="Times New Roman" w:hAnsi="Times New Roman" w:cs="Times New Roman"/>
        </w:rPr>
        <w:t>n terms of cash dividends being “valued at face value”.</w:t>
      </w:r>
    </w:p>
  </w:footnote>
  <w:footnote w:id="10">
    <w:p w:rsidR="00D6317C" w:rsidRPr="00EA5B5F" w:rsidRDefault="00D6317C" w:rsidP="00424A2B">
      <w:pPr>
        <w:pStyle w:val="FootnoteText"/>
        <w:jc w:val="both"/>
        <w:rPr>
          <w:rFonts w:ascii="Times New Roman" w:hAnsi="Times New Roman" w:cs="Times New Roman"/>
        </w:rPr>
      </w:pPr>
      <w:r w:rsidRPr="00EA5B5F">
        <w:rPr>
          <w:rStyle w:val="FootnoteReference"/>
          <w:rFonts w:ascii="Times New Roman" w:hAnsi="Times New Roman" w:cs="Times New Roman"/>
        </w:rPr>
        <w:footnoteRef/>
      </w:r>
      <w:r w:rsidRPr="00EA5B5F">
        <w:rPr>
          <w:rFonts w:ascii="Times New Roman" w:hAnsi="Times New Roman" w:cs="Times New Roman"/>
        </w:rPr>
        <w:t xml:space="preserve"> </w:t>
      </w:r>
      <w:r w:rsidR="009A426E" w:rsidRPr="00EA5B5F">
        <w:rPr>
          <w:rFonts w:ascii="Times New Roman" w:hAnsi="Times New Roman" w:cs="Times New Roman"/>
        </w:rPr>
        <w:t xml:space="preserve">MRP estimates </w:t>
      </w:r>
      <w:r w:rsidRPr="00EA5B5F">
        <w:rPr>
          <w:rFonts w:ascii="Times New Roman" w:hAnsi="Times New Roman" w:cs="Times New Roman"/>
        </w:rPr>
        <w:t xml:space="preserve">using historical data would only incorporate </w:t>
      </w:r>
      <w:r w:rsidR="00424A2B" w:rsidRPr="00EA5B5F">
        <w:rPr>
          <w:rFonts w:ascii="Times New Roman" w:hAnsi="Times New Roman" w:cs="Times New Roman"/>
        </w:rPr>
        <w:t xml:space="preserve">these costs </w:t>
      </w:r>
      <w:r w:rsidRPr="00EA5B5F">
        <w:rPr>
          <w:rFonts w:ascii="Times New Roman" w:hAnsi="Times New Roman" w:cs="Times New Roman"/>
        </w:rPr>
        <w:t>from 1987, when imputation was introduced.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44EA" w:rsidRDefault="009B44E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44EA" w:rsidRDefault="009B44E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44EA" w:rsidRDefault="009B44E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9719E0"/>
    <w:multiLevelType w:val="hybridMultilevel"/>
    <w:tmpl w:val="EA9AAA88"/>
    <w:lvl w:ilvl="0" w:tplc="0C09000F">
      <w:start w:val="1"/>
      <w:numFmt w:val="decimal"/>
      <w:lvlText w:val="%1."/>
      <w:lvlJc w:val="left"/>
      <w:pPr>
        <w:tabs>
          <w:tab w:val="num" w:pos="720"/>
        </w:tabs>
        <w:ind w:left="720" w:hanging="360"/>
      </w:p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A4389B34">
      <w:numFmt w:val="bullet"/>
      <w:lvlText w:val=""/>
      <w:lvlJc w:val="left"/>
      <w:pPr>
        <w:tabs>
          <w:tab w:val="num" w:pos="2880"/>
        </w:tabs>
        <w:ind w:left="2880" w:hanging="360"/>
      </w:pPr>
      <w:rPr>
        <w:rFonts w:ascii="Symbol" w:eastAsia="Times New Roman" w:hAnsi="Symbol" w:cs="Times New Roman" w:hint="default"/>
      </w:r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nsid w:val="0DD2542B"/>
    <w:multiLevelType w:val="hybridMultilevel"/>
    <w:tmpl w:val="7C60E1FC"/>
    <w:lvl w:ilvl="0" w:tplc="021E8868">
      <w:start w:val="1"/>
      <w:numFmt w:val="decimal"/>
      <w:lvlText w:val="%1."/>
      <w:lvlJc w:val="left"/>
      <w:pPr>
        <w:ind w:left="680" w:hanging="340"/>
      </w:pPr>
      <w:rPr>
        <w:rFonts w:hint="default"/>
      </w:rPr>
    </w:lvl>
    <w:lvl w:ilvl="1" w:tplc="0C090019" w:tentative="1">
      <w:start w:val="1"/>
      <w:numFmt w:val="lowerLetter"/>
      <w:lvlText w:val="%2."/>
      <w:lvlJc w:val="left"/>
      <w:pPr>
        <w:ind w:left="1420" w:hanging="360"/>
      </w:pPr>
    </w:lvl>
    <w:lvl w:ilvl="2" w:tplc="0C09001B" w:tentative="1">
      <w:start w:val="1"/>
      <w:numFmt w:val="lowerRoman"/>
      <w:lvlText w:val="%3."/>
      <w:lvlJc w:val="right"/>
      <w:pPr>
        <w:ind w:left="2140" w:hanging="180"/>
      </w:pPr>
    </w:lvl>
    <w:lvl w:ilvl="3" w:tplc="0C09000F" w:tentative="1">
      <w:start w:val="1"/>
      <w:numFmt w:val="decimal"/>
      <w:lvlText w:val="%4."/>
      <w:lvlJc w:val="left"/>
      <w:pPr>
        <w:ind w:left="2860" w:hanging="360"/>
      </w:pPr>
    </w:lvl>
    <w:lvl w:ilvl="4" w:tplc="0C090019" w:tentative="1">
      <w:start w:val="1"/>
      <w:numFmt w:val="lowerLetter"/>
      <w:lvlText w:val="%5."/>
      <w:lvlJc w:val="left"/>
      <w:pPr>
        <w:ind w:left="3580" w:hanging="360"/>
      </w:pPr>
    </w:lvl>
    <w:lvl w:ilvl="5" w:tplc="0C09001B" w:tentative="1">
      <w:start w:val="1"/>
      <w:numFmt w:val="lowerRoman"/>
      <w:lvlText w:val="%6."/>
      <w:lvlJc w:val="right"/>
      <w:pPr>
        <w:ind w:left="4300" w:hanging="180"/>
      </w:pPr>
    </w:lvl>
    <w:lvl w:ilvl="6" w:tplc="0C09000F" w:tentative="1">
      <w:start w:val="1"/>
      <w:numFmt w:val="decimal"/>
      <w:lvlText w:val="%7."/>
      <w:lvlJc w:val="left"/>
      <w:pPr>
        <w:ind w:left="5020" w:hanging="360"/>
      </w:pPr>
    </w:lvl>
    <w:lvl w:ilvl="7" w:tplc="0C090019" w:tentative="1">
      <w:start w:val="1"/>
      <w:numFmt w:val="lowerLetter"/>
      <w:lvlText w:val="%8."/>
      <w:lvlJc w:val="left"/>
      <w:pPr>
        <w:ind w:left="5740" w:hanging="360"/>
      </w:pPr>
    </w:lvl>
    <w:lvl w:ilvl="8" w:tplc="0C09001B" w:tentative="1">
      <w:start w:val="1"/>
      <w:numFmt w:val="lowerRoman"/>
      <w:lvlText w:val="%9."/>
      <w:lvlJc w:val="right"/>
      <w:pPr>
        <w:ind w:left="6460" w:hanging="180"/>
      </w:pPr>
    </w:lvl>
  </w:abstractNum>
  <w:abstractNum w:abstractNumId="2">
    <w:nsid w:val="171E7E1B"/>
    <w:multiLevelType w:val="hybridMultilevel"/>
    <w:tmpl w:val="4808E390"/>
    <w:lvl w:ilvl="0" w:tplc="8FA89A48">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1E3A5088"/>
    <w:multiLevelType w:val="hybridMultilevel"/>
    <w:tmpl w:val="F71C7B9C"/>
    <w:lvl w:ilvl="0" w:tplc="9C5AA380">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nsid w:val="2C57382C"/>
    <w:multiLevelType w:val="multilevel"/>
    <w:tmpl w:val="BBC61C06"/>
    <w:lvl w:ilvl="0">
      <w:start w:val="1"/>
      <w:numFmt w:val="decimal"/>
      <w:pStyle w:val="AERheading1"/>
      <w:lvlText w:val="%1"/>
      <w:lvlJc w:val="left"/>
      <w:pPr>
        <w:tabs>
          <w:tab w:val="num" w:pos="720"/>
        </w:tabs>
        <w:ind w:left="720" w:hanging="720"/>
      </w:pPr>
      <w:rPr>
        <w:rFonts w:hint="default"/>
      </w:rPr>
    </w:lvl>
    <w:lvl w:ilvl="1">
      <w:start w:val="1"/>
      <w:numFmt w:val="decimal"/>
      <w:pStyle w:val="AERheading2"/>
      <w:lvlText w:val="%1.%2"/>
      <w:lvlJc w:val="left"/>
      <w:pPr>
        <w:tabs>
          <w:tab w:val="num" w:pos="720"/>
        </w:tabs>
        <w:ind w:left="720" w:hanging="720"/>
      </w:pPr>
      <w:rPr>
        <w:rFonts w:hint="default"/>
      </w:rPr>
    </w:lvl>
    <w:lvl w:ilvl="2">
      <w:start w:val="1"/>
      <w:numFmt w:val="decimal"/>
      <w:pStyle w:val="AERheading3"/>
      <w:lvlText w:val="%1.%2.%3"/>
      <w:lvlJc w:val="left"/>
      <w:pPr>
        <w:tabs>
          <w:tab w:val="num" w:pos="1080"/>
        </w:tabs>
        <w:ind w:left="1080" w:hanging="720"/>
      </w:pPr>
      <w:rPr>
        <w:rFonts w:hint="default"/>
      </w:rPr>
    </w:lvl>
    <w:lvl w:ilvl="3">
      <w:start w:val="1"/>
      <w:numFmt w:val="decimal"/>
      <w:pStyle w:val="AERheading4"/>
      <w:lvlText w:val="%1.%2.%3.%4"/>
      <w:lvlJc w:val="left"/>
      <w:pPr>
        <w:tabs>
          <w:tab w:val="num" w:pos="1080"/>
        </w:tabs>
        <w:ind w:left="720" w:hanging="720"/>
      </w:pPr>
      <w:rPr>
        <w:rFonts w:hint="default"/>
      </w:rPr>
    </w:lvl>
    <w:lvl w:ilvl="4">
      <w:start w:val="1"/>
      <w:numFmt w:val="decimal"/>
      <w:lvlText w:val="%1.%2.%3.%4.%5"/>
      <w:lvlJc w:val="left"/>
      <w:pPr>
        <w:tabs>
          <w:tab w:val="num" w:pos="144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5">
    <w:nsid w:val="2D665A1A"/>
    <w:multiLevelType w:val="hybridMultilevel"/>
    <w:tmpl w:val="100633DA"/>
    <w:lvl w:ilvl="0" w:tplc="482C2664">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nsid w:val="39A9478C"/>
    <w:multiLevelType w:val="hybridMultilevel"/>
    <w:tmpl w:val="086EA7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3A2606BF"/>
    <w:multiLevelType w:val="hybridMultilevel"/>
    <w:tmpl w:val="F53812D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nsid w:val="43056111"/>
    <w:multiLevelType w:val="hybridMultilevel"/>
    <w:tmpl w:val="0BF890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43B64D18"/>
    <w:multiLevelType w:val="hybridMultilevel"/>
    <w:tmpl w:val="B3A410EC"/>
    <w:lvl w:ilvl="0" w:tplc="679C44B2">
      <w:numFmt w:val="bullet"/>
      <w:lvlText w:val="-"/>
      <w:lvlJc w:val="left"/>
      <w:pPr>
        <w:ind w:left="720" w:hanging="360"/>
      </w:pPr>
      <w:rPr>
        <w:rFonts w:ascii="Arial" w:eastAsiaTheme="minorHAnsi"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4C145D07"/>
    <w:multiLevelType w:val="hybridMultilevel"/>
    <w:tmpl w:val="F71C7B9C"/>
    <w:lvl w:ilvl="0" w:tplc="9C5AA380">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nsid w:val="4C947C5B"/>
    <w:multiLevelType w:val="hybridMultilevel"/>
    <w:tmpl w:val="3656020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4D9E5A1F"/>
    <w:multiLevelType w:val="multilevel"/>
    <w:tmpl w:val="DF8239B6"/>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i/>
      </w:rPr>
    </w:lvl>
    <w:lvl w:ilvl="2">
      <w:start w:val="1"/>
      <w:numFmt w:val="decimal"/>
      <w:isLgl/>
      <w:lvlText w:val="%1.%2.%3"/>
      <w:lvlJc w:val="left"/>
      <w:pPr>
        <w:ind w:left="1080" w:hanging="720"/>
      </w:pPr>
      <w:rPr>
        <w:rFonts w:hint="default"/>
        <w:i/>
      </w:rPr>
    </w:lvl>
    <w:lvl w:ilvl="3">
      <w:start w:val="1"/>
      <w:numFmt w:val="decimal"/>
      <w:isLgl/>
      <w:lvlText w:val="%1.%2.%3.%4"/>
      <w:lvlJc w:val="left"/>
      <w:pPr>
        <w:ind w:left="1080" w:hanging="720"/>
      </w:pPr>
      <w:rPr>
        <w:rFonts w:hint="default"/>
        <w:i/>
      </w:rPr>
    </w:lvl>
    <w:lvl w:ilvl="4">
      <w:start w:val="1"/>
      <w:numFmt w:val="decimal"/>
      <w:isLgl/>
      <w:lvlText w:val="%1.%2.%3.%4.%5"/>
      <w:lvlJc w:val="left"/>
      <w:pPr>
        <w:ind w:left="1440" w:hanging="1080"/>
      </w:pPr>
      <w:rPr>
        <w:rFonts w:hint="default"/>
        <w:i/>
      </w:rPr>
    </w:lvl>
    <w:lvl w:ilvl="5">
      <w:start w:val="1"/>
      <w:numFmt w:val="decimal"/>
      <w:isLgl/>
      <w:lvlText w:val="%1.%2.%3.%4.%5.%6"/>
      <w:lvlJc w:val="left"/>
      <w:pPr>
        <w:ind w:left="1440" w:hanging="1080"/>
      </w:pPr>
      <w:rPr>
        <w:rFonts w:hint="default"/>
        <w:i/>
      </w:rPr>
    </w:lvl>
    <w:lvl w:ilvl="6">
      <w:start w:val="1"/>
      <w:numFmt w:val="decimal"/>
      <w:isLgl/>
      <w:lvlText w:val="%1.%2.%3.%4.%5.%6.%7"/>
      <w:lvlJc w:val="left"/>
      <w:pPr>
        <w:ind w:left="1800" w:hanging="1440"/>
      </w:pPr>
      <w:rPr>
        <w:rFonts w:hint="default"/>
        <w:i/>
      </w:rPr>
    </w:lvl>
    <w:lvl w:ilvl="7">
      <w:start w:val="1"/>
      <w:numFmt w:val="decimal"/>
      <w:isLgl/>
      <w:lvlText w:val="%1.%2.%3.%4.%5.%6.%7.%8"/>
      <w:lvlJc w:val="left"/>
      <w:pPr>
        <w:ind w:left="1800" w:hanging="1440"/>
      </w:pPr>
      <w:rPr>
        <w:rFonts w:hint="default"/>
        <w:i/>
      </w:rPr>
    </w:lvl>
    <w:lvl w:ilvl="8">
      <w:start w:val="1"/>
      <w:numFmt w:val="decimal"/>
      <w:isLgl/>
      <w:lvlText w:val="%1.%2.%3.%4.%5.%6.%7.%8.%9"/>
      <w:lvlJc w:val="left"/>
      <w:pPr>
        <w:ind w:left="2160" w:hanging="1800"/>
      </w:pPr>
      <w:rPr>
        <w:rFonts w:hint="default"/>
        <w:i/>
      </w:rPr>
    </w:lvl>
  </w:abstractNum>
  <w:abstractNum w:abstractNumId="13">
    <w:nsid w:val="529847DD"/>
    <w:multiLevelType w:val="hybridMultilevel"/>
    <w:tmpl w:val="53787568"/>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nsid w:val="53EC59D3"/>
    <w:multiLevelType w:val="hybridMultilevel"/>
    <w:tmpl w:val="5778FA34"/>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5">
    <w:nsid w:val="6C2A5BD0"/>
    <w:multiLevelType w:val="hybridMultilevel"/>
    <w:tmpl w:val="057A7264"/>
    <w:lvl w:ilvl="0" w:tplc="0C090019">
      <w:start w:val="1"/>
      <w:numFmt w:val="lowerLetter"/>
      <w:lvlText w:val="%1."/>
      <w:lvlJc w:val="left"/>
      <w:pPr>
        <w:ind w:left="1440" w:hanging="360"/>
      </w:p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6">
    <w:nsid w:val="6C2B6A3D"/>
    <w:multiLevelType w:val="hybridMultilevel"/>
    <w:tmpl w:val="A992C13C"/>
    <w:lvl w:ilvl="0" w:tplc="4A16B874">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nsid w:val="70EB3262"/>
    <w:multiLevelType w:val="hybridMultilevel"/>
    <w:tmpl w:val="0A20BE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74203C2C"/>
    <w:multiLevelType w:val="hybridMultilevel"/>
    <w:tmpl w:val="3170EF28"/>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9">
    <w:nsid w:val="7CB92195"/>
    <w:multiLevelType w:val="hybridMultilevel"/>
    <w:tmpl w:val="339406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2"/>
  </w:num>
  <w:num w:numId="2">
    <w:abstractNumId w:val="7"/>
  </w:num>
  <w:num w:numId="3">
    <w:abstractNumId w:val="16"/>
  </w:num>
  <w:num w:numId="4">
    <w:abstractNumId w:val="5"/>
  </w:num>
  <w:num w:numId="5">
    <w:abstractNumId w:val="10"/>
  </w:num>
  <w:num w:numId="6">
    <w:abstractNumId w:val="3"/>
  </w:num>
  <w:num w:numId="7">
    <w:abstractNumId w:val="0"/>
  </w:num>
  <w:num w:numId="8">
    <w:abstractNumId w:val="4"/>
  </w:num>
  <w:num w:numId="9">
    <w:abstractNumId w:val="11"/>
  </w:num>
  <w:num w:numId="10">
    <w:abstractNumId w:val="15"/>
  </w:num>
  <w:num w:numId="11">
    <w:abstractNumId w:val="19"/>
  </w:num>
  <w:num w:numId="12">
    <w:abstractNumId w:val="13"/>
  </w:num>
  <w:num w:numId="13">
    <w:abstractNumId w:val="8"/>
  </w:num>
  <w:num w:numId="14">
    <w:abstractNumId w:val="17"/>
  </w:num>
  <w:num w:numId="15">
    <w:abstractNumId w:val="6"/>
  </w:num>
  <w:num w:numId="16">
    <w:abstractNumId w:val="18"/>
  </w:num>
  <w:num w:numId="17">
    <w:abstractNumId w:val="14"/>
  </w:num>
  <w:num w:numId="18">
    <w:abstractNumId w:val="1"/>
  </w:num>
  <w:num w:numId="19">
    <w:abstractNumId w:val="2"/>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H:\trimdata\TRIM\TEMP\HPTRIM.3228\AER17 53  Dr Martin Lally - ISSUES IN THE ESTIMATION OF GAMMA - 9 April 2017.DOCX"/>
  </w:docVars>
  <w:rsids>
    <w:rsidRoot w:val="00122250"/>
    <w:rsid w:val="000008E5"/>
    <w:rsid w:val="00001900"/>
    <w:rsid w:val="00001E50"/>
    <w:rsid w:val="00002E99"/>
    <w:rsid w:val="000038AE"/>
    <w:rsid w:val="00003C82"/>
    <w:rsid w:val="00005D3B"/>
    <w:rsid w:val="000064C9"/>
    <w:rsid w:val="0001013E"/>
    <w:rsid w:val="000102D0"/>
    <w:rsid w:val="00010B3D"/>
    <w:rsid w:val="00010E5D"/>
    <w:rsid w:val="00011085"/>
    <w:rsid w:val="00011594"/>
    <w:rsid w:val="0001259A"/>
    <w:rsid w:val="00012ABA"/>
    <w:rsid w:val="00012ACB"/>
    <w:rsid w:val="000135C8"/>
    <w:rsid w:val="00013C4F"/>
    <w:rsid w:val="0001453A"/>
    <w:rsid w:val="00014A1F"/>
    <w:rsid w:val="0001777C"/>
    <w:rsid w:val="000212D8"/>
    <w:rsid w:val="0002318B"/>
    <w:rsid w:val="00023BF7"/>
    <w:rsid w:val="00023C39"/>
    <w:rsid w:val="00024155"/>
    <w:rsid w:val="0002420C"/>
    <w:rsid w:val="00024F9E"/>
    <w:rsid w:val="000264C0"/>
    <w:rsid w:val="00032060"/>
    <w:rsid w:val="00032465"/>
    <w:rsid w:val="00034B78"/>
    <w:rsid w:val="00035451"/>
    <w:rsid w:val="00036CCE"/>
    <w:rsid w:val="0003746E"/>
    <w:rsid w:val="000374D8"/>
    <w:rsid w:val="00040B3E"/>
    <w:rsid w:val="00041084"/>
    <w:rsid w:val="00041292"/>
    <w:rsid w:val="000414CF"/>
    <w:rsid w:val="000423F3"/>
    <w:rsid w:val="0004247D"/>
    <w:rsid w:val="00043381"/>
    <w:rsid w:val="00043BF0"/>
    <w:rsid w:val="00044361"/>
    <w:rsid w:val="00050E2C"/>
    <w:rsid w:val="000519F7"/>
    <w:rsid w:val="000554BA"/>
    <w:rsid w:val="00056043"/>
    <w:rsid w:val="00056723"/>
    <w:rsid w:val="00062005"/>
    <w:rsid w:val="00063276"/>
    <w:rsid w:val="0006497D"/>
    <w:rsid w:val="00064C0D"/>
    <w:rsid w:val="00065C55"/>
    <w:rsid w:val="0006687D"/>
    <w:rsid w:val="000668E4"/>
    <w:rsid w:val="0006748F"/>
    <w:rsid w:val="000717FB"/>
    <w:rsid w:val="00071E6B"/>
    <w:rsid w:val="00075171"/>
    <w:rsid w:val="00075C4E"/>
    <w:rsid w:val="00075FFD"/>
    <w:rsid w:val="000767D1"/>
    <w:rsid w:val="0007754D"/>
    <w:rsid w:val="00077684"/>
    <w:rsid w:val="000777E1"/>
    <w:rsid w:val="00080184"/>
    <w:rsid w:val="00081FDD"/>
    <w:rsid w:val="000835DC"/>
    <w:rsid w:val="00084B3C"/>
    <w:rsid w:val="00084D53"/>
    <w:rsid w:val="000862A6"/>
    <w:rsid w:val="000879F8"/>
    <w:rsid w:val="00092B96"/>
    <w:rsid w:val="0009323D"/>
    <w:rsid w:val="0009594A"/>
    <w:rsid w:val="00095D3C"/>
    <w:rsid w:val="000973A7"/>
    <w:rsid w:val="000A0B05"/>
    <w:rsid w:val="000A3F1D"/>
    <w:rsid w:val="000A5770"/>
    <w:rsid w:val="000A68B4"/>
    <w:rsid w:val="000A6D1B"/>
    <w:rsid w:val="000A7CAD"/>
    <w:rsid w:val="000B27A1"/>
    <w:rsid w:val="000B2A0D"/>
    <w:rsid w:val="000B2A9A"/>
    <w:rsid w:val="000B3372"/>
    <w:rsid w:val="000B6A62"/>
    <w:rsid w:val="000C1885"/>
    <w:rsid w:val="000C68BC"/>
    <w:rsid w:val="000C7B31"/>
    <w:rsid w:val="000C7B68"/>
    <w:rsid w:val="000C7D3A"/>
    <w:rsid w:val="000C7DC3"/>
    <w:rsid w:val="000D00C6"/>
    <w:rsid w:val="000D0E81"/>
    <w:rsid w:val="000D11CF"/>
    <w:rsid w:val="000D267B"/>
    <w:rsid w:val="000D2B22"/>
    <w:rsid w:val="000D2D50"/>
    <w:rsid w:val="000D301B"/>
    <w:rsid w:val="000D3062"/>
    <w:rsid w:val="000D3097"/>
    <w:rsid w:val="000D3487"/>
    <w:rsid w:val="000D50A0"/>
    <w:rsid w:val="000D5F3D"/>
    <w:rsid w:val="000D6730"/>
    <w:rsid w:val="000D6FAA"/>
    <w:rsid w:val="000D7D4A"/>
    <w:rsid w:val="000E06D8"/>
    <w:rsid w:val="000E0991"/>
    <w:rsid w:val="000E09BE"/>
    <w:rsid w:val="000E1937"/>
    <w:rsid w:val="000E1CE7"/>
    <w:rsid w:val="000E27C5"/>
    <w:rsid w:val="000E2CFF"/>
    <w:rsid w:val="000E35AE"/>
    <w:rsid w:val="000E39AD"/>
    <w:rsid w:val="000E4F06"/>
    <w:rsid w:val="000E558C"/>
    <w:rsid w:val="000E7349"/>
    <w:rsid w:val="000E75C4"/>
    <w:rsid w:val="000E7B42"/>
    <w:rsid w:val="000F04AF"/>
    <w:rsid w:val="000F09F4"/>
    <w:rsid w:val="000F0B62"/>
    <w:rsid w:val="000F0DD2"/>
    <w:rsid w:val="000F18FE"/>
    <w:rsid w:val="000F3441"/>
    <w:rsid w:val="000F35BE"/>
    <w:rsid w:val="000F477B"/>
    <w:rsid w:val="000F530A"/>
    <w:rsid w:val="000F5E91"/>
    <w:rsid w:val="000F66FB"/>
    <w:rsid w:val="000F7742"/>
    <w:rsid w:val="0010163D"/>
    <w:rsid w:val="001019A2"/>
    <w:rsid w:val="00101AC3"/>
    <w:rsid w:val="00101CFF"/>
    <w:rsid w:val="00101D01"/>
    <w:rsid w:val="00102C10"/>
    <w:rsid w:val="001047EB"/>
    <w:rsid w:val="00104B3E"/>
    <w:rsid w:val="00105A55"/>
    <w:rsid w:val="00105C84"/>
    <w:rsid w:val="00107680"/>
    <w:rsid w:val="001113EF"/>
    <w:rsid w:val="001134C5"/>
    <w:rsid w:val="00114D93"/>
    <w:rsid w:val="00117514"/>
    <w:rsid w:val="00120A66"/>
    <w:rsid w:val="00120AC0"/>
    <w:rsid w:val="00121397"/>
    <w:rsid w:val="00121C8E"/>
    <w:rsid w:val="00121CEA"/>
    <w:rsid w:val="00121E1B"/>
    <w:rsid w:val="00122250"/>
    <w:rsid w:val="00122A18"/>
    <w:rsid w:val="00123C7E"/>
    <w:rsid w:val="00124544"/>
    <w:rsid w:val="001250AA"/>
    <w:rsid w:val="001257BD"/>
    <w:rsid w:val="00126A67"/>
    <w:rsid w:val="00127AD0"/>
    <w:rsid w:val="00132B72"/>
    <w:rsid w:val="00133647"/>
    <w:rsid w:val="00133DBC"/>
    <w:rsid w:val="00136C4D"/>
    <w:rsid w:val="001371B6"/>
    <w:rsid w:val="00137A36"/>
    <w:rsid w:val="00137F7A"/>
    <w:rsid w:val="00141021"/>
    <w:rsid w:val="00141EC0"/>
    <w:rsid w:val="001424E1"/>
    <w:rsid w:val="00142F46"/>
    <w:rsid w:val="00144BEF"/>
    <w:rsid w:val="00146960"/>
    <w:rsid w:val="001473A3"/>
    <w:rsid w:val="0015027F"/>
    <w:rsid w:val="00150B93"/>
    <w:rsid w:val="00150CD5"/>
    <w:rsid w:val="00150D2D"/>
    <w:rsid w:val="0015150C"/>
    <w:rsid w:val="00151D4A"/>
    <w:rsid w:val="00152FE9"/>
    <w:rsid w:val="0015344E"/>
    <w:rsid w:val="00154608"/>
    <w:rsid w:val="001549B6"/>
    <w:rsid w:val="0015502B"/>
    <w:rsid w:val="00155CC3"/>
    <w:rsid w:val="00156C6B"/>
    <w:rsid w:val="0016124C"/>
    <w:rsid w:val="00161BF2"/>
    <w:rsid w:val="001633A2"/>
    <w:rsid w:val="00163D36"/>
    <w:rsid w:val="00164DBA"/>
    <w:rsid w:val="00165466"/>
    <w:rsid w:val="00165BA3"/>
    <w:rsid w:val="001663F7"/>
    <w:rsid w:val="0016690C"/>
    <w:rsid w:val="001673D9"/>
    <w:rsid w:val="00171CF9"/>
    <w:rsid w:val="00171D0E"/>
    <w:rsid w:val="0017502F"/>
    <w:rsid w:val="00176605"/>
    <w:rsid w:val="001766F4"/>
    <w:rsid w:val="001770AF"/>
    <w:rsid w:val="0017780B"/>
    <w:rsid w:val="00177D74"/>
    <w:rsid w:val="0018024F"/>
    <w:rsid w:val="00180EB4"/>
    <w:rsid w:val="00182288"/>
    <w:rsid w:val="00182E5B"/>
    <w:rsid w:val="001854FE"/>
    <w:rsid w:val="00186900"/>
    <w:rsid w:val="001874A1"/>
    <w:rsid w:val="00187E7D"/>
    <w:rsid w:val="00190143"/>
    <w:rsid w:val="00191602"/>
    <w:rsid w:val="00191DE3"/>
    <w:rsid w:val="00192A69"/>
    <w:rsid w:val="0019387F"/>
    <w:rsid w:val="0019427B"/>
    <w:rsid w:val="00194683"/>
    <w:rsid w:val="00194B23"/>
    <w:rsid w:val="00195CA7"/>
    <w:rsid w:val="00197990"/>
    <w:rsid w:val="001A06FF"/>
    <w:rsid w:val="001A13F9"/>
    <w:rsid w:val="001A2810"/>
    <w:rsid w:val="001A325D"/>
    <w:rsid w:val="001A44C5"/>
    <w:rsid w:val="001A5901"/>
    <w:rsid w:val="001A59FF"/>
    <w:rsid w:val="001A5A3E"/>
    <w:rsid w:val="001A74F6"/>
    <w:rsid w:val="001B0BEC"/>
    <w:rsid w:val="001B0F96"/>
    <w:rsid w:val="001B20B5"/>
    <w:rsid w:val="001B29AE"/>
    <w:rsid w:val="001B2C89"/>
    <w:rsid w:val="001B3E71"/>
    <w:rsid w:val="001B5188"/>
    <w:rsid w:val="001B5286"/>
    <w:rsid w:val="001B5444"/>
    <w:rsid w:val="001B657B"/>
    <w:rsid w:val="001B6926"/>
    <w:rsid w:val="001B6C6A"/>
    <w:rsid w:val="001B72C7"/>
    <w:rsid w:val="001C0EAD"/>
    <w:rsid w:val="001C2B91"/>
    <w:rsid w:val="001C2D5E"/>
    <w:rsid w:val="001C3D30"/>
    <w:rsid w:val="001C4BD6"/>
    <w:rsid w:val="001C589F"/>
    <w:rsid w:val="001C6053"/>
    <w:rsid w:val="001C6EDB"/>
    <w:rsid w:val="001D2951"/>
    <w:rsid w:val="001D2CAA"/>
    <w:rsid w:val="001D46CD"/>
    <w:rsid w:val="001D5773"/>
    <w:rsid w:val="001D5D84"/>
    <w:rsid w:val="001D7C3E"/>
    <w:rsid w:val="001E08D3"/>
    <w:rsid w:val="001E171C"/>
    <w:rsid w:val="001E287D"/>
    <w:rsid w:val="001E29F5"/>
    <w:rsid w:val="001E2A08"/>
    <w:rsid w:val="001E2EC4"/>
    <w:rsid w:val="001E2FBD"/>
    <w:rsid w:val="001E3038"/>
    <w:rsid w:val="001E3C6B"/>
    <w:rsid w:val="001E6FE7"/>
    <w:rsid w:val="001E7396"/>
    <w:rsid w:val="001E77A2"/>
    <w:rsid w:val="001E7F80"/>
    <w:rsid w:val="001F042D"/>
    <w:rsid w:val="001F04BD"/>
    <w:rsid w:val="001F091A"/>
    <w:rsid w:val="001F16F2"/>
    <w:rsid w:val="001F1DB1"/>
    <w:rsid w:val="001F1EC0"/>
    <w:rsid w:val="001F30EB"/>
    <w:rsid w:val="001F32E2"/>
    <w:rsid w:val="001F4891"/>
    <w:rsid w:val="001F50C2"/>
    <w:rsid w:val="001F50FD"/>
    <w:rsid w:val="001F5364"/>
    <w:rsid w:val="001F5D2F"/>
    <w:rsid w:val="001F6615"/>
    <w:rsid w:val="00200012"/>
    <w:rsid w:val="00200383"/>
    <w:rsid w:val="0020154B"/>
    <w:rsid w:val="0020195F"/>
    <w:rsid w:val="00202710"/>
    <w:rsid w:val="00203203"/>
    <w:rsid w:val="002032D1"/>
    <w:rsid w:val="0020475D"/>
    <w:rsid w:val="00210F7F"/>
    <w:rsid w:val="0021275D"/>
    <w:rsid w:val="00214866"/>
    <w:rsid w:val="00215486"/>
    <w:rsid w:val="00215897"/>
    <w:rsid w:val="00215FAE"/>
    <w:rsid w:val="0021617F"/>
    <w:rsid w:val="00216FBA"/>
    <w:rsid w:val="00217681"/>
    <w:rsid w:val="00220DA0"/>
    <w:rsid w:val="00222582"/>
    <w:rsid w:val="00222CC5"/>
    <w:rsid w:val="00222E18"/>
    <w:rsid w:val="002230BF"/>
    <w:rsid w:val="00225426"/>
    <w:rsid w:val="002254BF"/>
    <w:rsid w:val="00225C23"/>
    <w:rsid w:val="00226055"/>
    <w:rsid w:val="00227605"/>
    <w:rsid w:val="00230509"/>
    <w:rsid w:val="00230E3A"/>
    <w:rsid w:val="002324B4"/>
    <w:rsid w:val="00232807"/>
    <w:rsid w:val="0023285E"/>
    <w:rsid w:val="00233160"/>
    <w:rsid w:val="00234A9E"/>
    <w:rsid w:val="0023553C"/>
    <w:rsid w:val="002365BD"/>
    <w:rsid w:val="00236DF2"/>
    <w:rsid w:val="0023746F"/>
    <w:rsid w:val="00240D89"/>
    <w:rsid w:val="0024158F"/>
    <w:rsid w:val="00241C23"/>
    <w:rsid w:val="002420B5"/>
    <w:rsid w:val="00242215"/>
    <w:rsid w:val="00242813"/>
    <w:rsid w:val="00242DCC"/>
    <w:rsid w:val="00243006"/>
    <w:rsid w:val="002437AF"/>
    <w:rsid w:val="002449F5"/>
    <w:rsid w:val="00244B03"/>
    <w:rsid w:val="00245F65"/>
    <w:rsid w:val="002462E1"/>
    <w:rsid w:val="002477F8"/>
    <w:rsid w:val="002503A8"/>
    <w:rsid w:val="00250684"/>
    <w:rsid w:val="002507E6"/>
    <w:rsid w:val="00250B3B"/>
    <w:rsid w:val="00252463"/>
    <w:rsid w:val="00252B31"/>
    <w:rsid w:val="00253CA5"/>
    <w:rsid w:val="002551A9"/>
    <w:rsid w:val="002556E3"/>
    <w:rsid w:val="00255F41"/>
    <w:rsid w:val="0025747D"/>
    <w:rsid w:val="00260580"/>
    <w:rsid w:val="0026363E"/>
    <w:rsid w:val="00263648"/>
    <w:rsid w:val="00264330"/>
    <w:rsid w:val="00264B70"/>
    <w:rsid w:val="002654BC"/>
    <w:rsid w:val="002657D6"/>
    <w:rsid w:val="00265A11"/>
    <w:rsid w:val="002661AA"/>
    <w:rsid w:val="002669AC"/>
    <w:rsid w:val="00267097"/>
    <w:rsid w:val="00267630"/>
    <w:rsid w:val="002678D6"/>
    <w:rsid w:val="002709CF"/>
    <w:rsid w:val="0027136D"/>
    <w:rsid w:val="002714C4"/>
    <w:rsid w:val="00271B33"/>
    <w:rsid w:val="00271BE8"/>
    <w:rsid w:val="00271F4A"/>
    <w:rsid w:val="002727AC"/>
    <w:rsid w:val="0027281B"/>
    <w:rsid w:val="00273197"/>
    <w:rsid w:val="002770A2"/>
    <w:rsid w:val="0028040C"/>
    <w:rsid w:val="00280D4D"/>
    <w:rsid w:val="00281F6E"/>
    <w:rsid w:val="00282A33"/>
    <w:rsid w:val="00282D7E"/>
    <w:rsid w:val="0028310F"/>
    <w:rsid w:val="002834BC"/>
    <w:rsid w:val="00283DDF"/>
    <w:rsid w:val="00283F3E"/>
    <w:rsid w:val="002844AF"/>
    <w:rsid w:val="002844F5"/>
    <w:rsid w:val="002864C4"/>
    <w:rsid w:val="0029032D"/>
    <w:rsid w:val="00290938"/>
    <w:rsid w:val="00291A47"/>
    <w:rsid w:val="00293680"/>
    <w:rsid w:val="00293A4B"/>
    <w:rsid w:val="00294103"/>
    <w:rsid w:val="00294C83"/>
    <w:rsid w:val="00295B5D"/>
    <w:rsid w:val="00296A13"/>
    <w:rsid w:val="002A05A1"/>
    <w:rsid w:val="002A32B4"/>
    <w:rsid w:val="002A369F"/>
    <w:rsid w:val="002A4DD5"/>
    <w:rsid w:val="002A55E0"/>
    <w:rsid w:val="002A6202"/>
    <w:rsid w:val="002B0CBE"/>
    <w:rsid w:val="002B2F42"/>
    <w:rsid w:val="002B4421"/>
    <w:rsid w:val="002B4C96"/>
    <w:rsid w:val="002B4F8D"/>
    <w:rsid w:val="002B708C"/>
    <w:rsid w:val="002C0D3E"/>
    <w:rsid w:val="002C1DF9"/>
    <w:rsid w:val="002C2B0F"/>
    <w:rsid w:val="002C3147"/>
    <w:rsid w:val="002C3D82"/>
    <w:rsid w:val="002C442D"/>
    <w:rsid w:val="002C5697"/>
    <w:rsid w:val="002D30F3"/>
    <w:rsid w:val="002D31FF"/>
    <w:rsid w:val="002D3926"/>
    <w:rsid w:val="002D3DEA"/>
    <w:rsid w:val="002D5693"/>
    <w:rsid w:val="002D5930"/>
    <w:rsid w:val="002D5A62"/>
    <w:rsid w:val="002D63B9"/>
    <w:rsid w:val="002D790F"/>
    <w:rsid w:val="002E1D77"/>
    <w:rsid w:val="002E2AE7"/>
    <w:rsid w:val="002E2E03"/>
    <w:rsid w:val="002E3F61"/>
    <w:rsid w:val="002E4323"/>
    <w:rsid w:val="002E56E8"/>
    <w:rsid w:val="002E5FDF"/>
    <w:rsid w:val="002E6167"/>
    <w:rsid w:val="002E6E03"/>
    <w:rsid w:val="002E7007"/>
    <w:rsid w:val="002F0E64"/>
    <w:rsid w:val="002F15C6"/>
    <w:rsid w:val="002F17DF"/>
    <w:rsid w:val="002F27BE"/>
    <w:rsid w:val="002F3CF4"/>
    <w:rsid w:val="002F6BBB"/>
    <w:rsid w:val="002F7988"/>
    <w:rsid w:val="003018B1"/>
    <w:rsid w:val="00301D16"/>
    <w:rsid w:val="00303F25"/>
    <w:rsid w:val="003042D2"/>
    <w:rsid w:val="003058C3"/>
    <w:rsid w:val="0030628F"/>
    <w:rsid w:val="00306B84"/>
    <w:rsid w:val="003104BB"/>
    <w:rsid w:val="00311D10"/>
    <w:rsid w:val="0031245C"/>
    <w:rsid w:val="00312AB2"/>
    <w:rsid w:val="00312BAF"/>
    <w:rsid w:val="00312D62"/>
    <w:rsid w:val="0031471A"/>
    <w:rsid w:val="00315BB7"/>
    <w:rsid w:val="00315F09"/>
    <w:rsid w:val="00315FD6"/>
    <w:rsid w:val="003166A7"/>
    <w:rsid w:val="003168D7"/>
    <w:rsid w:val="00320888"/>
    <w:rsid w:val="003230D9"/>
    <w:rsid w:val="003232DB"/>
    <w:rsid w:val="0032366D"/>
    <w:rsid w:val="00323E5E"/>
    <w:rsid w:val="003241AB"/>
    <w:rsid w:val="0032466C"/>
    <w:rsid w:val="00325CC1"/>
    <w:rsid w:val="00327127"/>
    <w:rsid w:val="003317D5"/>
    <w:rsid w:val="003320CA"/>
    <w:rsid w:val="00332C98"/>
    <w:rsid w:val="0033458D"/>
    <w:rsid w:val="00334AFE"/>
    <w:rsid w:val="00335868"/>
    <w:rsid w:val="00335897"/>
    <w:rsid w:val="00335D9D"/>
    <w:rsid w:val="00336FA6"/>
    <w:rsid w:val="0034067F"/>
    <w:rsid w:val="00340875"/>
    <w:rsid w:val="00340C93"/>
    <w:rsid w:val="00341396"/>
    <w:rsid w:val="003414AD"/>
    <w:rsid w:val="00343C26"/>
    <w:rsid w:val="00347020"/>
    <w:rsid w:val="003474AC"/>
    <w:rsid w:val="00347DD9"/>
    <w:rsid w:val="00347F45"/>
    <w:rsid w:val="00353A94"/>
    <w:rsid w:val="00354B32"/>
    <w:rsid w:val="0035683E"/>
    <w:rsid w:val="003570D6"/>
    <w:rsid w:val="003572A4"/>
    <w:rsid w:val="003577B4"/>
    <w:rsid w:val="00361879"/>
    <w:rsid w:val="00361936"/>
    <w:rsid w:val="00361AC1"/>
    <w:rsid w:val="00362562"/>
    <w:rsid w:val="003667D8"/>
    <w:rsid w:val="003679FC"/>
    <w:rsid w:val="00367B2D"/>
    <w:rsid w:val="00367F54"/>
    <w:rsid w:val="00370F92"/>
    <w:rsid w:val="003710A9"/>
    <w:rsid w:val="0037123A"/>
    <w:rsid w:val="0037170A"/>
    <w:rsid w:val="00371BAF"/>
    <w:rsid w:val="00371DCD"/>
    <w:rsid w:val="003720DA"/>
    <w:rsid w:val="003722F0"/>
    <w:rsid w:val="00372B85"/>
    <w:rsid w:val="00372FA7"/>
    <w:rsid w:val="00374148"/>
    <w:rsid w:val="0037455B"/>
    <w:rsid w:val="003753DF"/>
    <w:rsid w:val="00375692"/>
    <w:rsid w:val="00375875"/>
    <w:rsid w:val="0037590E"/>
    <w:rsid w:val="00375A47"/>
    <w:rsid w:val="00375BBA"/>
    <w:rsid w:val="0037610E"/>
    <w:rsid w:val="00380839"/>
    <w:rsid w:val="00380D68"/>
    <w:rsid w:val="00380F3F"/>
    <w:rsid w:val="00381006"/>
    <w:rsid w:val="0038281F"/>
    <w:rsid w:val="00384CE3"/>
    <w:rsid w:val="003856C9"/>
    <w:rsid w:val="003865B8"/>
    <w:rsid w:val="003870CC"/>
    <w:rsid w:val="003914AE"/>
    <w:rsid w:val="00392949"/>
    <w:rsid w:val="0039408A"/>
    <w:rsid w:val="003944A3"/>
    <w:rsid w:val="00394D98"/>
    <w:rsid w:val="00395225"/>
    <w:rsid w:val="0039586C"/>
    <w:rsid w:val="00396644"/>
    <w:rsid w:val="003974A2"/>
    <w:rsid w:val="003A137C"/>
    <w:rsid w:val="003A1FC2"/>
    <w:rsid w:val="003A323F"/>
    <w:rsid w:val="003A4FAA"/>
    <w:rsid w:val="003A510B"/>
    <w:rsid w:val="003A55A2"/>
    <w:rsid w:val="003A6723"/>
    <w:rsid w:val="003A7215"/>
    <w:rsid w:val="003A78DB"/>
    <w:rsid w:val="003A7940"/>
    <w:rsid w:val="003A7C12"/>
    <w:rsid w:val="003B171D"/>
    <w:rsid w:val="003B1726"/>
    <w:rsid w:val="003B18FC"/>
    <w:rsid w:val="003B1C25"/>
    <w:rsid w:val="003B38D8"/>
    <w:rsid w:val="003B3B87"/>
    <w:rsid w:val="003B3EA2"/>
    <w:rsid w:val="003B4DE4"/>
    <w:rsid w:val="003B5672"/>
    <w:rsid w:val="003B7CA2"/>
    <w:rsid w:val="003C09E9"/>
    <w:rsid w:val="003C26BA"/>
    <w:rsid w:val="003C3044"/>
    <w:rsid w:val="003C5C4B"/>
    <w:rsid w:val="003C5E2A"/>
    <w:rsid w:val="003D0426"/>
    <w:rsid w:val="003D1728"/>
    <w:rsid w:val="003D2162"/>
    <w:rsid w:val="003D40AC"/>
    <w:rsid w:val="003D5EC0"/>
    <w:rsid w:val="003D7EB7"/>
    <w:rsid w:val="003E14A2"/>
    <w:rsid w:val="003E20DE"/>
    <w:rsid w:val="003E23FC"/>
    <w:rsid w:val="003E2B21"/>
    <w:rsid w:val="003E38F1"/>
    <w:rsid w:val="003E39C3"/>
    <w:rsid w:val="003E3AA2"/>
    <w:rsid w:val="003E4329"/>
    <w:rsid w:val="003E4635"/>
    <w:rsid w:val="003E4C0B"/>
    <w:rsid w:val="003E5651"/>
    <w:rsid w:val="003E5700"/>
    <w:rsid w:val="003E661A"/>
    <w:rsid w:val="003E6A28"/>
    <w:rsid w:val="003E6A85"/>
    <w:rsid w:val="003E6CCE"/>
    <w:rsid w:val="003E7584"/>
    <w:rsid w:val="003F0038"/>
    <w:rsid w:val="003F2D61"/>
    <w:rsid w:val="003F33F0"/>
    <w:rsid w:val="003F48A8"/>
    <w:rsid w:val="003F4C28"/>
    <w:rsid w:val="003F513C"/>
    <w:rsid w:val="003F5486"/>
    <w:rsid w:val="003F75E9"/>
    <w:rsid w:val="003F7AE6"/>
    <w:rsid w:val="00400EA7"/>
    <w:rsid w:val="00400FA6"/>
    <w:rsid w:val="004017ED"/>
    <w:rsid w:val="00401891"/>
    <w:rsid w:val="004026A8"/>
    <w:rsid w:val="004049B2"/>
    <w:rsid w:val="00404CBB"/>
    <w:rsid w:val="0040504E"/>
    <w:rsid w:val="004076CF"/>
    <w:rsid w:val="00407F27"/>
    <w:rsid w:val="0041109E"/>
    <w:rsid w:val="00412C35"/>
    <w:rsid w:val="0041387D"/>
    <w:rsid w:val="00413E1E"/>
    <w:rsid w:val="00413F11"/>
    <w:rsid w:val="00414311"/>
    <w:rsid w:val="004175E5"/>
    <w:rsid w:val="00417C87"/>
    <w:rsid w:val="00420BBE"/>
    <w:rsid w:val="00423561"/>
    <w:rsid w:val="0042361A"/>
    <w:rsid w:val="00424044"/>
    <w:rsid w:val="00424287"/>
    <w:rsid w:val="004248A3"/>
    <w:rsid w:val="00424A2B"/>
    <w:rsid w:val="00425302"/>
    <w:rsid w:val="0042564E"/>
    <w:rsid w:val="00425EFF"/>
    <w:rsid w:val="004272C2"/>
    <w:rsid w:val="0042788D"/>
    <w:rsid w:val="0042797D"/>
    <w:rsid w:val="004309EF"/>
    <w:rsid w:val="00431F39"/>
    <w:rsid w:val="00431F73"/>
    <w:rsid w:val="00434244"/>
    <w:rsid w:val="00434267"/>
    <w:rsid w:val="004353C3"/>
    <w:rsid w:val="00435A94"/>
    <w:rsid w:val="00435ADC"/>
    <w:rsid w:val="00435BF9"/>
    <w:rsid w:val="00435FBE"/>
    <w:rsid w:val="0044009F"/>
    <w:rsid w:val="00441C3E"/>
    <w:rsid w:val="004425A5"/>
    <w:rsid w:val="00442DD2"/>
    <w:rsid w:val="004435F4"/>
    <w:rsid w:val="0044406B"/>
    <w:rsid w:val="0044616C"/>
    <w:rsid w:val="004462BD"/>
    <w:rsid w:val="004462DA"/>
    <w:rsid w:val="0044639A"/>
    <w:rsid w:val="00451519"/>
    <w:rsid w:val="004517DC"/>
    <w:rsid w:val="0045338C"/>
    <w:rsid w:val="00453DA7"/>
    <w:rsid w:val="00454D21"/>
    <w:rsid w:val="0046133C"/>
    <w:rsid w:val="0046246C"/>
    <w:rsid w:val="004624ED"/>
    <w:rsid w:val="004628EF"/>
    <w:rsid w:val="00462AD7"/>
    <w:rsid w:val="004666ED"/>
    <w:rsid w:val="00467BF9"/>
    <w:rsid w:val="00470225"/>
    <w:rsid w:val="00470F92"/>
    <w:rsid w:val="00471333"/>
    <w:rsid w:val="00472E43"/>
    <w:rsid w:val="004734FC"/>
    <w:rsid w:val="00474053"/>
    <w:rsid w:val="00474903"/>
    <w:rsid w:val="00475C67"/>
    <w:rsid w:val="004769AE"/>
    <w:rsid w:val="00477A65"/>
    <w:rsid w:val="0048363D"/>
    <w:rsid w:val="00483A56"/>
    <w:rsid w:val="00483F0F"/>
    <w:rsid w:val="00484D37"/>
    <w:rsid w:val="0048536F"/>
    <w:rsid w:val="0048694D"/>
    <w:rsid w:val="00487C26"/>
    <w:rsid w:val="0049006A"/>
    <w:rsid w:val="00491234"/>
    <w:rsid w:val="0049138F"/>
    <w:rsid w:val="0049215D"/>
    <w:rsid w:val="00492306"/>
    <w:rsid w:val="004925B2"/>
    <w:rsid w:val="00492ADA"/>
    <w:rsid w:val="00492DAE"/>
    <w:rsid w:val="0049417C"/>
    <w:rsid w:val="0049593C"/>
    <w:rsid w:val="004959CA"/>
    <w:rsid w:val="00497957"/>
    <w:rsid w:val="00497C2B"/>
    <w:rsid w:val="004A057E"/>
    <w:rsid w:val="004A1372"/>
    <w:rsid w:val="004A1A07"/>
    <w:rsid w:val="004A1F54"/>
    <w:rsid w:val="004A25BC"/>
    <w:rsid w:val="004A3F1F"/>
    <w:rsid w:val="004A4448"/>
    <w:rsid w:val="004A4608"/>
    <w:rsid w:val="004A4D29"/>
    <w:rsid w:val="004A5494"/>
    <w:rsid w:val="004A5C72"/>
    <w:rsid w:val="004A7872"/>
    <w:rsid w:val="004B0E85"/>
    <w:rsid w:val="004B226B"/>
    <w:rsid w:val="004B2C4E"/>
    <w:rsid w:val="004B4C18"/>
    <w:rsid w:val="004B54C3"/>
    <w:rsid w:val="004B5B21"/>
    <w:rsid w:val="004B6A1F"/>
    <w:rsid w:val="004B7329"/>
    <w:rsid w:val="004C0080"/>
    <w:rsid w:val="004C0329"/>
    <w:rsid w:val="004C06A5"/>
    <w:rsid w:val="004C0EB8"/>
    <w:rsid w:val="004C1003"/>
    <w:rsid w:val="004C11D9"/>
    <w:rsid w:val="004C2358"/>
    <w:rsid w:val="004C23A0"/>
    <w:rsid w:val="004C24D9"/>
    <w:rsid w:val="004C29D1"/>
    <w:rsid w:val="004C316F"/>
    <w:rsid w:val="004C360B"/>
    <w:rsid w:val="004C3DD9"/>
    <w:rsid w:val="004C4229"/>
    <w:rsid w:val="004C4321"/>
    <w:rsid w:val="004C43D4"/>
    <w:rsid w:val="004C4BC3"/>
    <w:rsid w:val="004C5131"/>
    <w:rsid w:val="004C53C9"/>
    <w:rsid w:val="004C5516"/>
    <w:rsid w:val="004C59A4"/>
    <w:rsid w:val="004C6C73"/>
    <w:rsid w:val="004C7D0E"/>
    <w:rsid w:val="004D1137"/>
    <w:rsid w:val="004D14F6"/>
    <w:rsid w:val="004D1E84"/>
    <w:rsid w:val="004D216D"/>
    <w:rsid w:val="004D4924"/>
    <w:rsid w:val="004D6073"/>
    <w:rsid w:val="004D62FA"/>
    <w:rsid w:val="004D6A05"/>
    <w:rsid w:val="004E0CCE"/>
    <w:rsid w:val="004E23F6"/>
    <w:rsid w:val="004E4A75"/>
    <w:rsid w:val="004E5E16"/>
    <w:rsid w:val="004E5F68"/>
    <w:rsid w:val="004E66DB"/>
    <w:rsid w:val="004E7ED7"/>
    <w:rsid w:val="004F0C06"/>
    <w:rsid w:val="004F0C7F"/>
    <w:rsid w:val="004F1CC2"/>
    <w:rsid w:val="004F3363"/>
    <w:rsid w:val="004F3E4F"/>
    <w:rsid w:val="004F3F2C"/>
    <w:rsid w:val="004F5284"/>
    <w:rsid w:val="004F6480"/>
    <w:rsid w:val="004F6820"/>
    <w:rsid w:val="004F726F"/>
    <w:rsid w:val="00500B64"/>
    <w:rsid w:val="00501C32"/>
    <w:rsid w:val="00502FAF"/>
    <w:rsid w:val="00503211"/>
    <w:rsid w:val="00504638"/>
    <w:rsid w:val="00504D76"/>
    <w:rsid w:val="005059F2"/>
    <w:rsid w:val="005065E6"/>
    <w:rsid w:val="00510334"/>
    <w:rsid w:val="00510E07"/>
    <w:rsid w:val="00511B4A"/>
    <w:rsid w:val="00513014"/>
    <w:rsid w:val="00514632"/>
    <w:rsid w:val="005146E2"/>
    <w:rsid w:val="005149BB"/>
    <w:rsid w:val="005153E3"/>
    <w:rsid w:val="00515A75"/>
    <w:rsid w:val="005167CC"/>
    <w:rsid w:val="005174AA"/>
    <w:rsid w:val="005174F0"/>
    <w:rsid w:val="00517610"/>
    <w:rsid w:val="005203AD"/>
    <w:rsid w:val="00520E2D"/>
    <w:rsid w:val="00521A39"/>
    <w:rsid w:val="00521DC2"/>
    <w:rsid w:val="00522145"/>
    <w:rsid w:val="00522496"/>
    <w:rsid w:val="00523613"/>
    <w:rsid w:val="0052486F"/>
    <w:rsid w:val="00525086"/>
    <w:rsid w:val="00533C54"/>
    <w:rsid w:val="005346D1"/>
    <w:rsid w:val="00534C9D"/>
    <w:rsid w:val="005365DE"/>
    <w:rsid w:val="00536E9F"/>
    <w:rsid w:val="005379FF"/>
    <w:rsid w:val="0054379F"/>
    <w:rsid w:val="0054389D"/>
    <w:rsid w:val="0054450B"/>
    <w:rsid w:val="0054475F"/>
    <w:rsid w:val="00545312"/>
    <w:rsid w:val="00545810"/>
    <w:rsid w:val="00546F21"/>
    <w:rsid w:val="0054782A"/>
    <w:rsid w:val="005518C9"/>
    <w:rsid w:val="00551F38"/>
    <w:rsid w:val="00551FBC"/>
    <w:rsid w:val="00555C40"/>
    <w:rsid w:val="00555D11"/>
    <w:rsid w:val="00556891"/>
    <w:rsid w:val="00560F69"/>
    <w:rsid w:val="00561255"/>
    <w:rsid w:val="00562177"/>
    <w:rsid w:val="00565900"/>
    <w:rsid w:val="00565AF7"/>
    <w:rsid w:val="00565DAD"/>
    <w:rsid w:val="00566771"/>
    <w:rsid w:val="0057053F"/>
    <w:rsid w:val="00570A07"/>
    <w:rsid w:val="0057208B"/>
    <w:rsid w:val="005727BE"/>
    <w:rsid w:val="00575659"/>
    <w:rsid w:val="00576355"/>
    <w:rsid w:val="00577115"/>
    <w:rsid w:val="00580FE5"/>
    <w:rsid w:val="00581733"/>
    <w:rsid w:val="00584873"/>
    <w:rsid w:val="00585BB3"/>
    <w:rsid w:val="00585E5B"/>
    <w:rsid w:val="00586D61"/>
    <w:rsid w:val="0058734B"/>
    <w:rsid w:val="00591198"/>
    <w:rsid w:val="005943F9"/>
    <w:rsid w:val="00594CA6"/>
    <w:rsid w:val="0059517B"/>
    <w:rsid w:val="00596145"/>
    <w:rsid w:val="005963C5"/>
    <w:rsid w:val="005964B0"/>
    <w:rsid w:val="005A04B6"/>
    <w:rsid w:val="005A09AE"/>
    <w:rsid w:val="005A0C2D"/>
    <w:rsid w:val="005A0E20"/>
    <w:rsid w:val="005A16F0"/>
    <w:rsid w:val="005A16F2"/>
    <w:rsid w:val="005A204E"/>
    <w:rsid w:val="005A3538"/>
    <w:rsid w:val="005A39C2"/>
    <w:rsid w:val="005A41AF"/>
    <w:rsid w:val="005A49C0"/>
    <w:rsid w:val="005A5357"/>
    <w:rsid w:val="005A586A"/>
    <w:rsid w:val="005A684C"/>
    <w:rsid w:val="005A7F8E"/>
    <w:rsid w:val="005B29E0"/>
    <w:rsid w:val="005B42E4"/>
    <w:rsid w:val="005B5570"/>
    <w:rsid w:val="005B579E"/>
    <w:rsid w:val="005C0299"/>
    <w:rsid w:val="005C0C1F"/>
    <w:rsid w:val="005C0CCA"/>
    <w:rsid w:val="005C1462"/>
    <w:rsid w:val="005C1AD6"/>
    <w:rsid w:val="005C34A7"/>
    <w:rsid w:val="005C3742"/>
    <w:rsid w:val="005C3787"/>
    <w:rsid w:val="005C58EB"/>
    <w:rsid w:val="005C73D0"/>
    <w:rsid w:val="005D0A24"/>
    <w:rsid w:val="005D1B08"/>
    <w:rsid w:val="005D1E1B"/>
    <w:rsid w:val="005D2A90"/>
    <w:rsid w:val="005D3143"/>
    <w:rsid w:val="005D34DF"/>
    <w:rsid w:val="005D3A00"/>
    <w:rsid w:val="005D56CE"/>
    <w:rsid w:val="005D5F6D"/>
    <w:rsid w:val="005D6210"/>
    <w:rsid w:val="005D6CA4"/>
    <w:rsid w:val="005E0227"/>
    <w:rsid w:val="005E1C43"/>
    <w:rsid w:val="005E1C60"/>
    <w:rsid w:val="005E316C"/>
    <w:rsid w:val="005E3B8C"/>
    <w:rsid w:val="005E3CEF"/>
    <w:rsid w:val="005E4DA4"/>
    <w:rsid w:val="005E6085"/>
    <w:rsid w:val="005E6E89"/>
    <w:rsid w:val="005E7266"/>
    <w:rsid w:val="005E7630"/>
    <w:rsid w:val="005E7729"/>
    <w:rsid w:val="005F1990"/>
    <w:rsid w:val="005F29D7"/>
    <w:rsid w:val="005F2ED0"/>
    <w:rsid w:val="005F2FEF"/>
    <w:rsid w:val="005F36AB"/>
    <w:rsid w:val="005F38B4"/>
    <w:rsid w:val="005F3F0D"/>
    <w:rsid w:val="005F5721"/>
    <w:rsid w:val="005F6031"/>
    <w:rsid w:val="005F685D"/>
    <w:rsid w:val="005F694C"/>
    <w:rsid w:val="005F6998"/>
    <w:rsid w:val="005F6FDD"/>
    <w:rsid w:val="006028E4"/>
    <w:rsid w:val="00602EA0"/>
    <w:rsid w:val="0060320D"/>
    <w:rsid w:val="00603625"/>
    <w:rsid w:val="006053DA"/>
    <w:rsid w:val="00606E89"/>
    <w:rsid w:val="00607A42"/>
    <w:rsid w:val="00607DE8"/>
    <w:rsid w:val="006104FE"/>
    <w:rsid w:val="00610C2D"/>
    <w:rsid w:val="006116A5"/>
    <w:rsid w:val="006123CB"/>
    <w:rsid w:val="006124AF"/>
    <w:rsid w:val="00613858"/>
    <w:rsid w:val="00613DDF"/>
    <w:rsid w:val="006148F7"/>
    <w:rsid w:val="00615A3E"/>
    <w:rsid w:val="00620E49"/>
    <w:rsid w:val="0062124E"/>
    <w:rsid w:val="00622B23"/>
    <w:rsid w:val="00622C70"/>
    <w:rsid w:val="006242B2"/>
    <w:rsid w:val="00624429"/>
    <w:rsid w:val="006258E8"/>
    <w:rsid w:val="00625CA5"/>
    <w:rsid w:val="00627C8F"/>
    <w:rsid w:val="00630C61"/>
    <w:rsid w:val="00632AA5"/>
    <w:rsid w:val="0063320E"/>
    <w:rsid w:val="006334D2"/>
    <w:rsid w:val="00633EF6"/>
    <w:rsid w:val="0063476F"/>
    <w:rsid w:val="00634AFC"/>
    <w:rsid w:val="00634FDC"/>
    <w:rsid w:val="00636729"/>
    <w:rsid w:val="00636BBB"/>
    <w:rsid w:val="00640E8F"/>
    <w:rsid w:val="00641327"/>
    <w:rsid w:val="0064482C"/>
    <w:rsid w:val="00645191"/>
    <w:rsid w:val="00645604"/>
    <w:rsid w:val="0064705E"/>
    <w:rsid w:val="00647F5C"/>
    <w:rsid w:val="0065253E"/>
    <w:rsid w:val="00653653"/>
    <w:rsid w:val="0065436F"/>
    <w:rsid w:val="00654701"/>
    <w:rsid w:val="00655A71"/>
    <w:rsid w:val="0066039E"/>
    <w:rsid w:val="00660F07"/>
    <w:rsid w:val="0066131A"/>
    <w:rsid w:val="00666728"/>
    <w:rsid w:val="00666AA1"/>
    <w:rsid w:val="00666FDF"/>
    <w:rsid w:val="00667DAF"/>
    <w:rsid w:val="00667FE2"/>
    <w:rsid w:val="006708FE"/>
    <w:rsid w:val="00670CFC"/>
    <w:rsid w:val="0067196A"/>
    <w:rsid w:val="006729DC"/>
    <w:rsid w:val="00672ED5"/>
    <w:rsid w:val="006741E1"/>
    <w:rsid w:val="00674680"/>
    <w:rsid w:val="006764F8"/>
    <w:rsid w:val="006769A8"/>
    <w:rsid w:val="00680D6F"/>
    <w:rsid w:val="0068130A"/>
    <w:rsid w:val="00682722"/>
    <w:rsid w:val="006831BC"/>
    <w:rsid w:val="00683C15"/>
    <w:rsid w:val="00684634"/>
    <w:rsid w:val="006853BB"/>
    <w:rsid w:val="006860A6"/>
    <w:rsid w:val="006864D6"/>
    <w:rsid w:val="006866ED"/>
    <w:rsid w:val="006918BB"/>
    <w:rsid w:val="00691EF7"/>
    <w:rsid w:val="006922BF"/>
    <w:rsid w:val="006941DF"/>
    <w:rsid w:val="006941F3"/>
    <w:rsid w:val="0069677F"/>
    <w:rsid w:val="006A0B2B"/>
    <w:rsid w:val="006A1C2A"/>
    <w:rsid w:val="006A2160"/>
    <w:rsid w:val="006A3824"/>
    <w:rsid w:val="006A3A23"/>
    <w:rsid w:val="006A3CEE"/>
    <w:rsid w:val="006A57E8"/>
    <w:rsid w:val="006A5F38"/>
    <w:rsid w:val="006B03EF"/>
    <w:rsid w:val="006B0FDC"/>
    <w:rsid w:val="006B27BA"/>
    <w:rsid w:val="006B4ABD"/>
    <w:rsid w:val="006B4D7E"/>
    <w:rsid w:val="006B669B"/>
    <w:rsid w:val="006B677D"/>
    <w:rsid w:val="006B7966"/>
    <w:rsid w:val="006B7FCC"/>
    <w:rsid w:val="006C093F"/>
    <w:rsid w:val="006C0F15"/>
    <w:rsid w:val="006C1EDB"/>
    <w:rsid w:val="006C234C"/>
    <w:rsid w:val="006C2EBA"/>
    <w:rsid w:val="006C4CDF"/>
    <w:rsid w:val="006C50C7"/>
    <w:rsid w:val="006C5EB5"/>
    <w:rsid w:val="006C61F3"/>
    <w:rsid w:val="006C6325"/>
    <w:rsid w:val="006C661D"/>
    <w:rsid w:val="006D24DA"/>
    <w:rsid w:val="006D2B57"/>
    <w:rsid w:val="006D3729"/>
    <w:rsid w:val="006D3774"/>
    <w:rsid w:val="006D3FC0"/>
    <w:rsid w:val="006D5AAE"/>
    <w:rsid w:val="006E03DA"/>
    <w:rsid w:val="006E0942"/>
    <w:rsid w:val="006E1086"/>
    <w:rsid w:val="006E3226"/>
    <w:rsid w:val="006E3502"/>
    <w:rsid w:val="006E3998"/>
    <w:rsid w:val="006E4472"/>
    <w:rsid w:val="006E6679"/>
    <w:rsid w:val="006E71D1"/>
    <w:rsid w:val="006E72E6"/>
    <w:rsid w:val="006E7D4C"/>
    <w:rsid w:val="006F0B4E"/>
    <w:rsid w:val="006F22F9"/>
    <w:rsid w:val="006F3D9B"/>
    <w:rsid w:val="006F3DC3"/>
    <w:rsid w:val="006F3EAD"/>
    <w:rsid w:val="006F4C9F"/>
    <w:rsid w:val="006F58EA"/>
    <w:rsid w:val="00701354"/>
    <w:rsid w:val="00701B4C"/>
    <w:rsid w:val="00701DCA"/>
    <w:rsid w:val="00701E03"/>
    <w:rsid w:val="00702176"/>
    <w:rsid w:val="00705268"/>
    <w:rsid w:val="00705FB0"/>
    <w:rsid w:val="0070708B"/>
    <w:rsid w:val="007072D3"/>
    <w:rsid w:val="00707A50"/>
    <w:rsid w:val="00707EFE"/>
    <w:rsid w:val="00710479"/>
    <w:rsid w:val="00710783"/>
    <w:rsid w:val="007115F2"/>
    <w:rsid w:val="00711635"/>
    <w:rsid w:val="00712B71"/>
    <w:rsid w:val="007153E9"/>
    <w:rsid w:val="00716AAB"/>
    <w:rsid w:val="00716D86"/>
    <w:rsid w:val="00717655"/>
    <w:rsid w:val="00717EE5"/>
    <w:rsid w:val="00720FF6"/>
    <w:rsid w:val="00726A79"/>
    <w:rsid w:val="00727392"/>
    <w:rsid w:val="00731E3B"/>
    <w:rsid w:val="00732AE4"/>
    <w:rsid w:val="00732AF4"/>
    <w:rsid w:val="00733A4D"/>
    <w:rsid w:val="00735882"/>
    <w:rsid w:val="00736A3E"/>
    <w:rsid w:val="0073716F"/>
    <w:rsid w:val="007401E1"/>
    <w:rsid w:val="00740944"/>
    <w:rsid w:val="00740CA9"/>
    <w:rsid w:val="007415C5"/>
    <w:rsid w:val="0074324D"/>
    <w:rsid w:val="00743425"/>
    <w:rsid w:val="00744765"/>
    <w:rsid w:val="00744F27"/>
    <w:rsid w:val="00747023"/>
    <w:rsid w:val="00747D7D"/>
    <w:rsid w:val="007507BA"/>
    <w:rsid w:val="0075373D"/>
    <w:rsid w:val="00754870"/>
    <w:rsid w:val="00755405"/>
    <w:rsid w:val="00756973"/>
    <w:rsid w:val="00756A8F"/>
    <w:rsid w:val="00757D12"/>
    <w:rsid w:val="0076019B"/>
    <w:rsid w:val="00760F80"/>
    <w:rsid w:val="007626AE"/>
    <w:rsid w:val="0076429F"/>
    <w:rsid w:val="007642A2"/>
    <w:rsid w:val="0076654C"/>
    <w:rsid w:val="00766696"/>
    <w:rsid w:val="00770040"/>
    <w:rsid w:val="0077005B"/>
    <w:rsid w:val="00770A1C"/>
    <w:rsid w:val="00770C78"/>
    <w:rsid w:val="00770EFF"/>
    <w:rsid w:val="007712BE"/>
    <w:rsid w:val="007712CD"/>
    <w:rsid w:val="00773678"/>
    <w:rsid w:val="00773784"/>
    <w:rsid w:val="00773C08"/>
    <w:rsid w:val="00774E36"/>
    <w:rsid w:val="0077544F"/>
    <w:rsid w:val="00775659"/>
    <w:rsid w:val="007765CD"/>
    <w:rsid w:val="007767D5"/>
    <w:rsid w:val="00776B99"/>
    <w:rsid w:val="007778C6"/>
    <w:rsid w:val="0077799D"/>
    <w:rsid w:val="00783060"/>
    <w:rsid w:val="00783C89"/>
    <w:rsid w:val="00784205"/>
    <w:rsid w:val="00784707"/>
    <w:rsid w:val="00787599"/>
    <w:rsid w:val="00787644"/>
    <w:rsid w:val="00787F7F"/>
    <w:rsid w:val="007909DA"/>
    <w:rsid w:val="007920B3"/>
    <w:rsid w:val="0079263D"/>
    <w:rsid w:val="00794F2E"/>
    <w:rsid w:val="00795DEC"/>
    <w:rsid w:val="00797D28"/>
    <w:rsid w:val="00797E07"/>
    <w:rsid w:val="007A0754"/>
    <w:rsid w:val="007A2651"/>
    <w:rsid w:val="007A2CA9"/>
    <w:rsid w:val="007A2DD0"/>
    <w:rsid w:val="007A4743"/>
    <w:rsid w:val="007A7C1B"/>
    <w:rsid w:val="007B25BC"/>
    <w:rsid w:val="007B2A47"/>
    <w:rsid w:val="007B2D2A"/>
    <w:rsid w:val="007B3B7E"/>
    <w:rsid w:val="007B51B0"/>
    <w:rsid w:val="007B5419"/>
    <w:rsid w:val="007B7A12"/>
    <w:rsid w:val="007C01A1"/>
    <w:rsid w:val="007C0E1A"/>
    <w:rsid w:val="007C23AD"/>
    <w:rsid w:val="007C2B22"/>
    <w:rsid w:val="007C4E64"/>
    <w:rsid w:val="007C555D"/>
    <w:rsid w:val="007C6571"/>
    <w:rsid w:val="007C7030"/>
    <w:rsid w:val="007C76FC"/>
    <w:rsid w:val="007C7F19"/>
    <w:rsid w:val="007D00EF"/>
    <w:rsid w:val="007D060A"/>
    <w:rsid w:val="007D0F76"/>
    <w:rsid w:val="007D1AB7"/>
    <w:rsid w:val="007D1C1C"/>
    <w:rsid w:val="007D2B11"/>
    <w:rsid w:val="007D3426"/>
    <w:rsid w:val="007D39B7"/>
    <w:rsid w:val="007D42F5"/>
    <w:rsid w:val="007D4AD7"/>
    <w:rsid w:val="007D4E5E"/>
    <w:rsid w:val="007D6051"/>
    <w:rsid w:val="007D76B1"/>
    <w:rsid w:val="007E03F5"/>
    <w:rsid w:val="007E0C74"/>
    <w:rsid w:val="007E0EAC"/>
    <w:rsid w:val="007E10F9"/>
    <w:rsid w:val="007E244E"/>
    <w:rsid w:val="007E3289"/>
    <w:rsid w:val="007E330B"/>
    <w:rsid w:val="007E65D9"/>
    <w:rsid w:val="007E68E3"/>
    <w:rsid w:val="007E7D23"/>
    <w:rsid w:val="007F014B"/>
    <w:rsid w:val="007F0849"/>
    <w:rsid w:val="007F1A0E"/>
    <w:rsid w:val="007F1C4F"/>
    <w:rsid w:val="007F1E76"/>
    <w:rsid w:val="007F1F32"/>
    <w:rsid w:val="007F2639"/>
    <w:rsid w:val="007F27F8"/>
    <w:rsid w:val="007F2F78"/>
    <w:rsid w:val="007F343B"/>
    <w:rsid w:val="007F34F3"/>
    <w:rsid w:val="007F45B4"/>
    <w:rsid w:val="007F531B"/>
    <w:rsid w:val="007F5608"/>
    <w:rsid w:val="007F5ADA"/>
    <w:rsid w:val="007F67B3"/>
    <w:rsid w:val="007F7490"/>
    <w:rsid w:val="007F77F3"/>
    <w:rsid w:val="007F7F6D"/>
    <w:rsid w:val="008002BA"/>
    <w:rsid w:val="0080069D"/>
    <w:rsid w:val="008016C0"/>
    <w:rsid w:val="008024AE"/>
    <w:rsid w:val="008034EA"/>
    <w:rsid w:val="00803786"/>
    <w:rsid w:val="00803D93"/>
    <w:rsid w:val="008041D6"/>
    <w:rsid w:val="00806809"/>
    <w:rsid w:val="008078F3"/>
    <w:rsid w:val="008079BC"/>
    <w:rsid w:val="00810890"/>
    <w:rsid w:val="0081184E"/>
    <w:rsid w:val="008122C9"/>
    <w:rsid w:val="0081321E"/>
    <w:rsid w:val="00815180"/>
    <w:rsid w:val="0081584F"/>
    <w:rsid w:val="00815ECF"/>
    <w:rsid w:val="008162BC"/>
    <w:rsid w:val="008172E3"/>
    <w:rsid w:val="00817BDC"/>
    <w:rsid w:val="00817C67"/>
    <w:rsid w:val="0082089B"/>
    <w:rsid w:val="00821F1F"/>
    <w:rsid w:val="008261B7"/>
    <w:rsid w:val="00827510"/>
    <w:rsid w:val="0082783C"/>
    <w:rsid w:val="00827854"/>
    <w:rsid w:val="00827CE2"/>
    <w:rsid w:val="008318D5"/>
    <w:rsid w:val="00832220"/>
    <w:rsid w:val="00833914"/>
    <w:rsid w:val="00835572"/>
    <w:rsid w:val="008378A6"/>
    <w:rsid w:val="008400D5"/>
    <w:rsid w:val="00841DA0"/>
    <w:rsid w:val="00842E85"/>
    <w:rsid w:val="00842E9F"/>
    <w:rsid w:val="00843485"/>
    <w:rsid w:val="008436FA"/>
    <w:rsid w:val="00845261"/>
    <w:rsid w:val="008462E0"/>
    <w:rsid w:val="00847257"/>
    <w:rsid w:val="008474BC"/>
    <w:rsid w:val="008477E4"/>
    <w:rsid w:val="008477FA"/>
    <w:rsid w:val="00847A24"/>
    <w:rsid w:val="00847F88"/>
    <w:rsid w:val="00851130"/>
    <w:rsid w:val="00852638"/>
    <w:rsid w:val="0085446D"/>
    <w:rsid w:val="0085674F"/>
    <w:rsid w:val="008600D7"/>
    <w:rsid w:val="008601B8"/>
    <w:rsid w:val="008605DD"/>
    <w:rsid w:val="0086160A"/>
    <w:rsid w:val="008620C5"/>
    <w:rsid w:val="00862147"/>
    <w:rsid w:val="00862FE4"/>
    <w:rsid w:val="00866D53"/>
    <w:rsid w:val="00867801"/>
    <w:rsid w:val="008709DA"/>
    <w:rsid w:val="00870DB9"/>
    <w:rsid w:val="00870EAF"/>
    <w:rsid w:val="0087390E"/>
    <w:rsid w:val="00875510"/>
    <w:rsid w:val="00875CD7"/>
    <w:rsid w:val="00877282"/>
    <w:rsid w:val="00877738"/>
    <w:rsid w:val="008815F4"/>
    <w:rsid w:val="00882369"/>
    <w:rsid w:val="008823B0"/>
    <w:rsid w:val="00882938"/>
    <w:rsid w:val="00882AF1"/>
    <w:rsid w:val="00883118"/>
    <w:rsid w:val="00883744"/>
    <w:rsid w:val="008839B7"/>
    <w:rsid w:val="008847F8"/>
    <w:rsid w:val="0088498F"/>
    <w:rsid w:val="008849B8"/>
    <w:rsid w:val="00885327"/>
    <w:rsid w:val="00885B81"/>
    <w:rsid w:val="00885E19"/>
    <w:rsid w:val="008869AE"/>
    <w:rsid w:val="00887CE4"/>
    <w:rsid w:val="008900CA"/>
    <w:rsid w:val="00890518"/>
    <w:rsid w:val="00890644"/>
    <w:rsid w:val="00890BBC"/>
    <w:rsid w:val="008941CC"/>
    <w:rsid w:val="008957C1"/>
    <w:rsid w:val="008958DF"/>
    <w:rsid w:val="00895D6D"/>
    <w:rsid w:val="00897766"/>
    <w:rsid w:val="008977E0"/>
    <w:rsid w:val="008A046A"/>
    <w:rsid w:val="008A068C"/>
    <w:rsid w:val="008A0B48"/>
    <w:rsid w:val="008A1351"/>
    <w:rsid w:val="008A1873"/>
    <w:rsid w:val="008A227A"/>
    <w:rsid w:val="008A2471"/>
    <w:rsid w:val="008A27F9"/>
    <w:rsid w:val="008A2B2E"/>
    <w:rsid w:val="008A362B"/>
    <w:rsid w:val="008A6683"/>
    <w:rsid w:val="008A788C"/>
    <w:rsid w:val="008B093A"/>
    <w:rsid w:val="008B0DCE"/>
    <w:rsid w:val="008B20E5"/>
    <w:rsid w:val="008B26FE"/>
    <w:rsid w:val="008B3F9B"/>
    <w:rsid w:val="008B46AD"/>
    <w:rsid w:val="008B4A2B"/>
    <w:rsid w:val="008B5C6A"/>
    <w:rsid w:val="008B6276"/>
    <w:rsid w:val="008B653D"/>
    <w:rsid w:val="008B66A1"/>
    <w:rsid w:val="008C024E"/>
    <w:rsid w:val="008C0E89"/>
    <w:rsid w:val="008C1766"/>
    <w:rsid w:val="008C2592"/>
    <w:rsid w:val="008C25FA"/>
    <w:rsid w:val="008C2979"/>
    <w:rsid w:val="008C2E4F"/>
    <w:rsid w:val="008C3FA3"/>
    <w:rsid w:val="008C4177"/>
    <w:rsid w:val="008C6369"/>
    <w:rsid w:val="008C6631"/>
    <w:rsid w:val="008C6B54"/>
    <w:rsid w:val="008C7227"/>
    <w:rsid w:val="008D2165"/>
    <w:rsid w:val="008D366F"/>
    <w:rsid w:val="008D392A"/>
    <w:rsid w:val="008D3BBC"/>
    <w:rsid w:val="008D7C09"/>
    <w:rsid w:val="008D7E8B"/>
    <w:rsid w:val="008E0144"/>
    <w:rsid w:val="008E0595"/>
    <w:rsid w:val="008E0C42"/>
    <w:rsid w:val="008E1728"/>
    <w:rsid w:val="008E1CAA"/>
    <w:rsid w:val="008E3EE6"/>
    <w:rsid w:val="008E56B5"/>
    <w:rsid w:val="008E5A40"/>
    <w:rsid w:val="008F03B0"/>
    <w:rsid w:val="008F055D"/>
    <w:rsid w:val="008F18D9"/>
    <w:rsid w:val="008F1D68"/>
    <w:rsid w:val="008F3969"/>
    <w:rsid w:val="008F3ABA"/>
    <w:rsid w:val="008F4583"/>
    <w:rsid w:val="008F48AE"/>
    <w:rsid w:val="008F6BEB"/>
    <w:rsid w:val="008F6E16"/>
    <w:rsid w:val="008F73A0"/>
    <w:rsid w:val="008F73E1"/>
    <w:rsid w:val="0090002C"/>
    <w:rsid w:val="00900CCE"/>
    <w:rsid w:val="00901770"/>
    <w:rsid w:val="00901FB9"/>
    <w:rsid w:val="009026BC"/>
    <w:rsid w:val="009047F5"/>
    <w:rsid w:val="00907126"/>
    <w:rsid w:val="00907334"/>
    <w:rsid w:val="00907A7C"/>
    <w:rsid w:val="00910296"/>
    <w:rsid w:val="0091356A"/>
    <w:rsid w:val="00914BE9"/>
    <w:rsid w:val="00915C99"/>
    <w:rsid w:val="00917789"/>
    <w:rsid w:val="00917CC9"/>
    <w:rsid w:val="00921988"/>
    <w:rsid w:val="00922AB8"/>
    <w:rsid w:val="00922B4B"/>
    <w:rsid w:val="00922DC1"/>
    <w:rsid w:val="009238B0"/>
    <w:rsid w:val="0092432B"/>
    <w:rsid w:val="0092470E"/>
    <w:rsid w:val="0092534A"/>
    <w:rsid w:val="009261C4"/>
    <w:rsid w:val="00926384"/>
    <w:rsid w:val="00926850"/>
    <w:rsid w:val="009274C2"/>
    <w:rsid w:val="009279F4"/>
    <w:rsid w:val="00931165"/>
    <w:rsid w:val="0093178F"/>
    <w:rsid w:val="0093403F"/>
    <w:rsid w:val="009341AF"/>
    <w:rsid w:val="009346D7"/>
    <w:rsid w:val="00934ECD"/>
    <w:rsid w:val="00935714"/>
    <w:rsid w:val="00936A32"/>
    <w:rsid w:val="00941524"/>
    <w:rsid w:val="00941AC9"/>
    <w:rsid w:val="00944D1D"/>
    <w:rsid w:val="00945713"/>
    <w:rsid w:val="00945DCC"/>
    <w:rsid w:val="009467F5"/>
    <w:rsid w:val="0094762F"/>
    <w:rsid w:val="00947E5E"/>
    <w:rsid w:val="00950C3E"/>
    <w:rsid w:val="00951EFD"/>
    <w:rsid w:val="00953B1D"/>
    <w:rsid w:val="00954CF7"/>
    <w:rsid w:val="00955467"/>
    <w:rsid w:val="00955D33"/>
    <w:rsid w:val="00956314"/>
    <w:rsid w:val="00957994"/>
    <w:rsid w:val="00962DD2"/>
    <w:rsid w:val="00962F56"/>
    <w:rsid w:val="00963253"/>
    <w:rsid w:val="00966028"/>
    <w:rsid w:val="009661C4"/>
    <w:rsid w:val="009676F4"/>
    <w:rsid w:val="009714D8"/>
    <w:rsid w:val="00971EEE"/>
    <w:rsid w:val="00972CE7"/>
    <w:rsid w:val="0097318C"/>
    <w:rsid w:val="00973F12"/>
    <w:rsid w:val="00974748"/>
    <w:rsid w:val="00974F7E"/>
    <w:rsid w:val="009758F5"/>
    <w:rsid w:val="00975C12"/>
    <w:rsid w:val="0097632F"/>
    <w:rsid w:val="0097662C"/>
    <w:rsid w:val="00976726"/>
    <w:rsid w:val="00980BFF"/>
    <w:rsid w:val="00981FA6"/>
    <w:rsid w:val="00982595"/>
    <w:rsid w:val="00983030"/>
    <w:rsid w:val="0098473C"/>
    <w:rsid w:val="00984DD6"/>
    <w:rsid w:val="00984FE5"/>
    <w:rsid w:val="00985537"/>
    <w:rsid w:val="00986567"/>
    <w:rsid w:val="00986A55"/>
    <w:rsid w:val="00987012"/>
    <w:rsid w:val="00987F03"/>
    <w:rsid w:val="00990D5F"/>
    <w:rsid w:val="00991261"/>
    <w:rsid w:val="009914B2"/>
    <w:rsid w:val="00992B36"/>
    <w:rsid w:val="009935D3"/>
    <w:rsid w:val="00994317"/>
    <w:rsid w:val="00995DB4"/>
    <w:rsid w:val="009971FE"/>
    <w:rsid w:val="009A01F2"/>
    <w:rsid w:val="009A0CF7"/>
    <w:rsid w:val="009A2229"/>
    <w:rsid w:val="009A2781"/>
    <w:rsid w:val="009A2800"/>
    <w:rsid w:val="009A2ACD"/>
    <w:rsid w:val="009A3B6A"/>
    <w:rsid w:val="009A426E"/>
    <w:rsid w:val="009A4919"/>
    <w:rsid w:val="009A4AB6"/>
    <w:rsid w:val="009A6E55"/>
    <w:rsid w:val="009A725B"/>
    <w:rsid w:val="009A7B4C"/>
    <w:rsid w:val="009B01F6"/>
    <w:rsid w:val="009B0326"/>
    <w:rsid w:val="009B3627"/>
    <w:rsid w:val="009B44EA"/>
    <w:rsid w:val="009B4B72"/>
    <w:rsid w:val="009B5524"/>
    <w:rsid w:val="009B6610"/>
    <w:rsid w:val="009B675D"/>
    <w:rsid w:val="009B6DAD"/>
    <w:rsid w:val="009B7EF5"/>
    <w:rsid w:val="009C044E"/>
    <w:rsid w:val="009C3C05"/>
    <w:rsid w:val="009C51D4"/>
    <w:rsid w:val="009C6DA7"/>
    <w:rsid w:val="009D3362"/>
    <w:rsid w:val="009D342B"/>
    <w:rsid w:val="009D5A35"/>
    <w:rsid w:val="009D74A5"/>
    <w:rsid w:val="009D7DF8"/>
    <w:rsid w:val="009D7FEE"/>
    <w:rsid w:val="009E0534"/>
    <w:rsid w:val="009E0CD1"/>
    <w:rsid w:val="009E1E82"/>
    <w:rsid w:val="009E2B55"/>
    <w:rsid w:val="009E359C"/>
    <w:rsid w:val="009E5C80"/>
    <w:rsid w:val="009E5D80"/>
    <w:rsid w:val="009E5DAB"/>
    <w:rsid w:val="009E6DD9"/>
    <w:rsid w:val="009E786D"/>
    <w:rsid w:val="009F0F9D"/>
    <w:rsid w:val="009F1E3C"/>
    <w:rsid w:val="009F4345"/>
    <w:rsid w:val="009F4C29"/>
    <w:rsid w:val="009F5492"/>
    <w:rsid w:val="009F5E44"/>
    <w:rsid w:val="009F5E58"/>
    <w:rsid w:val="009F6352"/>
    <w:rsid w:val="009F6CB9"/>
    <w:rsid w:val="009F72D8"/>
    <w:rsid w:val="00A0088B"/>
    <w:rsid w:val="00A01FCA"/>
    <w:rsid w:val="00A042E3"/>
    <w:rsid w:val="00A05481"/>
    <w:rsid w:val="00A05838"/>
    <w:rsid w:val="00A06E42"/>
    <w:rsid w:val="00A07DAC"/>
    <w:rsid w:val="00A104EC"/>
    <w:rsid w:val="00A1076B"/>
    <w:rsid w:val="00A10C76"/>
    <w:rsid w:val="00A127CD"/>
    <w:rsid w:val="00A12FDD"/>
    <w:rsid w:val="00A14C7D"/>
    <w:rsid w:val="00A15AEB"/>
    <w:rsid w:val="00A165AA"/>
    <w:rsid w:val="00A16EA6"/>
    <w:rsid w:val="00A177A6"/>
    <w:rsid w:val="00A17CF8"/>
    <w:rsid w:val="00A20182"/>
    <w:rsid w:val="00A2035B"/>
    <w:rsid w:val="00A20B35"/>
    <w:rsid w:val="00A20DC4"/>
    <w:rsid w:val="00A21FFA"/>
    <w:rsid w:val="00A220C6"/>
    <w:rsid w:val="00A22ED9"/>
    <w:rsid w:val="00A23746"/>
    <w:rsid w:val="00A24BC2"/>
    <w:rsid w:val="00A26DF3"/>
    <w:rsid w:val="00A2791D"/>
    <w:rsid w:val="00A30192"/>
    <w:rsid w:val="00A328DC"/>
    <w:rsid w:val="00A40840"/>
    <w:rsid w:val="00A4288F"/>
    <w:rsid w:val="00A4384C"/>
    <w:rsid w:val="00A44C86"/>
    <w:rsid w:val="00A46384"/>
    <w:rsid w:val="00A47501"/>
    <w:rsid w:val="00A504DB"/>
    <w:rsid w:val="00A508CD"/>
    <w:rsid w:val="00A51B9D"/>
    <w:rsid w:val="00A51C5A"/>
    <w:rsid w:val="00A53859"/>
    <w:rsid w:val="00A56093"/>
    <w:rsid w:val="00A56CBF"/>
    <w:rsid w:val="00A57245"/>
    <w:rsid w:val="00A605E2"/>
    <w:rsid w:val="00A60972"/>
    <w:rsid w:val="00A60AD9"/>
    <w:rsid w:val="00A61CAB"/>
    <w:rsid w:val="00A61F62"/>
    <w:rsid w:val="00A62406"/>
    <w:rsid w:val="00A63140"/>
    <w:rsid w:val="00A637C1"/>
    <w:rsid w:val="00A638DB"/>
    <w:rsid w:val="00A65DEB"/>
    <w:rsid w:val="00A66119"/>
    <w:rsid w:val="00A6658E"/>
    <w:rsid w:val="00A70F34"/>
    <w:rsid w:val="00A72349"/>
    <w:rsid w:val="00A7286F"/>
    <w:rsid w:val="00A73DDB"/>
    <w:rsid w:val="00A745D4"/>
    <w:rsid w:val="00A747C9"/>
    <w:rsid w:val="00A749FE"/>
    <w:rsid w:val="00A74BA8"/>
    <w:rsid w:val="00A7599B"/>
    <w:rsid w:val="00A806B4"/>
    <w:rsid w:val="00A83BAD"/>
    <w:rsid w:val="00A84BCB"/>
    <w:rsid w:val="00A855CF"/>
    <w:rsid w:val="00A863A8"/>
    <w:rsid w:val="00A86A33"/>
    <w:rsid w:val="00A86C8D"/>
    <w:rsid w:val="00A87DB5"/>
    <w:rsid w:val="00A907FA"/>
    <w:rsid w:val="00A915C8"/>
    <w:rsid w:val="00A917BA"/>
    <w:rsid w:val="00A9308B"/>
    <w:rsid w:val="00A93D49"/>
    <w:rsid w:val="00A93E3E"/>
    <w:rsid w:val="00A946AD"/>
    <w:rsid w:val="00A94F75"/>
    <w:rsid w:val="00A95309"/>
    <w:rsid w:val="00A96CF3"/>
    <w:rsid w:val="00AA0023"/>
    <w:rsid w:val="00AA0B64"/>
    <w:rsid w:val="00AA1420"/>
    <w:rsid w:val="00AA2074"/>
    <w:rsid w:val="00AA23C8"/>
    <w:rsid w:val="00AA451D"/>
    <w:rsid w:val="00AA4672"/>
    <w:rsid w:val="00AA4B0E"/>
    <w:rsid w:val="00AA4F11"/>
    <w:rsid w:val="00AA5507"/>
    <w:rsid w:val="00AA5ACE"/>
    <w:rsid w:val="00AA67E9"/>
    <w:rsid w:val="00AA7DA8"/>
    <w:rsid w:val="00AB070E"/>
    <w:rsid w:val="00AB1037"/>
    <w:rsid w:val="00AB167F"/>
    <w:rsid w:val="00AB2288"/>
    <w:rsid w:val="00AB26A2"/>
    <w:rsid w:val="00AB2FEC"/>
    <w:rsid w:val="00AB3017"/>
    <w:rsid w:val="00AB3340"/>
    <w:rsid w:val="00AB42B4"/>
    <w:rsid w:val="00AB4716"/>
    <w:rsid w:val="00AB5809"/>
    <w:rsid w:val="00AB5C40"/>
    <w:rsid w:val="00AB70B7"/>
    <w:rsid w:val="00AC0702"/>
    <w:rsid w:val="00AC0C85"/>
    <w:rsid w:val="00AC1A5A"/>
    <w:rsid w:val="00AC2E22"/>
    <w:rsid w:val="00AC494A"/>
    <w:rsid w:val="00AC4AA9"/>
    <w:rsid w:val="00AC5C07"/>
    <w:rsid w:val="00AC615F"/>
    <w:rsid w:val="00AC61A2"/>
    <w:rsid w:val="00AC61CC"/>
    <w:rsid w:val="00AC6C2C"/>
    <w:rsid w:val="00AC7CE3"/>
    <w:rsid w:val="00AD0207"/>
    <w:rsid w:val="00AD0283"/>
    <w:rsid w:val="00AD39B9"/>
    <w:rsid w:val="00AD3D4B"/>
    <w:rsid w:val="00AD3FF1"/>
    <w:rsid w:val="00AD4E4C"/>
    <w:rsid w:val="00AD6CEF"/>
    <w:rsid w:val="00AD6F34"/>
    <w:rsid w:val="00AD72BD"/>
    <w:rsid w:val="00AD7748"/>
    <w:rsid w:val="00AE01AD"/>
    <w:rsid w:val="00AE071E"/>
    <w:rsid w:val="00AE0DA7"/>
    <w:rsid w:val="00AE1028"/>
    <w:rsid w:val="00AE271C"/>
    <w:rsid w:val="00AE3263"/>
    <w:rsid w:val="00AE3874"/>
    <w:rsid w:val="00AE3C7D"/>
    <w:rsid w:val="00AE5258"/>
    <w:rsid w:val="00AE76A0"/>
    <w:rsid w:val="00AF1A62"/>
    <w:rsid w:val="00AF27E8"/>
    <w:rsid w:val="00AF28C8"/>
    <w:rsid w:val="00AF2CAE"/>
    <w:rsid w:val="00AF365E"/>
    <w:rsid w:val="00AF396C"/>
    <w:rsid w:val="00AF5787"/>
    <w:rsid w:val="00AF6CAA"/>
    <w:rsid w:val="00AF6E66"/>
    <w:rsid w:val="00AF6EAA"/>
    <w:rsid w:val="00AF6F10"/>
    <w:rsid w:val="00B0008D"/>
    <w:rsid w:val="00B01622"/>
    <w:rsid w:val="00B0266C"/>
    <w:rsid w:val="00B026C7"/>
    <w:rsid w:val="00B03E2D"/>
    <w:rsid w:val="00B050FD"/>
    <w:rsid w:val="00B05266"/>
    <w:rsid w:val="00B05EF7"/>
    <w:rsid w:val="00B060B0"/>
    <w:rsid w:val="00B0733D"/>
    <w:rsid w:val="00B10E99"/>
    <w:rsid w:val="00B126AF"/>
    <w:rsid w:val="00B14479"/>
    <w:rsid w:val="00B1521A"/>
    <w:rsid w:val="00B1536A"/>
    <w:rsid w:val="00B1663B"/>
    <w:rsid w:val="00B169B1"/>
    <w:rsid w:val="00B17F90"/>
    <w:rsid w:val="00B20DED"/>
    <w:rsid w:val="00B2225F"/>
    <w:rsid w:val="00B225ED"/>
    <w:rsid w:val="00B22D94"/>
    <w:rsid w:val="00B23D1F"/>
    <w:rsid w:val="00B24EB8"/>
    <w:rsid w:val="00B25239"/>
    <w:rsid w:val="00B27F6E"/>
    <w:rsid w:val="00B30EA3"/>
    <w:rsid w:val="00B30F5B"/>
    <w:rsid w:val="00B312B5"/>
    <w:rsid w:val="00B3234E"/>
    <w:rsid w:val="00B347C0"/>
    <w:rsid w:val="00B356C6"/>
    <w:rsid w:val="00B35723"/>
    <w:rsid w:val="00B35A77"/>
    <w:rsid w:val="00B35BCA"/>
    <w:rsid w:val="00B364D2"/>
    <w:rsid w:val="00B374CE"/>
    <w:rsid w:val="00B37CFF"/>
    <w:rsid w:val="00B37EDC"/>
    <w:rsid w:val="00B410B1"/>
    <w:rsid w:val="00B4184D"/>
    <w:rsid w:val="00B4350E"/>
    <w:rsid w:val="00B43FFE"/>
    <w:rsid w:val="00B44AE0"/>
    <w:rsid w:val="00B44D76"/>
    <w:rsid w:val="00B4526B"/>
    <w:rsid w:val="00B47533"/>
    <w:rsid w:val="00B47A90"/>
    <w:rsid w:val="00B47AE7"/>
    <w:rsid w:val="00B47F68"/>
    <w:rsid w:val="00B50D18"/>
    <w:rsid w:val="00B537B1"/>
    <w:rsid w:val="00B5435A"/>
    <w:rsid w:val="00B5474D"/>
    <w:rsid w:val="00B5491D"/>
    <w:rsid w:val="00B55056"/>
    <w:rsid w:val="00B5595C"/>
    <w:rsid w:val="00B562D6"/>
    <w:rsid w:val="00B566A3"/>
    <w:rsid w:val="00B567EC"/>
    <w:rsid w:val="00B60173"/>
    <w:rsid w:val="00B61021"/>
    <w:rsid w:val="00B61A4B"/>
    <w:rsid w:val="00B64A29"/>
    <w:rsid w:val="00B64D06"/>
    <w:rsid w:val="00B66E2A"/>
    <w:rsid w:val="00B671B9"/>
    <w:rsid w:val="00B672C5"/>
    <w:rsid w:val="00B70B8C"/>
    <w:rsid w:val="00B7141B"/>
    <w:rsid w:val="00B716E3"/>
    <w:rsid w:val="00B7174E"/>
    <w:rsid w:val="00B72345"/>
    <w:rsid w:val="00B72BBC"/>
    <w:rsid w:val="00B72FF8"/>
    <w:rsid w:val="00B758D0"/>
    <w:rsid w:val="00B75E18"/>
    <w:rsid w:val="00B76C2E"/>
    <w:rsid w:val="00B81FF9"/>
    <w:rsid w:val="00B8249B"/>
    <w:rsid w:val="00B83179"/>
    <w:rsid w:val="00B847B9"/>
    <w:rsid w:val="00B86911"/>
    <w:rsid w:val="00B87263"/>
    <w:rsid w:val="00B9090C"/>
    <w:rsid w:val="00B93246"/>
    <w:rsid w:val="00B934E0"/>
    <w:rsid w:val="00B9472F"/>
    <w:rsid w:val="00B95041"/>
    <w:rsid w:val="00B952CA"/>
    <w:rsid w:val="00B95666"/>
    <w:rsid w:val="00B959DB"/>
    <w:rsid w:val="00B95A76"/>
    <w:rsid w:val="00B95DAE"/>
    <w:rsid w:val="00B9748A"/>
    <w:rsid w:val="00BA01C9"/>
    <w:rsid w:val="00BA076E"/>
    <w:rsid w:val="00BA0791"/>
    <w:rsid w:val="00BA306F"/>
    <w:rsid w:val="00BA45D0"/>
    <w:rsid w:val="00BA50C8"/>
    <w:rsid w:val="00BA5BDB"/>
    <w:rsid w:val="00BA603C"/>
    <w:rsid w:val="00BA7A18"/>
    <w:rsid w:val="00BB0334"/>
    <w:rsid w:val="00BB25E5"/>
    <w:rsid w:val="00BB2EA1"/>
    <w:rsid w:val="00BB3618"/>
    <w:rsid w:val="00BB3A5E"/>
    <w:rsid w:val="00BB411B"/>
    <w:rsid w:val="00BB53E5"/>
    <w:rsid w:val="00BB5413"/>
    <w:rsid w:val="00BB5E4B"/>
    <w:rsid w:val="00BB67C7"/>
    <w:rsid w:val="00BB6C7C"/>
    <w:rsid w:val="00BB6FC2"/>
    <w:rsid w:val="00BB7413"/>
    <w:rsid w:val="00BC2157"/>
    <w:rsid w:val="00BC235D"/>
    <w:rsid w:val="00BC24D3"/>
    <w:rsid w:val="00BC267E"/>
    <w:rsid w:val="00BC2E31"/>
    <w:rsid w:val="00BC360C"/>
    <w:rsid w:val="00BC3BDD"/>
    <w:rsid w:val="00BC467F"/>
    <w:rsid w:val="00BC5F5D"/>
    <w:rsid w:val="00BC626F"/>
    <w:rsid w:val="00BC68F8"/>
    <w:rsid w:val="00BC73E0"/>
    <w:rsid w:val="00BD04E2"/>
    <w:rsid w:val="00BD0650"/>
    <w:rsid w:val="00BD1F90"/>
    <w:rsid w:val="00BD379F"/>
    <w:rsid w:val="00BD578A"/>
    <w:rsid w:val="00BD6214"/>
    <w:rsid w:val="00BE04AE"/>
    <w:rsid w:val="00BE368D"/>
    <w:rsid w:val="00BE3A7B"/>
    <w:rsid w:val="00BE3D67"/>
    <w:rsid w:val="00BE5AE2"/>
    <w:rsid w:val="00BE5F4B"/>
    <w:rsid w:val="00BE6E52"/>
    <w:rsid w:val="00BE7324"/>
    <w:rsid w:val="00BF059B"/>
    <w:rsid w:val="00BF1E56"/>
    <w:rsid w:val="00BF2AB3"/>
    <w:rsid w:val="00BF31C6"/>
    <w:rsid w:val="00BF338A"/>
    <w:rsid w:val="00BF3E59"/>
    <w:rsid w:val="00BF500B"/>
    <w:rsid w:val="00BF6B47"/>
    <w:rsid w:val="00BF7832"/>
    <w:rsid w:val="00C001CF"/>
    <w:rsid w:val="00C003E5"/>
    <w:rsid w:val="00C00739"/>
    <w:rsid w:val="00C00A0C"/>
    <w:rsid w:val="00C01FD7"/>
    <w:rsid w:val="00C0260B"/>
    <w:rsid w:val="00C048A8"/>
    <w:rsid w:val="00C04E5F"/>
    <w:rsid w:val="00C0597B"/>
    <w:rsid w:val="00C05CEF"/>
    <w:rsid w:val="00C05F36"/>
    <w:rsid w:val="00C0615E"/>
    <w:rsid w:val="00C07D0E"/>
    <w:rsid w:val="00C10474"/>
    <w:rsid w:val="00C1069E"/>
    <w:rsid w:val="00C11A9F"/>
    <w:rsid w:val="00C127E6"/>
    <w:rsid w:val="00C12FD0"/>
    <w:rsid w:val="00C1418A"/>
    <w:rsid w:val="00C14477"/>
    <w:rsid w:val="00C146E9"/>
    <w:rsid w:val="00C17C69"/>
    <w:rsid w:val="00C21849"/>
    <w:rsid w:val="00C22A4A"/>
    <w:rsid w:val="00C24313"/>
    <w:rsid w:val="00C256FB"/>
    <w:rsid w:val="00C26564"/>
    <w:rsid w:val="00C26EE9"/>
    <w:rsid w:val="00C271A8"/>
    <w:rsid w:val="00C300A0"/>
    <w:rsid w:val="00C305B9"/>
    <w:rsid w:val="00C322B4"/>
    <w:rsid w:val="00C3250C"/>
    <w:rsid w:val="00C32A95"/>
    <w:rsid w:val="00C33DF3"/>
    <w:rsid w:val="00C34A8C"/>
    <w:rsid w:val="00C34A9E"/>
    <w:rsid w:val="00C3534C"/>
    <w:rsid w:val="00C35961"/>
    <w:rsid w:val="00C36599"/>
    <w:rsid w:val="00C403D6"/>
    <w:rsid w:val="00C41E43"/>
    <w:rsid w:val="00C44308"/>
    <w:rsid w:val="00C45066"/>
    <w:rsid w:val="00C4577C"/>
    <w:rsid w:val="00C45864"/>
    <w:rsid w:val="00C466F8"/>
    <w:rsid w:val="00C4671C"/>
    <w:rsid w:val="00C4771A"/>
    <w:rsid w:val="00C500FE"/>
    <w:rsid w:val="00C50BD4"/>
    <w:rsid w:val="00C51898"/>
    <w:rsid w:val="00C54269"/>
    <w:rsid w:val="00C54723"/>
    <w:rsid w:val="00C54A71"/>
    <w:rsid w:val="00C54BB9"/>
    <w:rsid w:val="00C554FF"/>
    <w:rsid w:val="00C565C8"/>
    <w:rsid w:val="00C5692B"/>
    <w:rsid w:val="00C579EA"/>
    <w:rsid w:val="00C611D5"/>
    <w:rsid w:val="00C61297"/>
    <w:rsid w:val="00C62AA3"/>
    <w:rsid w:val="00C632EE"/>
    <w:rsid w:val="00C636C3"/>
    <w:rsid w:val="00C64BA9"/>
    <w:rsid w:val="00C6518E"/>
    <w:rsid w:val="00C65CB4"/>
    <w:rsid w:val="00C65FEE"/>
    <w:rsid w:val="00C667F2"/>
    <w:rsid w:val="00C6685F"/>
    <w:rsid w:val="00C6742F"/>
    <w:rsid w:val="00C706BE"/>
    <w:rsid w:val="00C70E4A"/>
    <w:rsid w:val="00C74DCF"/>
    <w:rsid w:val="00C770D4"/>
    <w:rsid w:val="00C8052D"/>
    <w:rsid w:val="00C80848"/>
    <w:rsid w:val="00C8084C"/>
    <w:rsid w:val="00C81F20"/>
    <w:rsid w:val="00C82C63"/>
    <w:rsid w:val="00C8378C"/>
    <w:rsid w:val="00C84420"/>
    <w:rsid w:val="00C85C5C"/>
    <w:rsid w:val="00C85CCD"/>
    <w:rsid w:val="00C879AF"/>
    <w:rsid w:val="00C901E7"/>
    <w:rsid w:val="00C96FCA"/>
    <w:rsid w:val="00C97728"/>
    <w:rsid w:val="00C97BE7"/>
    <w:rsid w:val="00CA0D96"/>
    <w:rsid w:val="00CA1413"/>
    <w:rsid w:val="00CA15C6"/>
    <w:rsid w:val="00CA17FD"/>
    <w:rsid w:val="00CA1A8E"/>
    <w:rsid w:val="00CA1F28"/>
    <w:rsid w:val="00CA349C"/>
    <w:rsid w:val="00CA3BE6"/>
    <w:rsid w:val="00CA5165"/>
    <w:rsid w:val="00CA6FEE"/>
    <w:rsid w:val="00CB030B"/>
    <w:rsid w:val="00CB1995"/>
    <w:rsid w:val="00CB1A68"/>
    <w:rsid w:val="00CB2D6D"/>
    <w:rsid w:val="00CB3AD0"/>
    <w:rsid w:val="00CB4483"/>
    <w:rsid w:val="00CB44F9"/>
    <w:rsid w:val="00CB4617"/>
    <w:rsid w:val="00CB4E46"/>
    <w:rsid w:val="00CB6277"/>
    <w:rsid w:val="00CB65E0"/>
    <w:rsid w:val="00CB7116"/>
    <w:rsid w:val="00CB74D4"/>
    <w:rsid w:val="00CC0485"/>
    <w:rsid w:val="00CC11CB"/>
    <w:rsid w:val="00CC1253"/>
    <w:rsid w:val="00CC1947"/>
    <w:rsid w:val="00CC3F44"/>
    <w:rsid w:val="00CC45B6"/>
    <w:rsid w:val="00CC580A"/>
    <w:rsid w:val="00CC5F2E"/>
    <w:rsid w:val="00CC6472"/>
    <w:rsid w:val="00CC6F0F"/>
    <w:rsid w:val="00CD0159"/>
    <w:rsid w:val="00CD110F"/>
    <w:rsid w:val="00CD227A"/>
    <w:rsid w:val="00CD2F5F"/>
    <w:rsid w:val="00CD51DF"/>
    <w:rsid w:val="00CD57B8"/>
    <w:rsid w:val="00CD5F05"/>
    <w:rsid w:val="00CD696F"/>
    <w:rsid w:val="00CD7F01"/>
    <w:rsid w:val="00CE05D7"/>
    <w:rsid w:val="00CE1211"/>
    <w:rsid w:val="00CE142D"/>
    <w:rsid w:val="00CE1795"/>
    <w:rsid w:val="00CE2458"/>
    <w:rsid w:val="00CE3C11"/>
    <w:rsid w:val="00CE57D9"/>
    <w:rsid w:val="00CE5B25"/>
    <w:rsid w:val="00CE5DEF"/>
    <w:rsid w:val="00CE5FBE"/>
    <w:rsid w:val="00CE7373"/>
    <w:rsid w:val="00CE7E7B"/>
    <w:rsid w:val="00CF21CE"/>
    <w:rsid w:val="00CF33DF"/>
    <w:rsid w:val="00CF50B6"/>
    <w:rsid w:val="00CF60DF"/>
    <w:rsid w:val="00CF657B"/>
    <w:rsid w:val="00CF6AA4"/>
    <w:rsid w:val="00CF6C27"/>
    <w:rsid w:val="00CF7D3C"/>
    <w:rsid w:val="00CF7F78"/>
    <w:rsid w:val="00D00E5A"/>
    <w:rsid w:val="00D013FE"/>
    <w:rsid w:val="00D02BEE"/>
    <w:rsid w:val="00D036A6"/>
    <w:rsid w:val="00D0449C"/>
    <w:rsid w:val="00D046BA"/>
    <w:rsid w:val="00D04848"/>
    <w:rsid w:val="00D04F96"/>
    <w:rsid w:val="00D0598E"/>
    <w:rsid w:val="00D05A42"/>
    <w:rsid w:val="00D05CCB"/>
    <w:rsid w:val="00D0607F"/>
    <w:rsid w:val="00D06C02"/>
    <w:rsid w:val="00D10AB1"/>
    <w:rsid w:val="00D130BB"/>
    <w:rsid w:val="00D13B07"/>
    <w:rsid w:val="00D14301"/>
    <w:rsid w:val="00D15AC8"/>
    <w:rsid w:val="00D17D34"/>
    <w:rsid w:val="00D2091A"/>
    <w:rsid w:val="00D20970"/>
    <w:rsid w:val="00D20E4E"/>
    <w:rsid w:val="00D21C95"/>
    <w:rsid w:val="00D228E4"/>
    <w:rsid w:val="00D2559E"/>
    <w:rsid w:val="00D268A1"/>
    <w:rsid w:val="00D2702B"/>
    <w:rsid w:val="00D27350"/>
    <w:rsid w:val="00D2744C"/>
    <w:rsid w:val="00D31084"/>
    <w:rsid w:val="00D31558"/>
    <w:rsid w:val="00D31A71"/>
    <w:rsid w:val="00D31DA4"/>
    <w:rsid w:val="00D32C7B"/>
    <w:rsid w:val="00D348B3"/>
    <w:rsid w:val="00D348C7"/>
    <w:rsid w:val="00D34FD7"/>
    <w:rsid w:val="00D351C3"/>
    <w:rsid w:val="00D35C76"/>
    <w:rsid w:val="00D374B0"/>
    <w:rsid w:val="00D376E2"/>
    <w:rsid w:val="00D401FE"/>
    <w:rsid w:val="00D4065F"/>
    <w:rsid w:val="00D413B9"/>
    <w:rsid w:val="00D42930"/>
    <w:rsid w:val="00D4417A"/>
    <w:rsid w:val="00D451DE"/>
    <w:rsid w:val="00D47617"/>
    <w:rsid w:val="00D47AB7"/>
    <w:rsid w:val="00D509F6"/>
    <w:rsid w:val="00D5174D"/>
    <w:rsid w:val="00D517B7"/>
    <w:rsid w:val="00D51882"/>
    <w:rsid w:val="00D5356B"/>
    <w:rsid w:val="00D539F4"/>
    <w:rsid w:val="00D54D29"/>
    <w:rsid w:val="00D56A05"/>
    <w:rsid w:val="00D5709C"/>
    <w:rsid w:val="00D577A0"/>
    <w:rsid w:val="00D60A64"/>
    <w:rsid w:val="00D60DCE"/>
    <w:rsid w:val="00D60E41"/>
    <w:rsid w:val="00D613F0"/>
    <w:rsid w:val="00D61C37"/>
    <w:rsid w:val="00D61D02"/>
    <w:rsid w:val="00D626D8"/>
    <w:rsid w:val="00D6317C"/>
    <w:rsid w:val="00D63443"/>
    <w:rsid w:val="00D6462C"/>
    <w:rsid w:val="00D653E7"/>
    <w:rsid w:val="00D65A4C"/>
    <w:rsid w:val="00D66813"/>
    <w:rsid w:val="00D67035"/>
    <w:rsid w:val="00D67710"/>
    <w:rsid w:val="00D67A8C"/>
    <w:rsid w:val="00D70528"/>
    <w:rsid w:val="00D722C1"/>
    <w:rsid w:val="00D749F8"/>
    <w:rsid w:val="00D754AE"/>
    <w:rsid w:val="00D76255"/>
    <w:rsid w:val="00D7644F"/>
    <w:rsid w:val="00D776D6"/>
    <w:rsid w:val="00D77B6B"/>
    <w:rsid w:val="00D803AB"/>
    <w:rsid w:val="00D803CA"/>
    <w:rsid w:val="00D8105D"/>
    <w:rsid w:val="00D81F30"/>
    <w:rsid w:val="00D820C3"/>
    <w:rsid w:val="00D838B3"/>
    <w:rsid w:val="00D839CE"/>
    <w:rsid w:val="00D852F6"/>
    <w:rsid w:val="00D86D0D"/>
    <w:rsid w:val="00D86FA3"/>
    <w:rsid w:val="00D87462"/>
    <w:rsid w:val="00D930E5"/>
    <w:rsid w:val="00D953AC"/>
    <w:rsid w:val="00D957FC"/>
    <w:rsid w:val="00D97431"/>
    <w:rsid w:val="00D97F09"/>
    <w:rsid w:val="00DA1773"/>
    <w:rsid w:val="00DA30C5"/>
    <w:rsid w:val="00DA479B"/>
    <w:rsid w:val="00DA48C7"/>
    <w:rsid w:val="00DA4ABE"/>
    <w:rsid w:val="00DA51DB"/>
    <w:rsid w:val="00DA6937"/>
    <w:rsid w:val="00DA6BAC"/>
    <w:rsid w:val="00DA6E48"/>
    <w:rsid w:val="00DA71FC"/>
    <w:rsid w:val="00DA78B6"/>
    <w:rsid w:val="00DA7A9E"/>
    <w:rsid w:val="00DA7BEC"/>
    <w:rsid w:val="00DB1BA1"/>
    <w:rsid w:val="00DB1C62"/>
    <w:rsid w:val="00DB1FE9"/>
    <w:rsid w:val="00DB3B01"/>
    <w:rsid w:val="00DB4107"/>
    <w:rsid w:val="00DB4FCE"/>
    <w:rsid w:val="00DB5E3C"/>
    <w:rsid w:val="00DB670B"/>
    <w:rsid w:val="00DB6827"/>
    <w:rsid w:val="00DB68FB"/>
    <w:rsid w:val="00DB6B4F"/>
    <w:rsid w:val="00DB7F11"/>
    <w:rsid w:val="00DC1820"/>
    <w:rsid w:val="00DC394E"/>
    <w:rsid w:val="00DC474E"/>
    <w:rsid w:val="00DC61D6"/>
    <w:rsid w:val="00DC651D"/>
    <w:rsid w:val="00DC6C76"/>
    <w:rsid w:val="00DC7D2D"/>
    <w:rsid w:val="00DC7D99"/>
    <w:rsid w:val="00DD0FDD"/>
    <w:rsid w:val="00DD5E6A"/>
    <w:rsid w:val="00DD669A"/>
    <w:rsid w:val="00DD6907"/>
    <w:rsid w:val="00DD6BCD"/>
    <w:rsid w:val="00DD7557"/>
    <w:rsid w:val="00DD77AB"/>
    <w:rsid w:val="00DD7C27"/>
    <w:rsid w:val="00DE14F0"/>
    <w:rsid w:val="00DE2488"/>
    <w:rsid w:val="00DE5896"/>
    <w:rsid w:val="00DE5939"/>
    <w:rsid w:val="00DE5ACE"/>
    <w:rsid w:val="00DE61A7"/>
    <w:rsid w:val="00DE6FA4"/>
    <w:rsid w:val="00DE7393"/>
    <w:rsid w:val="00DF0676"/>
    <w:rsid w:val="00DF16CA"/>
    <w:rsid w:val="00DF2173"/>
    <w:rsid w:val="00DF2E32"/>
    <w:rsid w:val="00DF60CB"/>
    <w:rsid w:val="00DF7CED"/>
    <w:rsid w:val="00DF7FBC"/>
    <w:rsid w:val="00E00735"/>
    <w:rsid w:val="00E00E5E"/>
    <w:rsid w:val="00E00F6D"/>
    <w:rsid w:val="00E0141E"/>
    <w:rsid w:val="00E052F1"/>
    <w:rsid w:val="00E05455"/>
    <w:rsid w:val="00E05E0E"/>
    <w:rsid w:val="00E061FC"/>
    <w:rsid w:val="00E0672A"/>
    <w:rsid w:val="00E11FA0"/>
    <w:rsid w:val="00E1201D"/>
    <w:rsid w:val="00E129AD"/>
    <w:rsid w:val="00E13101"/>
    <w:rsid w:val="00E15ABD"/>
    <w:rsid w:val="00E16776"/>
    <w:rsid w:val="00E1682B"/>
    <w:rsid w:val="00E225B7"/>
    <w:rsid w:val="00E23745"/>
    <w:rsid w:val="00E2418B"/>
    <w:rsid w:val="00E25E33"/>
    <w:rsid w:val="00E25F97"/>
    <w:rsid w:val="00E263A0"/>
    <w:rsid w:val="00E274EA"/>
    <w:rsid w:val="00E27F6E"/>
    <w:rsid w:val="00E30D36"/>
    <w:rsid w:val="00E313A3"/>
    <w:rsid w:val="00E32443"/>
    <w:rsid w:val="00E32CBB"/>
    <w:rsid w:val="00E334C8"/>
    <w:rsid w:val="00E33BDB"/>
    <w:rsid w:val="00E33D96"/>
    <w:rsid w:val="00E347FF"/>
    <w:rsid w:val="00E3501C"/>
    <w:rsid w:val="00E35E0C"/>
    <w:rsid w:val="00E35F7C"/>
    <w:rsid w:val="00E40B4E"/>
    <w:rsid w:val="00E414D7"/>
    <w:rsid w:val="00E41DB3"/>
    <w:rsid w:val="00E42740"/>
    <w:rsid w:val="00E42836"/>
    <w:rsid w:val="00E429A0"/>
    <w:rsid w:val="00E430E7"/>
    <w:rsid w:val="00E435D0"/>
    <w:rsid w:val="00E43EFD"/>
    <w:rsid w:val="00E462F9"/>
    <w:rsid w:val="00E46B4E"/>
    <w:rsid w:val="00E46DCC"/>
    <w:rsid w:val="00E478E9"/>
    <w:rsid w:val="00E47B16"/>
    <w:rsid w:val="00E504DE"/>
    <w:rsid w:val="00E50790"/>
    <w:rsid w:val="00E52F4E"/>
    <w:rsid w:val="00E551AA"/>
    <w:rsid w:val="00E555B7"/>
    <w:rsid w:val="00E576A9"/>
    <w:rsid w:val="00E623E7"/>
    <w:rsid w:val="00E62561"/>
    <w:rsid w:val="00E62917"/>
    <w:rsid w:val="00E63C07"/>
    <w:rsid w:val="00E63CB7"/>
    <w:rsid w:val="00E646B7"/>
    <w:rsid w:val="00E64AF7"/>
    <w:rsid w:val="00E655DD"/>
    <w:rsid w:val="00E661A5"/>
    <w:rsid w:val="00E66889"/>
    <w:rsid w:val="00E70E1D"/>
    <w:rsid w:val="00E70ECF"/>
    <w:rsid w:val="00E712B0"/>
    <w:rsid w:val="00E7153B"/>
    <w:rsid w:val="00E7154D"/>
    <w:rsid w:val="00E7173A"/>
    <w:rsid w:val="00E71AC5"/>
    <w:rsid w:val="00E72C3E"/>
    <w:rsid w:val="00E72E70"/>
    <w:rsid w:val="00E730E4"/>
    <w:rsid w:val="00E73379"/>
    <w:rsid w:val="00E73E49"/>
    <w:rsid w:val="00E7448F"/>
    <w:rsid w:val="00E74AE3"/>
    <w:rsid w:val="00E74E18"/>
    <w:rsid w:val="00E75736"/>
    <w:rsid w:val="00E75CC4"/>
    <w:rsid w:val="00E75ECB"/>
    <w:rsid w:val="00E7639C"/>
    <w:rsid w:val="00E77BD2"/>
    <w:rsid w:val="00E77F3B"/>
    <w:rsid w:val="00E8195B"/>
    <w:rsid w:val="00E82D8C"/>
    <w:rsid w:val="00E86193"/>
    <w:rsid w:val="00E864E2"/>
    <w:rsid w:val="00E879CF"/>
    <w:rsid w:val="00E90CD4"/>
    <w:rsid w:val="00E911ED"/>
    <w:rsid w:val="00E91DD0"/>
    <w:rsid w:val="00E9251D"/>
    <w:rsid w:val="00E92AA9"/>
    <w:rsid w:val="00E943FA"/>
    <w:rsid w:val="00E94F63"/>
    <w:rsid w:val="00E956BB"/>
    <w:rsid w:val="00E966E3"/>
    <w:rsid w:val="00E97446"/>
    <w:rsid w:val="00E97FC4"/>
    <w:rsid w:val="00EA1C30"/>
    <w:rsid w:val="00EA2BC3"/>
    <w:rsid w:val="00EA48EE"/>
    <w:rsid w:val="00EA5B5F"/>
    <w:rsid w:val="00EA7934"/>
    <w:rsid w:val="00EA7F09"/>
    <w:rsid w:val="00EB1600"/>
    <w:rsid w:val="00EB17F7"/>
    <w:rsid w:val="00EB394D"/>
    <w:rsid w:val="00EB61C7"/>
    <w:rsid w:val="00EC07D3"/>
    <w:rsid w:val="00EC3A94"/>
    <w:rsid w:val="00EC4B60"/>
    <w:rsid w:val="00EC539A"/>
    <w:rsid w:val="00EC58CD"/>
    <w:rsid w:val="00ED0A97"/>
    <w:rsid w:val="00ED0D53"/>
    <w:rsid w:val="00ED3079"/>
    <w:rsid w:val="00ED3E12"/>
    <w:rsid w:val="00ED45FE"/>
    <w:rsid w:val="00ED5777"/>
    <w:rsid w:val="00ED5E42"/>
    <w:rsid w:val="00ED65CA"/>
    <w:rsid w:val="00ED7382"/>
    <w:rsid w:val="00ED7B34"/>
    <w:rsid w:val="00EE1998"/>
    <w:rsid w:val="00EE2857"/>
    <w:rsid w:val="00EE2ECF"/>
    <w:rsid w:val="00EE2F9F"/>
    <w:rsid w:val="00EE2FD6"/>
    <w:rsid w:val="00EE3D45"/>
    <w:rsid w:val="00EE4A6A"/>
    <w:rsid w:val="00EE5A45"/>
    <w:rsid w:val="00EE6135"/>
    <w:rsid w:val="00EE6E6C"/>
    <w:rsid w:val="00EE7E1E"/>
    <w:rsid w:val="00EE7E86"/>
    <w:rsid w:val="00EF05D4"/>
    <w:rsid w:val="00EF0A63"/>
    <w:rsid w:val="00EF188A"/>
    <w:rsid w:val="00EF1A99"/>
    <w:rsid w:val="00EF2411"/>
    <w:rsid w:val="00EF25BA"/>
    <w:rsid w:val="00EF25F1"/>
    <w:rsid w:val="00EF5155"/>
    <w:rsid w:val="00EF5847"/>
    <w:rsid w:val="00EF7D79"/>
    <w:rsid w:val="00F00AE8"/>
    <w:rsid w:val="00F01CAD"/>
    <w:rsid w:val="00F02FC7"/>
    <w:rsid w:val="00F060CD"/>
    <w:rsid w:val="00F073F2"/>
    <w:rsid w:val="00F0745F"/>
    <w:rsid w:val="00F074CE"/>
    <w:rsid w:val="00F106AC"/>
    <w:rsid w:val="00F111A7"/>
    <w:rsid w:val="00F114D3"/>
    <w:rsid w:val="00F115CE"/>
    <w:rsid w:val="00F12608"/>
    <w:rsid w:val="00F1292C"/>
    <w:rsid w:val="00F12A82"/>
    <w:rsid w:val="00F13C28"/>
    <w:rsid w:val="00F141BE"/>
    <w:rsid w:val="00F146FA"/>
    <w:rsid w:val="00F14A4E"/>
    <w:rsid w:val="00F14F0B"/>
    <w:rsid w:val="00F159B7"/>
    <w:rsid w:val="00F162BF"/>
    <w:rsid w:val="00F200DF"/>
    <w:rsid w:val="00F21778"/>
    <w:rsid w:val="00F2355F"/>
    <w:rsid w:val="00F23AA5"/>
    <w:rsid w:val="00F255C2"/>
    <w:rsid w:val="00F2721C"/>
    <w:rsid w:val="00F2770E"/>
    <w:rsid w:val="00F30B50"/>
    <w:rsid w:val="00F31064"/>
    <w:rsid w:val="00F31C17"/>
    <w:rsid w:val="00F329CC"/>
    <w:rsid w:val="00F3313F"/>
    <w:rsid w:val="00F334C0"/>
    <w:rsid w:val="00F3369D"/>
    <w:rsid w:val="00F33C44"/>
    <w:rsid w:val="00F35194"/>
    <w:rsid w:val="00F351C9"/>
    <w:rsid w:val="00F36490"/>
    <w:rsid w:val="00F36AC4"/>
    <w:rsid w:val="00F4013B"/>
    <w:rsid w:val="00F4055F"/>
    <w:rsid w:val="00F406D3"/>
    <w:rsid w:val="00F40839"/>
    <w:rsid w:val="00F41150"/>
    <w:rsid w:val="00F419D3"/>
    <w:rsid w:val="00F4345E"/>
    <w:rsid w:val="00F44EAC"/>
    <w:rsid w:val="00F45392"/>
    <w:rsid w:val="00F46205"/>
    <w:rsid w:val="00F468A0"/>
    <w:rsid w:val="00F478E8"/>
    <w:rsid w:val="00F50ED6"/>
    <w:rsid w:val="00F524C1"/>
    <w:rsid w:val="00F55A4C"/>
    <w:rsid w:val="00F55B15"/>
    <w:rsid w:val="00F561B5"/>
    <w:rsid w:val="00F56CE5"/>
    <w:rsid w:val="00F57623"/>
    <w:rsid w:val="00F620CB"/>
    <w:rsid w:val="00F623AC"/>
    <w:rsid w:val="00F6267C"/>
    <w:rsid w:val="00F6322C"/>
    <w:rsid w:val="00F633C8"/>
    <w:rsid w:val="00F64878"/>
    <w:rsid w:val="00F648C7"/>
    <w:rsid w:val="00F6492C"/>
    <w:rsid w:val="00F653D3"/>
    <w:rsid w:val="00F671BF"/>
    <w:rsid w:val="00F67CEE"/>
    <w:rsid w:val="00F67EA2"/>
    <w:rsid w:val="00F70610"/>
    <w:rsid w:val="00F71AE2"/>
    <w:rsid w:val="00F728FC"/>
    <w:rsid w:val="00F7358F"/>
    <w:rsid w:val="00F73F2B"/>
    <w:rsid w:val="00F74B3B"/>
    <w:rsid w:val="00F75AC5"/>
    <w:rsid w:val="00F75DA9"/>
    <w:rsid w:val="00F7760B"/>
    <w:rsid w:val="00F77F02"/>
    <w:rsid w:val="00F80D57"/>
    <w:rsid w:val="00F80F6A"/>
    <w:rsid w:val="00F81951"/>
    <w:rsid w:val="00F830E7"/>
    <w:rsid w:val="00F85AAC"/>
    <w:rsid w:val="00F85E30"/>
    <w:rsid w:val="00F86FF9"/>
    <w:rsid w:val="00F87BB5"/>
    <w:rsid w:val="00F927B5"/>
    <w:rsid w:val="00F94ACA"/>
    <w:rsid w:val="00F969BD"/>
    <w:rsid w:val="00FA364F"/>
    <w:rsid w:val="00FA68B7"/>
    <w:rsid w:val="00FA7DE9"/>
    <w:rsid w:val="00FB0BBE"/>
    <w:rsid w:val="00FB1A4E"/>
    <w:rsid w:val="00FB1ACF"/>
    <w:rsid w:val="00FB1CB3"/>
    <w:rsid w:val="00FB2398"/>
    <w:rsid w:val="00FB3AB3"/>
    <w:rsid w:val="00FB4094"/>
    <w:rsid w:val="00FB40C9"/>
    <w:rsid w:val="00FB487C"/>
    <w:rsid w:val="00FB4D04"/>
    <w:rsid w:val="00FB60B3"/>
    <w:rsid w:val="00FB6195"/>
    <w:rsid w:val="00FB7009"/>
    <w:rsid w:val="00FC089E"/>
    <w:rsid w:val="00FC0C84"/>
    <w:rsid w:val="00FC0FF0"/>
    <w:rsid w:val="00FC1EB7"/>
    <w:rsid w:val="00FC1F49"/>
    <w:rsid w:val="00FC241B"/>
    <w:rsid w:val="00FC39C5"/>
    <w:rsid w:val="00FC3CAF"/>
    <w:rsid w:val="00FC4C93"/>
    <w:rsid w:val="00FC5A27"/>
    <w:rsid w:val="00FC5C7E"/>
    <w:rsid w:val="00FC5CDC"/>
    <w:rsid w:val="00FC6767"/>
    <w:rsid w:val="00FC75AA"/>
    <w:rsid w:val="00FD0C18"/>
    <w:rsid w:val="00FD0D0C"/>
    <w:rsid w:val="00FD232E"/>
    <w:rsid w:val="00FD29B4"/>
    <w:rsid w:val="00FD3991"/>
    <w:rsid w:val="00FD4600"/>
    <w:rsid w:val="00FD4932"/>
    <w:rsid w:val="00FD4A6D"/>
    <w:rsid w:val="00FD6345"/>
    <w:rsid w:val="00FD65AB"/>
    <w:rsid w:val="00FE1AD9"/>
    <w:rsid w:val="00FE224A"/>
    <w:rsid w:val="00FE3525"/>
    <w:rsid w:val="00FE439A"/>
    <w:rsid w:val="00FE4517"/>
    <w:rsid w:val="00FE4642"/>
    <w:rsid w:val="00FE4794"/>
    <w:rsid w:val="00FE66DF"/>
    <w:rsid w:val="00FF163E"/>
    <w:rsid w:val="00FF28FD"/>
    <w:rsid w:val="00FF31DE"/>
    <w:rsid w:val="00FF32DB"/>
    <w:rsid w:val="00FF3ABD"/>
    <w:rsid w:val="00FF4645"/>
    <w:rsid w:val="00FF573D"/>
    <w:rsid w:val="00FF57EC"/>
    <w:rsid w:val="00FF6B1B"/>
    <w:rsid w:val="00FF7A68"/>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shapeDefaults>
    <o:shapedefaults v:ext="edit" spidmax="104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122250"/>
    <w:pPr>
      <w:keepNext/>
      <w:spacing w:after="0" w:line="360" w:lineRule="auto"/>
      <w:jc w:val="center"/>
      <w:outlineLvl w:val="0"/>
    </w:pPr>
    <w:rPr>
      <w:rFonts w:ascii="Times New Roman" w:eastAsia="Times New Roman" w:hAnsi="Times New Roman" w:cs="Times New Roman"/>
      <w:b/>
      <w:bCs/>
      <w:sz w:val="24"/>
      <w:szCs w:val="24"/>
      <w:lang w:val="en-GB"/>
    </w:rPr>
  </w:style>
  <w:style w:type="paragraph" w:styleId="Heading4">
    <w:name w:val="heading 4"/>
    <w:basedOn w:val="Normal"/>
    <w:next w:val="Normal"/>
    <w:link w:val="Heading4Char"/>
    <w:uiPriority w:val="9"/>
    <w:semiHidden/>
    <w:unhideWhenUsed/>
    <w:qFormat/>
    <w:rsid w:val="00A15AE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22250"/>
    <w:rPr>
      <w:rFonts w:ascii="Times New Roman" w:eastAsia="Times New Roman" w:hAnsi="Times New Roman" w:cs="Times New Roman"/>
      <w:b/>
      <w:bCs/>
      <w:sz w:val="24"/>
      <w:szCs w:val="24"/>
      <w:lang w:val="en-GB" w:eastAsia="en-US"/>
    </w:rPr>
  </w:style>
  <w:style w:type="paragraph" w:styleId="Date">
    <w:name w:val="Date"/>
    <w:basedOn w:val="Normal"/>
    <w:next w:val="Normal"/>
    <w:link w:val="DateChar"/>
    <w:uiPriority w:val="99"/>
    <w:semiHidden/>
    <w:unhideWhenUsed/>
    <w:rsid w:val="00122250"/>
  </w:style>
  <w:style w:type="character" w:customStyle="1" w:styleId="DateChar">
    <w:name w:val="Date Char"/>
    <w:basedOn w:val="DefaultParagraphFont"/>
    <w:link w:val="Date"/>
    <w:uiPriority w:val="99"/>
    <w:semiHidden/>
    <w:rsid w:val="00122250"/>
  </w:style>
  <w:style w:type="paragraph" w:styleId="ListParagraph">
    <w:name w:val="List Paragraph"/>
    <w:basedOn w:val="Normal"/>
    <w:uiPriority w:val="34"/>
    <w:qFormat/>
    <w:rsid w:val="00122250"/>
    <w:pPr>
      <w:ind w:left="720"/>
      <w:contextualSpacing/>
    </w:pPr>
  </w:style>
  <w:style w:type="paragraph" w:styleId="BodyText">
    <w:name w:val="Body Text"/>
    <w:basedOn w:val="Normal"/>
    <w:link w:val="BodyTextChar"/>
    <w:rsid w:val="00122250"/>
    <w:pPr>
      <w:spacing w:after="0" w:line="360" w:lineRule="auto"/>
      <w:jc w:val="both"/>
    </w:pPr>
    <w:rPr>
      <w:rFonts w:ascii="Times New Roman" w:eastAsia="Times New Roman" w:hAnsi="Times New Roman" w:cs="Times New Roman"/>
      <w:sz w:val="24"/>
      <w:szCs w:val="24"/>
      <w:lang w:val="en-GB"/>
    </w:rPr>
  </w:style>
  <w:style w:type="character" w:customStyle="1" w:styleId="BodyTextChar">
    <w:name w:val="Body Text Char"/>
    <w:basedOn w:val="DefaultParagraphFont"/>
    <w:link w:val="BodyText"/>
    <w:rsid w:val="00122250"/>
    <w:rPr>
      <w:rFonts w:ascii="Times New Roman" w:eastAsia="Times New Roman" w:hAnsi="Times New Roman" w:cs="Times New Roman"/>
      <w:sz w:val="24"/>
      <w:szCs w:val="24"/>
      <w:lang w:val="en-GB" w:eastAsia="en-US"/>
    </w:rPr>
  </w:style>
  <w:style w:type="paragraph" w:styleId="Header">
    <w:name w:val="header"/>
    <w:basedOn w:val="Normal"/>
    <w:link w:val="HeaderChar"/>
    <w:uiPriority w:val="99"/>
    <w:semiHidden/>
    <w:unhideWhenUsed/>
    <w:rsid w:val="00122250"/>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122250"/>
  </w:style>
  <w:style w:type="paragraph" w:styleId="Footer">
    <w:name w:val="footer"/>
    <w:basedOn w:val="Normal"/>
    <w:link w:val="FooterChar"/>
    <w:uiPriority w:val="99"/>
    <w:unhideWhenUsed/>
    <w:rsid w:val="001222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2250"/>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rsid w:val="00122250"/>
    <w:pPr>
      <w:spacing w:after="0" w:line="240" w:lineRule="auto"/>
    </w:pPr>
    <w:rPr>
      <w:sz w:val="20"/>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122250"/>
    <w:rPr>
      <w:sz w:val="20"/>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122250"/>
    <w:rPr>
      <w:vertAlign w:val="superscript"/>
    </w:rPr>
  </w:style>
  <w:style w:type="character" w:styleId="Hyperlink">
    <w:name w:val="Hyperlink"/>
    <w:basedOn w:val="DefaultParagraphFont"/>
    <w:uiPriority w:val="99"/>
    <w:rsid w:val="00122250"/>
    <w:rPr>
      <w:color w:val="0000FF"/>
      <w:u w:val="single"/>
    </w:rPr>
  </w:style>
  <w:style w:type="paragraph" w:customStyle="1" w:styleId="AERbodytext">
    <w:name w:val="AER body text"/>
    <w:link w:val="AERbodytextChar"/>
    <w:qFormat/>
    <w:rsid w:val="00A15AEB"/>
    <w:pPr>
      <w:spacing w:after="240" w:line="288" w:lineRule="auto"/>
      <w:jc w:val="both"/>
    </w:pPr>
    <w:rPr>
      <w:rFonts w:ascii="Gautami" w:eastAsia="Times New Roman" w:hAnsi="Gautami" w:cs="Times New Roman"/>
      <w:sz w:val="20"/>
      <w:szCs w:val="24"/>
      <w:lang w:val="en-AU"/>
    </w:rPr>
  </w:style>
  <w:style w:type="character" w:customStyle="1" w:styleId="AERbody">
    <w:name w:val="AER body"/>
    <w:basedOn w:val="DefaultParagraphFont"/>
    <w:rsid w:val="00A15AEB"/>
    <w:rPr>
      <w:rFonts w:ascii="Gautami" w:hAnsi="Gautami"/>
      <w:color w:val="auto"/>
      <w:sz w:val="20"/>
    </w:rPr>
  </w:style>
  <w:style w:type="character" w:customStyle="1" w:styleId="AERbodytextChar">
    <w:name w:val="AER body text Char"/>
    <w:basedOn w:val="DefaultParagraphFont"/>
    <w:link w:val="AERbodytext"/>
    <w:rsid w:val="00A15AEB"/>
    <w:rPr>
      <w:rFonts w:ascii="Gautami" w:eastAsia="Times New Roman" w:hAnsi="Gautami" w:cs="Times New Roman"/>
      <w:sz w:val="20"/>
      <w:szCs w:val="24"/>
      <w:lang w:val="en-AU" w:eastAsia="en-US"/>
    </w:rPr>
  </w:style>
  <w:style w:type="paragraph" w:styleId="Title">
    <w:name w:val="Title"/>
    <w:next w:val="Subtitle"/>
    <w:link w:val="TitleChar"/>
    <w:qFormat/>
    <w:rsid w:val="00A15AEB"/>
    <w:pPr>
      <w:spacing w:before="2400" w:after="1920" w:line="240" w:lineRule="auto"/>
      <w:jc w:val="center"/>
    </w:pPr>
    <w:rPr>
      <w:rFonts w:ascii="Arial" w:eastAsia="Times New Roman" w:hAnsi="Arial" w:cs="Arial"/>
      <w:b/>
      <w:bCs/>
      <w:kern w:val="28"/>
      <w:sz w:val="36"/>
      <w:szCs w:val="32"/>
      <w:lang w:val="en-AU"/>
    </w:rPr>
  </w:style>
  <w:style w:type="character" w:customStyle="1" w:styleId="TitleChar">
    <w:name w:val="Title Char"/>
    <w:basedOn w:val="DefaultParagraphFont"/>
    <w:link w:val="Title"/>
    <w:rsid w:val="00A15AEB"/>
    <w:rPr>
      <w:rFonts w:ascii="Arial" w:eastAsia="Times New Roman" w:hAnsi="Arial" w:cs="Arial"/>
      <w:b/>
      <w:bCs/>
      <w:kern w:val="28"/>
      <w:sz w:val="36"/>
      <w:szCs w:val="32"/>
      <w:lang w:val="en-AU" w:eastAsia="en-US"/>
    </w:rPr>
  </w:style>
  <w:style w:type="paragraph" w:customStyle="1" w:styleId="AERheading1">
    <w:name w:val="AER heading 1"/>
    <w:basedOn w:val="Heading1"/>
    <w:next w:val="Normal"/>
    <w:rsid w:val="00A15AEB"/>
    <w:pPr>
      <w:keepNext w:val="0"/>
      <w:pageBreakBefore/>
      <w:widowControl w:val="0"/>
      <w:numPr>
        <w:numId w:val="8"/>
      </w:numPr>
      <w:spacing w:before="240" w:after="120" w:line="240" w:lineRule="auto"/>
      <w:jc w:val="left"/>
    </w:pPr>
    <w:rPr>
      <w:rFonts w:ascii="Arial Bold" w:hAnsi="Arial Bold"/>
      <w:spacing w:val="5"/>
      <w:kern w:val="36"/>
      <w:sz w:val="36"/>
      <w:szCs w:val="27"/>
      <w:lang w:val="en-AU" w:eastAsia="en-AU"/>
    </w:rPr>
  </w:style>
  <w:style w:type="paragraph" w:customStyle="1" w:styleId="AERheading2">
    <w:name w:val="AER heading 2"/>
    <w:basedOn w:val="Normal"/>
    <w:next w:val="Normal"/>
    <w:rsid w:val="00A15AEB"/>
    <w:pPr>
      <w:keepNext/>
      <w:numPr>
        <w:ilvl w:val="1"/>
        <w:numId w:val="8"/>
      </w:numPr>
      <w:spacing w:before="360" w:after="120" w:line="240" w:lineRule="auto"/>
    </w:pPr>
    <w:rPr>
      <w:rFonts w:ascii="Arial Bold" w:eastAsia="Times New Roman" w:hAnsi="Arial Bold" w:cs="Times New Roman"/>
      <w:sz w:val="30"/>
      <w:szCs w:val="20"/>
      <w:lang w:val="en-AU" w:eastAsia="en-AU"/>
    </w:rPr>
  </w:style>
  <w:style w:type="paragraph" w:customStyle="1" w:styleId="AERheading3">
    <w:name w:val="AER heading 3"/>
    <w:basedOn w:val="Normal"/>
    <w:next w:val="Normal"/>
    <w:rsid w:val="00A15AEB"/>
    <w:pPr>
      <w:keepNext/>
      <w:numPr>
        <w:ilvl w:val="2"/>
        <w:numId w:val="8"/>
      </w:numPr>
      <w:spacing w:before="240" w:after="120" w:line="240" w:lineRule="auto"/>
    </w:pPr>
    <w:rPr>
      <w:rFonts w:ascii="Arial Bold" w:eastAsia="Times New Roman" w:hAnsi="Arial Bold" w:cs="Times New Roman"/>
      <w:sz w:val="24"/>
      <w:szCs w:val="20"/>
      <w:lang w:val="en-AU" w:eastAsia="en-AU"/>
    </w:rPr>
  </w:style>
  <w:style w:type="paragraph" w:customStyle="1" w:styleId="AERheading4">
    <w:name w:val="AER heading 4"/>
    <w:basedOn w:val="Heading4"/>
    <w:next w:val="Normal"/>
    <w:rsid w:val="00A15AEB"/>
    <w:pPr>
      <w:keepLines w:val="0"/>
      <w:numPr>
        <w:ilvl w:val="3"/>
        <w:numId w:val="8"/>
      </w:numPr>
      <w:tabs>
        <w:tab w:val="clear" w:pos="1080"/>
        <w:tab w:val="left" w:pos="720"/>
      </w:tabs>
      <w:spacing w:before="240" w:after="120" w:line="240" w:lineRule="auto"/>
    </w:pPr>
    <w:rPr>
      <w:rFonts w:ascii="Times New Roman" w:eastAsia="Times New Roman" w:hAnsi="Times New Roman" w:cs="Times New Roman"/>
      <w:bCs w:val="0"/>
      <w:i w:val="0"/>
      <w:iCs w:val="0"/>
      <w:color w:val="auto"/>
      <w:szCs w:val="24"/>
      <w:lang w:val="en-AU" w:eastAsia="en-AU"/>
    </w:rPr>
  </w:style>
  <w:style w:type="table" w:styleId="TableGrid">
    <w:name w:val="Table Grid"/>
    <w:basedOn w:val="TableNormal"/>
    <w:uiPriority w:val="59"/>
    <w:rsid w:val="00A15AEB"/>
    <w:pPr>
      <w:spacing w:after="0" w:line="240" w:lineRule="auto"/>
    </w:pPr>
    <w:rPr>
      <w:rFonts w:ascii="Calibri" w:eastAsia="Calibri" w:hAnsi="Calibri" w:cs="Times New Roman"/>
      <w:sz w:val="20"/>
      <w:szCs w:val="20"/>
      <w:lang w:val="en-AU"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
    <w:next w:val="Normal"/>
    <w:link w:val="SubtitleChar"/>
    <w:uiPriority w:val="11"/>
    <w:qFormat/>
    <w:rsid w:val="00A15AE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A15AEB"/>
    <w:rPr>
      <w:rFonts w:asciiTheme="majorHAnsi" w:eastAsiaTheme="majorEastAsia" w:hAnsiTheme="majorHAnsi" w:cstheme="majorBidi"/>
      <w:i/>
      <w:iCs/>
      <w:color w:val="4F81BD" w:themeColor="accent1"/>
      <w:spacing w:val="15"/>
      <w:sz w:val="24"/>
      <w:szCs w:val="24"/>
    </w:rPr>
  </w:style>
  <w:style w:type="character" w:customStyle="1" w:styleId="Heading4Char">
    <w:name w:val="Heading 4 Char"/>
    <w:basedOn w:val="DefaultParagraphFont"/>
    <w:link w:val="Heading4"/>
    <w:uiPriority w:val="9"/>
    <w:semiHidden/>
    <w:rsid w:val="00A15AEB"/>
    <w:rPr>
      <w:rFonts w:asciiTheme="majorHAnsi" w:eastAsiaTheme="majorEastAsia" w:hAnsiTheme="majorHAnsi" w:cstheme="majorBidi"/>
      <w:b/>
      <w:bCs/>
      <w:i/>
      <w:iCs/>
      <w:color w:val="4F81BD" w:themeColor="accent1"/>
    </w:rPr>
  </w:style>
  <w:style w:type="paragraph" w:styleId="BalloonText">
    <w:name w:val="Balloon Text"/>
    <w:basedOn w:val="Normal"/>
    <w:link w:val="BalloonTextChar"/>
    <w:uiPriority w:val="99"/>
    <w:semiHidden/>
    <w:unhideWhenUsed/>
    <w:rsid w:val="00A15A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5AEB"/>
    <w:rPr>
      <w:rFonts w:ascii="Tahoma" w:hAnsi="Tahoma" w:cs="Tahoma"/>
      <w:sz w:val="16"/>
      <w:szCs w:val="16"/>
    </w:rPr>
  </w:style>
  <w:style w:type="character" w:styleId="FollowedHyperlink">
    <w:name w:val="FollowedHyperlink"/>
    <w:basedOn w:val="DefaultParagraphFont"/>
    <w:uiPriority w:val="99"/>
    <w:semiHidden/>
    <w:unhideWhenUsed/>
    <w:rsid w:val="00A70F3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122250"/>
    <w:pPr>
      <w:keepNext/>
      <w:spacing w:after="0" w:line="360" w:lineRule="auto"/>
      <w:jc w:val="center"/>
      <w:outlineLvl w:val="0"/>
    </w:pPr>
    <w:rPr>
      <w:rFonts w:ascii="Times New Roman" w:eastAsia="Times New Roman" w:hAnsi="Times New Roman" w:cs="Times New Roman"/>
      <w:b/>
      <w:bCs/>
      <w:sz w:val="24"/>
      <w:szCs w:val="24"/>
      <w:lang w:val="en-GB"/>
    </w:rPr>
  </w:style>
  <w:style w:type="paragraph" w:styleId="Heading4">
    <w:name w:val="heading 4"/>
    <w:basedOn w:val="Normal"/>
    <w:next w:val="Normal"/>
    <w:link w:val="Heading4Char"/>
    <w:uiPriority w:val="9"/>
    <w:semiHidden/>
    <w:unhideWhenUsed/>
    <w:qFormat/>
    <w:rsid w:val="00A15AE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22250"/>
    <w:rPr>
      <w:rFonts w:ascii="Times New Roman" w:eastAsia="Times New Roman" w:hAnsi="Times New Roman" w:cs="Times New Roman"/>
      <w:b/>
      <w:bCs/>
      <w:sz w:val="24"/>
      <w:szCs w:val="24"/>
      <w:lang w:val="en-GB" w:eastAsia="en-US"/>
    </w:rPr>
  </w:style>
  <w:style w:type="paragraph" w:styleId="Date">
    <w:name w:val="Date"/>
    <w:basedOn w:val="Normal"/>
    <w:next w:val="Normal"/>
    <w:link w:val="DateChar"/>
    <w:uiPriority w:val="99"/>
    <w:semiHidden/>
    <w:unhideWhenUsed/>
    <w:rsid w:val="00122250"/>
  </w:style>
  <w:style w:type="character" w:customStyle="1" w:styleId="DateChar">
    <w:name w:val="Date Char"/>
    <w:basedOn w:val="DefaultParagraphFont"/>
    <w:link w:val="Date"/>
    <w:uiPriority w:val="99"/>
    <w:semiHidden/>
    <w:rsid w:val="00122250"/>
  </w:style>
  <w:style w:type="paragraph" w:styleId="ListParagraph">
    <w:name w:val="List Paragraph"/>
    <w:basedOn w:val="Normal"/>
    <w:uiPriority w:val="34"/>
    <w:qFormat/>
    <w:rsid w:val="00122250"/>
    <w:pPr>
      <w:ind w:left="720"/>
      <w:contextualSpacing/>
    </w:pPr>
  </w:style>
  <w:style w:type="paragraph" w:styleId="BodyText">
    <w:name w:val="Body Text"/>
    <w:basedOn w:val="Normal"/>
    <w:link w:val="BodyTextChar"/>
    <w:rsid w:val="00122250"/>
    <w:pPr>
      <w:spacing w:after="0" w:line="360" w:lineRule="auto"/>
      <w:jc w:val="both"/>
    </w:pPr>
    <w:rPr>
      <w:rFonts w:ascii="Times New Roman" w:eastAsia="Times New Roman" w:hAnsi="Times New Roman" w:cs="Times New Roman"/>
      <w:sz w:val="24"/>
      <w:szCs w:val="24"/>
      <w:lang w:val="en-GB"/>
    </w:rPr>
  </w:style>
  <w:style w:type="character" w:customStyle="1" w:styleId="BodyTextChar">
    <w:name w:val="Body Text Char"/>
    <w:basedOn w:val="DefaultParagraphFont"/>
    <w:link w:val="BodyText"/>
    <w:rsid w:val="00122250"/>
    <w:rPr>
      <w:rFonts w:ascii="Times New Roman" w:eastAsia="Times New Roman" w:hAnsi="Times New Roman" w:cs="Times New Roman"/>
      <w:sz w:val="24"/>
      <w:szCs w:val="24"/>
      <w:lang w:val="en-GB" w:eastAsia="en-US"/>
    </w:rPr>
  </w:style>
  <w:style w:type="paragraph" w:styleId="Header">
    <w:name w:val="header"/>
    <w:basedOn w:val="Normal"/>
    <w:link w:val="HeaderChar"/>
    <w:uiPriority w:val="99"/>
    <w:semiHidden/>
    <w:unhideWhenUsed/>
    <w:rsid w:val="00122250"/>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122250"/>
  </w:style>
  <w:style w:type="paragraph" w:styleId="Footer">
    <w:name w:val="footer"/>
    <w:basedOn w:val="Normal"/>
    <w:link w:val="FooterChar"/>
    <w:uiPriority w:val="99"/>
    <w:unhideWhenUsed/>
    <w:rsid w:val="001222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2250"/>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rsid w:val="00122250"/>
    <w:pPr>
      <w:spacing w:after="0" w:line="240" w:lineRule="auto"/>
    </w:pPr>
    <w:rPr>
      <w:sz w:val="20"/>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122250"/>
    <w:rPr>
      <w:sz w:val="20"/>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122250"/>
    <w:rPr>
      <w:vertAlign w:val="superscript"/>
    </w:rPr>
  </w:style>
  <w:style w:type="character" w:styleId="Hyperlink">
    <w:name w:val="Hyperlink"/>
    <w:basedOn w:val="DefaultParagraphFont"/>
    <w:uiPriority w:val="99"/>
    <w:rsid w:val="00122250"/>
    <w:rPr>
      <w:color w:val="0000FF"/>
      <w:u w:val="single"/>
    </w:rPr>
  </w:style>
  <w:style w:type="paragraph" w:customStyle="1" w:styleId="AERbodytext">
    <w:name w:val="AER body text"/>
    <w:link w:val="AERbodytextChar"/>
    <w:qFormat/>
    <w:rsid w:val="00A15AEB"/>
    <w:pPr>
      <w:spacing w:after="240" w:line="288" w:lineRule="auto"/>
      <w:jc w:val="both"/>
    </w:pPr>
    <w:rPr>
      <w:rFonts w:ascii="Gautami" w:eastAsia="Times New Roman" w:hAnsi="Gautami" w:cs="Times New Roman"/>
      <w:sz w:val="20"/>
      <w:szCs w:val="24"/>
      <w:lang w:val="en-AU"/>
    </w:rPr>
  </w:style>
  <w:style w:type="character" w:customStyle="1" w:styleId="AERbody">
    <w:name w:val="AER body"/>
    <w:basedOn w:val="DefaultParagraphFont"/>
    <w:rsid w:val="00A15AEB"/>
    <w:rPr>
      <w:rFonts w:ascii="Gautami" w:hAnsi="Gautami"/>
      <w:color w:val="auto"/>
      <w:sz w:val="20"/>
    </w:rPr>
  </w:style>
  <w:style w:type="character" w:customStyle="1" w:styleId="AERbodytextChar">
    <w:name w:val="AER body text Char"/>
    <w:basedOn w:val="DefaultParagraphFont"/>
    <w:link w:val="AERbodytext"/>
    <w:rsid w:val="00A15AEB"/>
    <w:rPr>
      <w:rFonts w:ascii="Gautami" w:eastAsia="Times New Roman" w:hAnsi="Gautami" w:cs="Times New Roman"/>
      <w:sz w:val="20"/>
      <w:szCs w:val="24"/>
      <w:lang w:val="en-AU" w:eastAsia="en-US"/>
    </w:rPr>
  </w:style>
  <w:style w:type="paragraph" w:styleId="Title">
    <w:name w:val="Title"/>
    <w:next w:val="Subtitle"/>
    <w:link w:val="TitleChar"/>
    <w:qFormat/>
    <w:rsid w:val="00A15AEB"/>
    <w:pPr>
      <w:spacing w:before="2400" w:after="1920" w:line="240" w:lineRule="auto"/>
      <w:jc w:val="center"/>
    </w:pPr>
    <w:rPr>
      <w:rFonts w:ascii="Arial" w:eastAsia="Times New Roman" w:hAnsi="Arial" w:cs="Arial"/>
      <w:b/>
      <w:bCs/>
      <w:kern w:val="28"/>
      <w:sz w:val="36"/>
      <w:szCs w:val="32"/>
      <w:lang w:val="en-AU"/>
    </w:rPr>
  </w:style>
  <w:style w:type="character" w:customStyle="1" w:styleId="TitleChar">
    <w:name w:val="Title Char"/>
    <w:basedOn w:val="DefaultParagraphFont"/>
    <w:link w:val="Title"/>
    <w:rsid w:val="00A15AEB"/>
    <w:rPr>
      <w:rFonts w:ascii="Arial" w:eastAsia="Times New Roman" w:hAnsi="Arial" w:cs="Arial"/>
      <w:b/>
      <w:bCs/>
      <w:kern w:val="28"/>
      <w:sz w:val="36"/>
      <w:szCs w:val="32"/>
      <w:lang w:val="en-AU" w:eastAsia="en-US"/>
    </w:rPr>
  </w:style>
  <w:style w:type="paragraph" w:customStyle="1" w:styleId="AERheading1">
    <w:name w:val="AER heading 1"/>
    <w:basedOn w:val="Heading1"/>
    <w:next w:val="Normal"/>
    <w:rsid w:val="00A15AEB"/>
    <w:pPr>
      <w:keepNext w:val="0"/>
      <w:pageBreakBefore/>
      <w:widowControl w:val="0"/>
      <w:numPr>
        <w:numId w:val="8"/>
      </w:numPr>
      <w:spacing w:before="240" w:after="120" w:line="240" w:lineRule="auto"/>
      <w:jc w:val="left"/>
    </w:pPr>
    <w:rPr>
      <w:rFonts w:ascii="Arial Bold" w:hAnsi="Arial Bold"/>
      <w:spacing w:val="5"/>
      <w:kern w:val="36"/>
      <w:sz w:val="36"/>
      <w:szCs w:val="27"/>
      <w:lang w:val="en-AU" w:eastAsia="en-AU"/>
    </w:rPr>
  </w:style>
  <w:style w:type="paragraph" w:customStyle="1" w:styleId="AERheading2">
    <w:name w:val="AER heading 2"/>
    <w:basedOn w:val="Normal"/>
    <w:next w:val="Normal"/>
    <w:rsid w:val="00A15AEB"/>
    <w:pPr>
      <w:keepNext/>
      <w:numPr>
        <w:ilvl w:val="1"/>
        <w:numId w:val="8"/>
      </w:numPr>
      <w:spacing w:before="360" w:after="120" w:line="240" w:lineRule="auto"/>
    </w:pPr>
    <w:rPr>
      <w:rFonts w:ascii="Arial Bold" w:eastAsia="Times New Roman" w:hAnsi="Arial Bold" w:cs="Times New Roman"/>
      <w:sz w:val="30"/>
      <w:szCs w:val="20"/>
      <w:lang w:val="en-AU" w:eastAsia="en-AU"/>
    </w:rPr>
  </w:style>
  <w:style w:type="paragraph" w:customStyle="1" w:styleId="AERheading3">
    <w:name w:val="AER heading 3"/>
    <w:basedOn w:val="Normal"/>
    <w:next w:val="Normal"/>
    <w:rsid w:val="00A15AEB"/>
    <w:pPr>
      <w:keepNext/>
      <w:numPr>
        <w:ilvl w:val="2"/>
        <w:numId w:val="8"/>
      </w:numPr>
      <w:spacing w:before="240" w:after="120" w:line="240" w:lineRule="auto"/>
    </w:pPr>
    <w:rPr>
      <w:rFonts w:ascii="Arial Bold" w:eastAsia="Times New Roman" w:hAnsi="Arial Bold" w:cs="Times New Roman"/>
      <w:sz w:val="24"/>
      <w:szCs w:val="20"/>
      <w:lang w:val="en-AU" w:eastAsia="en-AU"/>
    </w:rPr>
  </w:style>
  <w:style w:type="paragraph" w:customStyle="1" w:styleId="AERheading4">
    <w:name w:val="AER heading 4"/>
    <w:basedOn w:val="Heading4"/>
    <w:next w:val="Normal"/>
    <w:rsid w:val="00A15AEB"/>
    <w:pPr>
      <w:keepLines w:val="0"/>
      <w:numPr>
        <w:ilvl w:val="3"/>
        <w:numId w:val="8"/>
      </w:numPr>
      <w:tabs>
        <w:tab w:val="clear" w:pos="1080"/>
        <w:tab w:val="left" w:pos="720"/>
      </w:tabs>
      <w:spacing w:before="240" w:after="120" w:line="240" w:lineRule="auto"/>
    </w:pPr>
    <w:rPr>
      <w:rFonts w:ascii="Times New Roman" w:eastAsia="Times New Roman" w:hAnsi="Times New Roman" w:cs="Times New Roman"/>
      <w:bCs w:val="0"/>
      <w:i w:val="0"/>
      <w:iCs w:val="0"/>
      <w:color w:val="auto"/>
      <w:szCs w:val="24"/>
      <w:lang w:val="en-AU" w:eastAsia="en-AU"/>
    </w:rPr>
  </w:style>
  <w:style w:type="table" w:styleId="TableGrid">
    <w:name w:val="Table Grid"/>
    <w:basedOn w:val="TableNormal"/>
    <w:uiPriority w:val="59"/>
    <w:rsid w:val="00A15AEB"/>
    <w:pPr>
      <w:spacing w:after="0" w:line="240" w:lineRule="auto"/>
    </w:pPr>
    <w:rPr>
      <w:rFonts w:ascii="Calibri" w:eastAsia="Calibri" w:hAnsi="Calibri" w:cs="Times New Roman"/>
      <w:sz w:val="20"/>
      <w:szCs w:val="20"/>
      <w:lang w:val="en-AU"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
    <w:next w:val="Normal"/>
    <w:link w:val="SubtitleChar"/>
    <w:uiPriority w:val="11"/>
    <w:qFormat/>
    <w:rsid w:val="00A15AE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A15AEB"/>
    <w:rPr>
      <w:rFonts w:asciiTheme="majorHAnsi" w:eastAsiaTheme="majorEastAsia" w:hAnsiTheme="majorHAnsi" w:cstheme="majorBidi"/>
      <w:i/>
      <w:iCs/>
      <w:color w:val="4F81BD" w:themeColor="accent1"/>
      <w:spacing w:val="15"/>
      <w:sz w:val="24"/>
      <w:szCs w:val="24"/>
    </w:rPr>
  </w:style>
  <w:style w:type="character" w:customStyle="1" w:styleId="Heading4Char">
    <w:name w:val="Heading 4 Char"/>
    <w:basedOn w:val="DefaultParagraphFont"/>
    <w:link w:val="Heading4"/>
    <w:uiPriority w:val="9"/>
    <w:semiHidden/>
    <w:rsid w:val="00A15AEB"/>
    <w:rPr>
      <w:rFonts w:asciiTheme="majorHAnsi" w:eastAsiaTheme="majorEastAsia" w:hAnsiTheme="majorHAnsi" w:cstheme="majorBidi"/>
      <w:b/>
      <w:bCs/>
      <w:i/>
      <w:iCs/>
      <w:color w:val="4F81BD" w:themeColor="accent1"/>
    </w:rPr>
  </w:style>
  <w:style w:type="paragraph" w:styleId="BalloonText">
    <w:name w:val="Balloon Text"/>
    <w:basedOn w:val="Normal"/>
    <w:link w:val="BalloonTextChar"/>
    <w:uiPriority w:val="99"/>
    <w:semiHidden/>
    <w:unhideWhenUsed/>
    <w:rsid w:val="00A15A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5AEB"/>
    <w:rPr>
      <w:rFonts w:ascii="Tahoma" w:hAnsi="Tahoma" w:cs="Tahoma"/>
      <w:sz w:val="16"/>
      <w:szCs w:val="16"/>
    </w:rPr>
  </w:style>
  <w:style w:type="character" w:styleId="FollowedHyperlink">
    <w:name w:val="FollowedHyperlink"/>
    <w:basedOn w:val="DefaultParagraphFont"/>
    <w:uiPriority w:val="99"/>
    <w:semiHidden/>
    <w:unhideWhenUsed/>
    <w:rsid w:val="00A70F3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oleObject" Target="embeddings/oleObject5.bin"/><Relationship Id="rId26" Type="http://schemas.openxmlformats.org/officeDocument/2006/relationships/oleObject" Target="embeddings/oleObject9.bin"/><Relationship Id="rId39" Type="http://schemas.openxmlformats.org/officeDocument/2006/relationships/image" Target="media/image16.wmf"/><Relationship Id="rId21" Type="http://schemas.openxmlformats.org/officeDocument/2006/relationships/image" Target="media/image7.wmf"/><Relationship Id="rId34" Type="http://schemas.openxmlformats.org/officeDocument/2006/relationships/oleObject" Target="embeddings/oleObject13.bin"/><Relationship Id="rId42" Type="http://schemas.openxmlformats.org/officeDocument/2006/relationships/hyperlink" Target="http://www.aemc.gov.au/getattachment/f18d8d43-c49b-4a31-b8b6-246073ee2d17/National-Electricity-Rules-Version-79.aspx" TargetMode="External"/><Relationship Id="rId47" Type="http://schemas.openxmlformats.org/officeDocument/2006/relationships/hyperlink" Target="http://www.qca.org.au" TargetMode="External"/><Relationship Id="rId50" Type="http://schemas.openxmlformats.org/officeDocument/2006/relationships/hyperlink" Target="http://www.aer.gov.au" TargetMode="External"/><Relationship Id="rId55" Type="http://schemas.openxmlformats.org/officeDocument/2006/relationships/hyperlink" Target="http://www.erawa.com.au" TargetMode="External"/><Relationship Id="rId63"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image" Target="media/image11.wmf"/><Relationship Id="rId41" Type="http://schemas.openxmlformats.org/officeDocument/2006/relationships/hyperlink" Target="http://www.competitiontribunal.gov.au" TargetMode="External"/><Relationship Id="rId54" Type="http://schemas.openxmlformats.org/officeDocument/2006/relationships/hyperlink" Target="http://www.erawa.com.au"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image" Target="media/image15.wmf"/><Relationship Id="rId40" Type="http://schemas.openxmlformats.org/officeDocument/2006/relationships/oleObject" Target="embeddings/oleObject16.bin"/><Relationship Id="rId45" Type="http://schemas.openxmlformats.org/officeDocument/2006/relationships/hyperlink" Target="http://www.aer.gov.au" TargetMode="External"/><Relationship Id="rId53" Type="http://schemas.openxmlformats.org/officeDocument/2006/relationships/hyperlink" Target="http://www.aer.gov.au" TargetMode="External"/><Relationship Id="rId58"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hyperlink" Target="http://www.qca.org.au" TargetMode="External"/><Relationship Id="rId57" Type="http://schemas.openxmlformats.org/officeDocument/2006/relationships/header" Target="header2.xml"/><Relationship Id="rId61" Type="http://schemas.openxmlformats.org/officeDocument/2006/relationships/footer" Target="footer3.xml"/><Relationship Id="rId10" Type="http://schemas.openxmlformats.org/officeDocument/2006/relationships/oleObject" Target="embeddings/oleObject1.bin"/><Relationship Id="rId19" Type="http://schemas.openxmlformats.org/officeDocument/2006/relationships/image" Target="media/image6.wmf"/><Relationship Id="rId31" Type="http://schemas.openxmlformats.org/officeDocument/2006/relationships/image" Target="media/image12.wmf"/><Relationship Id="rId44" Type="http://schemas.openxmlformats.org/officeDocument/2006/relationships/hyperlink" Target="http://www.aer.gov.au" TargetMode="External"/><Relationship Id="rId52" Type="http://schemas.openxmlformats.org/officeDocument/2006/relationships/hyperlink" Target="http://www.erawa.com.au" TargetMode="External"/><Relationship Id="rId60"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0.wmf"/><Relationship Id="rId30" Type="http://schemas.openxmlformats.org/officeDocument/2006/relationships/oleObject" Target="embeddings/oleObject11.bin"/><Relationship Id="rId35" Type="http://schemas.openxmlformats.org/officeDocument/2006/relationships/image" Target="media/image14.wmf"/><Relationship Id="rId43" Type="http://schemas.openxmlformats.org/officeDocument/2006/relationships/hyperlink" Target="http://www.cifr.edu.au" TargetMode="External"/><Relationship Id="rId48" Type="http://schemas.openxmlformats.org/officeDocument/2006/relationships/hyperlink" Target="http://www.aer.gov.au" TargetMode="External"/><Relationship Id="rId56" Type="http://schemas.openxmlformats.org/officeDocument/2006/relationships/header" Target="header1.xml"/><Relationship Id="rId8" Type="http://schemas.openxmlformats.org/officeDocument/2006/relationships/endnotes" Target="endnotes.xml"/><Relationship Id="rId51" Type="http://schemas.openxmlformats.org/officeDocument/2006/relationships/hyperlink" Target="http://www.qca.org.au" TargetMode="External"/><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oleObject" Target="embeddings/oleObject15.bin"/><Relationship Id="rId46" Type="http://schemas.openxmlformats.org/officeDocument/2006/relationships/hyperlink" Target="http://www.aer.gov.au" TargetMode="External"/><Relationship Id="rId5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ECA114-9577-4AB5-8191-EF928D4190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2C35125C.dotm</Template>
  <TotalTime>1</TotalTime>
  <Pages>32</Pages>
  <Words>10403</Words>
  <Characters>59299</Characters>
  <Application>Microsoft Office Word</Application>
  <DocSecurity>4</DocSecurity>
  <Lines>494</Lines>
  <Paragraphs>139</Paragraphs>
  <ScaleCrop>false</ScaleCrop>
  <HeadingPairs>
    <vt:vector size="2" baseType="variant">
      <vt:variant>
        <vt:lpstr>Title</vt:lpstr>
      </vt:variant>
      <vt:variant>
        <vt:i4>1</vt:i4>
      </vt:variant>
    </vt:vector>
  </HeadingPairs>
  <TitlesOfParts>
    <vt:vector size="1" baseType="lpstr">
      <vt:lpstr/>
    </vt:vector>
  </TitlesOfParts>
  <Company>Victoria University of Wellington</Company>
  <LinksUpToDate>false</LinksUpToDate>
  <CharactersWithSpaces>69563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Issues in the estimation of gamma</dc:title>
  <dc:creator>Martin Lally</dc:creator>
  <cp:lastModifiedBy>Le Cornu, Matthew</cp:lastModifiedBy>
  <cp:revision>2</cp:revision>
  <cp:lastPrinted>2016-05-12T23:47:00Z</cp:lastPrinted>
  <dcterms:created xsi:type="dcterms:W3CDTF">2017-04-24T05:59:00Z</dcterms:created>
  <dcterms:modified xsi:type="dcterms:W3CDTF">2017-04-24T05:59:00Z</dcterms:modified>
</cp:coreProperties>
</file>