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C2" w:rsidRPr="00B62C96" w:rsidRDefault="008270B1" w:rsidP="008C3722">
      <w:pPr>
        <w:pStyle w:val="HeadingOrange"/>
        <w:rPr>
          <w:rStyle w:val="AERtextsize8"/>
          <w:rFonts w:ascii="Arial" w:hAnsi="Arial" w:cs="Arial"/>
        </w:rPr>
      </w:pPr>
      <w:r w:rsidRPr="00B62C96">
        <w:rPr>
          <w:rFonts w:ascii="Arial" w:hAnsi="Arial" w:cs="Arial"/>
          <w:noProof/>
          <w:lang w:eastAsia="en-AU"/>
        </w:rPr>
        <w:drawing>
          <wp:anchor distT="0" distB="0" distL="114300" distR="114300" simplePos="0" relativeHeight="251660288" behindDoc="1" locked="0" layoutInCell="1" allowOverlap="1" wp14:anchorId="4D65BB39" wp14:editId="52CC4A41">
            <wp:simplePos x="0" y="0"/>
            <wp:positionH relativeFrom="column">
              <wp:posOffset>-938255</wp:posOffset>
            </wp:positionH>
            <wp:positionV relativeFrom="paragraph">
              <wp:posOffset>-946205</wp:posOffset>
            </wp:positionV>
            <wp:extent cx="7601447" cy="10795832"/>
            <wp:effectExtent l="0" t="0" r="0" b="0"/>
            <wp:wrapNone/>
            <wp:docPr id="4" name="Picture 4"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1447" cy="10795832"/>
                    </a:xfrm>
                    <a:prstGeom prst="rect">
                      <a:avLst/>
                    </a:prstGeom>
                    <a:noFill/>
                    <a:ln>
                      <a:noFill/>
                    </a:ln>
                  </pic:spPr>
                </pic:pic>
              </a:graphicData>
            </a:graphic>
            <wp14:sizeRelH relativeFrom="page">
              <wp14:pctWidth>0</wp14:pctWidth>
            </wp14:sizeRelH>
            <wp14:sizeRelV relativeFrom="page">
              <wp14:pctHeight>0</wp14:pctHeight>
            </wp14:sizeRelV>
          </wp:anchor>
        </w:drawing>
      </w:r>
      <w:r w:rsidR="00CC49D4" w:rsidRPr="00B62C96">
        <w:rPr>
          <w:rFonts w:ascii="Arial" w:hAnsi="Arial" w:cs="Arial"/>
          <w:noProof/>
          <w:lang w:eastAsia="en-AU"/>
        </w:rPr>
        <w:drawing>
          <wp:anchor distT="0" distB="0" distL="114300" distR="114300" simplePos="0" relativeHeight="251652608" behindDoc="1" locked="0" layoutInCell="1" allowOverlap="1" wp14:anchorId="02498392" wp14:editId="5949375A">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2423F9" w:rsidRPr="00B62C96" w:rsidRDefault="002423F9" w:rsidP="002423F9">
      <w:pPr>
        <w:rPr>
          <w:rFonts w:ascii="Arial" w:hAnsi="Arial" w:cs="Arial"/>
        </w:rPr>
      </w:pPr>
    </w:p>
    <w:p w:rsidR="002423F9" w:rsidRPr="00B62C96" w:rsidRDefault="002423F9" w:rsidP="002423F9">
      <w:pPr>
        <w:pStyle w:val="AERbodytextnospace"/>
        <w:rPr>
          <w:rFonts w:ascii="Arial" w:hAnsi="Arial" w:cs="Arial"/>
        </w:rPr>
      </w:pPr>
    </w:p>
    <w:p w:rsidR="002423F9" w:rsidRPr="00B62C96" w:rsidRDefault="002423F9" w:rsidP="002423F9">
      <w:pPr>
        <w:rPr>
          <w:rFonts w:ascii="Arial" w:hAnsi="Arial" w:cs="Arial"/>
        </w:rPr>
      </w:pPr>
    </w:p>
    <w:p w:rsidR="002423F9" w:rsidRPr="00B62C96" w:rsidRDefault="002423F9" w:rsidP="002423F9">
      <w:pPr>
        <w:rPr>
          <w:rFonts w:ascii="Arial" w:hAnsi="Arial" w:cs="Arial"/>
        </w:rPr>
      </w:pPr>
    </w:p>
    <w:p w:rsidR="002423F9" w:rsidRPr="00B62C96" w:rsidRDefault="002423F9" w:rsidP="002423F9">
      <w:pPr>
        <w:rPr>
          <w:rFonts w:ascii="Arial" w:hAnsi="Arial" w:cs="Arial"/>
        </w:rPr>
      </w:pPr>
    </w:p>
    <w:p w:rsidR="002423F9" w:rsidRPr="00B62C96" w:rsidRDefault="002423F9" w:rsidP="002423F9">
      <w:pPr>
        <w:rPr>
          <w:rFonts w:ascii="Arial" w:hAnsi="Arial" w:cs="Arial"/>
        </w:rPr>
      </w:pPr>
    </w:p>
    <w:p w:rsidR="002423F9" w:rsidRPr="00B62C96" w:rsidRDefault="002423F9" w:rsidP="002423F9">
      <w:pPr>
        <w:rPr>
          <w:rFonts w:ascii="Arial" w:hAnsi="Arial" w:cs="Arial"/>
        </w:rPr>
      </w:pPr>
    </w:p>
    <w:p w:rsidR="002423F9" w:rsidRPr="00B62C96" w:rsidRDefault="009B0D1C" w:rsidP="00937CE8">
      <w:pPr>
        <w:pStyle w:val="AERtitle2"/>
        <w:rPr>
          <w:rFonts w:ascii="Arial" w:hAnsi="Arial" w:cs="Arial"/>
        </w:rPr>
      </w:pPr>
      <w:r w:rsidRPr="00B62C96">
        <w:rPr>
          <w:rFonts w:ascii="Arial" w:hAnsi="Arial" w:cs="Arial"/>
        </w:rPr>
        <w:t>Final decision</w:t>
      </w:r>
    </w:p>
    <w:p w:rsidR="00A91499" w:rsidRPr="00B62C96" w:rsidRDefault="00A91499" w:rsidP="00937CE8">
      <w:pPr>
        <w:pStyle w:val="AERtitle2"/>
        <w:rPr>
          <w:rFonts w:ascii="Arial" w:hAnsi="Arial" w:cs="Arial"/>
        </w:rPr>
      </w:pPr>
    </w:p>
    <w:p w:rsidR="00140053" w:rsidRPr="00B62C96" w:rsidRDefault="00140053" w:rsidP="00937CE8">
      <w:pPr>
        <w:pStyle w:val="AERtitle2"/>
        <w:rPr>
          <w:rFonts w:ascii="Arial" w:hAnsi="Arial" w:cs="Arial"/>
        </w:rPr>
      </w:pPr>
    </w:p>
    <w:p w:rsidR="00A91499" w:rsidRPr="00B62C96" w:rsidRDefault="00140053" w:rsidP="00140053">
      <w:pPr>
        <w:pStyle w:val="AERtitle1"/>
        <w:rPr>
          <w:rFonts w:ascii="Arial" w:hAnsi="Arial" w:cs="Arial"/>
        </w:rPr>
      </w:pPr>
      <w:r w:rsidRPr="00B62C96">
        <w:rPr>
          <w:rFonts w:ascii="Arial" w:hAnsi="Arial" w:cs="Arial"/>
        </w:rPr>
        <w:t>Amendment</w:t>
      </w:r>
    </w:p>
    <w:p w:rsidR="002423F9" w:rsidRPr="00B62C96" w:rsidRDefault="0078730A" w:rsidP="002423F9">
      <w:pPr>
        <w:pStyle w:val="AERtitle1"/>
        <w:rPr>
          <w:rFonts w:ascii="Arial" w:hAnsi="Arial" w:cs="Arial"/>
        </w:rPr>
      </w:pPr>
      <w:r w:rsidRPr="00B62C96">
        <w:rPr>
          <w:rFonts w:ascii="Arial" w:hAnsi="Arial" w:cs="Arial"/>
        </w:rPr>
        <w:t xml:space="preserve">Electricity </w:t>
      </w:r>
      <w:r w:rsidR="00A91499" w:rsidRPr="00B62C96">
        <w:rPr>
          <w:rFonts w:ascii="Arial" w:hAnsi="Arial" w:cs="Arial"/>
        </w:rPr>
        <w:t>d</w:t>
      </w:r>
      <w:r w:rsidR="00120245" w:rsidRPr="00B62C96">
        <w:rPr>
          <w:rFonts w:ascii="Arial" w:hAnsi="Arial" w:cs="Arial"/>
        </w:rPr>
        <w:t>istribution network service providers</w:t>
      </w:r>
    </w:p>
    <w:p w:rsidR="00A91499" w:rsidRPr="00B62C96" w:rsidRDefault="00A91499" w:rsidP="002423F9">
      <w:pPr>
        <w:pStyle w:val="AERtitle1"/>
        <w:rPr>
          <w:rFonts w:ascii="Arial" w:hAnsi="Arial" w:cs="Arial"/>
        </w:rPr>
      </w:pPr>
      <w:r w:rsidRPr="00B62C96">
        <w:rPr>
          <w:rFonts w:ascii="Arial" w:hAnsi="Arial" w:cs="Arial"/>
        </w:rPr>
        <w:t>Post-tax revenue model</w:t>
      </w:r>
      <w:r w:rsidR="00120245" w:rsidRPr="00B62C96">
        <w:rPr>
          <w:rFonts w:ascii="Arial" w:hAnsi="Arial" w:cs="Arial"/>
        </w:rPr>
        <w:t xml:space="preserve"> handbook</w:t>
      </w:r>
    </w:p>
    <w:p w:rsidR="002423F9" w:rsidRPr="00B62C96" w:rsidRDefault="002423F9" w:rsidP="002423F9">
      <w:pPr>
        <w:rPr>
          <w:rFonts w:ascii="Arial" w:hAnsi="Arial" w:cs="Arial"/>
        </w:rPr>
      </w:pPr>
    </w:p>
    <w:p w:rsidR="002423F9" w:rsidRPr="00B62C96" w:rsidRDefault="002423F9" w:rsidP="002423F9">
      <w:pPr>
        <w:rPr>
          <w:rFonts w:ascii="Arial" w:hAnsi="Arial" w:cs="Arial"/>
        </w:rPr>
      </w:pPr>
    </w:p>
    <w:p w:rsidR="002423F9" w:rsidRPr="00B62C96" w:rsidRDefault="002423F9" w:rsidP="002423F9">
      <w:pPr>
        <w:rPr>
          <w:rFonts w:ascii="Arial" w:hAnsi="Arial" w:cs="Arial"/>
        </w:rPr>
      </w:pPr>
    </w:p>
    <w:p w:rsidR="002423F9" w:rsidRPr="00B62C96" w:rsidRDefault="00B46871" w:rsidP="002423F9">
      <w:pPr>
        <w:pStyle w:val="AERtitle2"/>
        <w:rPr>
          <w:rFonts w:ascii="Arial" w:hAnsi="Arial" w:cs="Arial"/>
        </w:rPr>
      </w:pPr>
      <w:r>
        <w:rPr>
          <w:rFonts w:ascii="Arial" w:hAnsi="Arial" w:cs="Arial"/>
        </w:rPr>
        <w:t>29</w:t>
      </w:r>
      <w:r w:rsidR="000547D4" w:rsidRPr="00B62C96">
        <w:rPr>
          <w:rFonts w:ascii="Arial" w:hAnsi="Arial" w:cs="Arial"/>
        </w:rPr>
        <w:t xml:space="preserve"> Jan</w:t>
      </w:r>
      <w:r w:rsidR="009B0D1C" w:rsidRPr="00B62C96">
        <w:rPr>
          <w:rFonts w:ascii="Arial" w:hAnsi="Arial" w:cs="Arial"/>
        </w:rPr>
        <w:t>uary 2015</w:t>
      </w:r>
    </w:p>
    <w:p w:rsidR="002423F9" w:rsidRPr="00B62C96" w:rsidRDefault="002423F9" w:rsidP="002423F9">
      <w:pPr>
        <w:rPr>
          <w:rStyle w:val="AERtextbold"/>
          <w:rFonts w:ascii="Arial" w:hAnsi="Arial" w:cs="Arial"/>
        </w:rPr>
      </w:pPr>
      <w:r w:rsidRPr="00B62C96">
        <w:rPr>
          <w:rStyle w:val="AERtextbold"/>
          <w:rFonts w:ascii="Arial" w:hAnsi="Arial" w:cs="Arial"/>
        </w:rPr>
        <w:br w:type="page"/>
      </w:r>
    </w:p>
    <w:p w:rsidR="008270B1" w:rsidRPr="00B62C96" w:rsidRDefault="008F4EB7" w:rsidP="008270B1">
      <w:pPr>
        <w:rPr>
          <w:rFonts w:ascii="Arial" w:hAnsi="Arial" w:cs="Arial"/>
        </w:rPr>
      </w:pPr>
      <w:r w:rsidRPr="00B62C96">
        <w:rPr>
          <w:rFonts w:ascii="Arial" w:hAnsi="Arial" w:cs="Arial"/>
        </w:rPr>
        <w:lastRenderedPageBreak/>
        <w:t>© Commonwealth of Australia 2015</w:t>
      </w:r>
    </w:p>
    <w:p w:rsidR="008270B1" w:rsidRPr="00B62C96" w:rsidRDefault="008270B1" w:rsidP="008270B1">
      <w:pPr>
        <w:rPr>
          <w:rFonts w:ascii="Arial" w:hAnsi="Arial" w:cs="Arial"/>
        </w:rPr>
      </w:pPr>
      <w:r w:rsidRPr="00B62C96">
        <w:rPr>
          <w:rFonts w:ascii="Arial" w:hAnsi="Arial" w:cs="Arial"/>
        </w:rPr>
        <w:t>This work is copyright. In addition to any use permitted under the Copyright Act 1968, all material contained within this work is provided under a Creative Commons Attribution 3.0 Australia licence, with the exception of:</w:t>
      </w:r>
    </w:p>
    <w:p w:rsidR="008270B1" w:rsidRPr="00B62C96" w:rsidRDefault="008270B1" w:rsidP="005C3CBC">
      <w:pPr>
        <w:pStyle w:val="AERbulletlistfirststyle"/>
        <w:tabs>
          <w:tab w:val="clear" w:pos="357"/>
          <w:tab w:val="left" w:pos="426"/>
        </w:tabs>
        <w:ind w:left="426" w:hanging="426"/>
        <w:rPr>
          <w:rStyle w:val="AERbody"/>
          <w:rFonts w:ascii="Arial" w:hAnsi="Arial" w:cs="Arial"/>
        </w:rPr>
      </w:pPr>
      <w:r w:rsidRPr="00B62C96">
        <w:rPr>
          <w:rStyle w:val="AERbody"/>
          <w:rFonts w:ascii="Arial" w:hAnsi="Arial" w:cs="Arial"/>
        </w:rPr>
        <w:t>the Commonwealth Coat of Arms</w:t>
      </w:r>
    </w:p>
    <w:p w:rsidR="008270B1" w:rsidRPr="00B62C96" w:rsidRDefault="008270B1" w:rsidP="005C3CBC">
      <w:pPr>
        <w:pStyle w:val="AERbulletlistfirststyle"/>
        <w:tabs>
          <w:tab w:val="clear" w:pos="357"/>
          <w:tab w:val="left" w:pos="426"/>
        </w:tabs>
        <w:ind w:left="426" w:hanging="426"/>
        <w:rPr>
          <w:rStyle w:val="AERbody"/>
          <w:rFonts w:ascii="Arial" w:hAnsi="Arial" w:cs="Arial"/>
        </w:rPr>
      </w:pPr>
      <w:r w:rsidRPr="00B62C96">
        <w:rPr>
          <w:rStyle w:val="AERbody"/>
          <w:rFonts w:ascii="Arial" w:hAnsi="Arial" w:cs="Arial"/>
        </w:rPr>
        <w:t>the ACCC and AER logos</w:t>
      </w:r>
    </w:p>
    <w:p w:rsidR="008270B1" w:rsidRPr="00B62C96" w:rsidRDefault="008270B1" w:rsidP="005C3CBC">
      <w:pPr>
        <w:pStyle w:val="AERbulletlistfirststyle"/>
        <w:tabs>
          <w:tab w:val="clear" w:pos="357"/>
          <w:tab w:val="left" w:pos="426"/>
        </w:tabs>
        <w:ind w:left="426" w:hanging="426"/>
        <w:rPr>
          <w:rStyle w:val="AERbody"/>
          <w:rFonts w:ascii="Arial" w:hAnsi="Arial" w:cs="Arial"/>
        </w:rPr>
      </w:pPr>
      <w:r w:rsidRPr="00B62C96">
        <w:rPr>
          <w:rStyle w:val="AERbody"/>
          <w:rFonts w:ascii="Arial" w:hAnsi="Arial" w:cs="Arial"/>
        </w:rPr>
        <w:t>any illustration, diagram, photograph or graphic over which the Australian Competition and Consumer Commission does not hold copyright, but which may be part of or contained within this publication.</w:t>
      </w:r>
    </w:p>
    <w:p w:rsidR="008270B1" w:rsidRPr="00B62C96" w:rsidRDefault="008270B1" w:rsidP="008270B1">
      <w:pPr>
        <w:rPr>
          <w:rFonts w:ascii="Arial" w:hAnsi="Arial" w:cs="Arial"/>
        </w:rPr>
      </w:pPr>
      <w:r w:rsidRPr="00B62C96">
        <w:rPr>
          <w:rFonts w:ascii="Arial" w:hAnsi="Arial" w:cs="Arial"/>
        </w:rPr>
        <w:t>The details of the relevant licence conditions are available on the Creative Commons website, as is the full legal code for the CC BY 3.0 AU licence.</w:t>
      </w:r>
    </w:p>
    <w:p w:rsidR="008270B1" w:rsidRPr="00B62C96" w:rsidRDefault="008270B1" w:rsidP="008270B1">
      <w:pPr>
        <w:rPr>
          <w:rFonts w:ascii="Arial" w:hAnsi="Arial" w:cs="Arial"/>
        </w:rPr>
      </w:pPr>
      <w:r w:rsidRPr="00B62C96">
        <w:rPr>
          <w:rFonts w:ascii="Arial" w:hAnsi="Arial" w:cs="Arial"/>
        </w:rPr>
        <w:t xml:space="preserve">Requests and inquiries concerning reproduction and rights should be addressed to the Director, Corporate Communications, ACCC, GPO Box 3131, Canberra ACT 2601, or </w:t>
      </w:r>
      <w:hyperlink r:id="rId10" w:history="1">
        <w:r w:rsidRPr="00B62C96">
          <w:rPr>
            <w:rStyle w:val="Hyperlink"/>
            <w:rFonts w:ascii="Arial" w:hAnsi="Arial" w:cs="Arial"/>
          </w:rPr>
          <w:t>publishing.unit@accc.gov.au</w:t>
        </w:r>
      </w:hyperlink>
      <w:r w:rsidRPr="00B62C96">
        <w:rPr>
          <w:rFonts w:ascii="Arial" w:hAnsi="Arial" w:cs="Arial"/>
        </w:rPr>
        <w:t>.</w:t>
      </w:r>
    </w:p>
    <w:p w:rsidR="008270B1" w:rsidRPr="00B62C96" w:rsidRDefault="008270B1" w:rsidP="008270B1">
      <w:pPr>
        <w:pStyle w:val="AERbodytext"/>
        <w:numPr>
          <w:ilvl w:val="0"/>
          <w:numId w:val="9"/>
        </w:numPr>
        <w:rPr>
          <w:rFonts w:ascii="Arial" w:hAnsi="Arial" w:cs="Arial"/>
        </w:rPr>
      </w:pPr>
      <w:r w:rsidRPr="00B62C96">
        <w:rPr>
          <w:rFonts w:ascii="Arial" w:hAnsi="Arial" w:cs="Arial"/>
        </w:rPr>
        <w:t>Inquiries about this decision should be addressed to:</w:t>
      </w:r>
    </w:p>
    <w:p w:rsidR="008270B1" w:rsidRPr="00B62C96" w:rsidRDefault="008270B1" w:rsidP="008270B1">
      <w:pPr>
        <w:pStyle w:val="AERbodytextnospaceleftalign"/>
        <w:rPr>
          <w:rStyle w:val="AERbody"/>
          <w:rFonts w:ascii="Arial" w:hAnsi="Arial" w:cs="Arial"/>
        </w:rPr>
      </w:pPr>
      <w:r w:rsidRPr="00B62C96">
        <w:rPr>
          <w:rStyle w:val="AERbody"/>
          <w:rFonts w:ascii="Arial" w:hAnsi="Arial" w:cs="Arial"/>
        </w:rPr>
        <w:t>Australian Energy Regulator</w:t>
      </w:r>
    </w:p>
    <w:p w:rsidR="008270B1" w:rsidRPr="00B62C96" w:rsidRDefault="008270B1" w:rsidP="008270B1">
      <w:pPr>
        <w:pStyle w:val="AERbodytextnospaceleftalign"/>
        <w:rPr>
          <w:rStyle w:val="AERbody"/>
          <w:rFonts w:ascii="Arial" w:hAnsi="Arial" w:cs="Arial"/>
        </w:rPr>
      </w:pPr>
      <w:r w:rsidRPr="00B62C96">
        <w:rPr>
          <w:rStyle w:val="AERbody"/>
          <w:rFonts w:ascii="Arial" w:hAnsi="Arial" w:cs="Arial"/>
        </w:rPr>
        <w:t>GPO Box 520</w:t>
      </w:r>
    </w:p>
    <w:p w:rsidR="008270B1" w:rsidRPr="00B62C96" w:rsidRDefault="008270B1" w:rsidP="008270B1">
      <w:pPr>
        <w:pStyle w:val="AERbodytextnospaceleftalign"/>
        <w:rPr>
          <w:rStyle w:val="AERbody"/>
          <w:rFonts w:ascii="Arial" w:hAnsi="Arial" w:cs="Arial"/>
        </w:rPr>
      </w:pPr>
      <w:r w:rsidRPr="00B62C96">
        <w:rPr>
          <w:rStyle w:val="AERbody"/>
          <w:rFonts w:ascii="Arial" w:hAnsi="Arial" w:cs="Arial"/>
        </w:rPr>
        <w:t>Melbourne Vic 3001</w:t>
      </w:r>
    </w:p>
    <w:p w:rsidR="008270B1" w:rsidRPr="00B62C96" w:rsidRDefault="008270B1" w:rsidP="008270B1">
      <w:pPr>
        <w:pStyle w:val="AERbodytextnospaceleftalign"/>
        <w:rPr>
          <w:rStyle w:val="AERbody"/>
          <w:rFonts w:ascii="Arial" w:hAnsi="Arial" w:cs="Arial"/>
        </w:rPr>
      </w:pPr>
      <w:r w:rsidRPr="00B62C96">
        <w:rPr>
          <w:rStyle w:val="AERbody"/>
          <w:rFonts w:ascii="Arial" w:hAnsi="Arial" w:cs="Arial"/>
        </w:rPr>
        <w:t>Tel: (03) 9290 1444</w:t>
      </w:r>
    </w:p>
    <w:p w:rsidR="008270B1" w:rsidRPr="00B62C96" w:rsidRDefault="008270B1" w:rsidP="008270B1">
      <w:pPr>
        <w:pStyle w:val="AERbodytextnospaceleftalign"/>
        <w:rPr>
          <w:rStyle w:val="AERbody"/>
          <w:rFonts w:ascii="Arial" w:hAnsi="Arial" w:cs="Arial"/>
        </w:rPr>
      </w:pPr>
      <w:r w:rsidRPr="00B62C96">
        <w:rPr>
          <w:rStyle w:val="AERbody"/>
          <w:rFonts w:ascii="Arial" w:hAnsi="Arial" w:cs="Arial"/>
        </w:rPr>
        <w:t>Fax: (03) 9290 1457</w:t>
      </w:r>
    </w:p>
    <w:p w:rsidR="008270B1" w:rsidRPr="00B62C96" w:rsidRDefault="008270B1" w:rsidP="008270B1">
      <w:pPr>
        <w:pStyle w:val="AERbodytextnospaceleftalign"/>
        <w:rPr>
          <w:rStyle w:val="AERbody"/>
          <w:rFonts w:ascii="Arial" w:hAnsi="Arial" w:cs="Arial"/>
        </w:rPr>
      </w:pPr>
      <w:r w:rsidRPr="00B62C96">
        <w:rPr>
          <w:rStyle w:val="AERbody"/>
          <w:rFonts w:ascii="Arial" w:hAnsi="Arial" w:cs="Arial"/>
        </w:rPr>
        <w:t xml:space="preserve">Email: </w:t>
      </w:r>
      <w:hyperlink r:id="rId11" w:history="1">
        <w:r w:rsidRPr="00B62C96">
          <w:rPr>
            <w:rStyle w:val="Hyperlink"/>
            <w:rFonts w:ascii="Arial" w:hAnsi="Arial" w:cs="Arial"/>
          </w:rPr>
          <w:t>AERInquiry@aer.gov.au</w:t>
        </w:r>
      </w:hyperlink>
    </w:p>
    <w:p w:rsidR="008270B1" w:rsidRPr="00B62C96" w:rsidRDefault="008270B1" w:rsidP="008270B1">
      <w:pPr>
        <w:pStyle w:val="AERbodytextnospace"/>
        <w:numPr>
          <w:ilvl w:val="0"/>
          <w:numId w:val="9"/>
        </w:numPr>
        <w:rPr>
          <w:rStyle w:val="AERtextbold"/>
          <w:rFonts w:ascii="Arial" w:hAnsi="Arial" w:cs="Arial"/>
        </w:rPr>
      </w:pPr>
    </w:p>
    <w:p w:rsidR="008270B1" w:rsidRPr="00B62C96" w:rsidRDefault="008270B1" w:rsidP="008270B1">
      <w:pPr>
        <w:pStyle w:val="AERbodytextnospace"/>
        <w:numPr>
          <w:ilvl w:val="0"/>
          <w:numId w:val="9"/>
        </w:numPr>
        <w:rPr>
          <w:rStyle w:val="AERtextbold"/>
          <w:rFonts w:ascii="Arial" w:hAnsi="Arial" w:cs="Arial"/>
        </w:rPr>
      </w:pPr>
    </w:p>
    <w:p w:rsidR="008270B1" w:rsidRPr="00B62C96" w:rsidRDefault="008270B1" w:rsidP="008270B1">
      <w:pPr>
        <w:pStyle w:val="AERbodytext"/>
        <w:numPr>
          <w:ilvl w:val="0"/>
          <w:numId w:val="9"/>
        </w:numPr>
        <w:rPr>
          <w:rStyle w:val="AERbody"/>
          <w:rFonts w:ascii="Arial" w:hAnsi="Arial" w:cs="Arial"/>
        </w:rPr>
      </w:pPr>
      <w:r w:rsidRPr="00B62C96">
        <w:rPr>
          <w:rStyle w:val="AERbody"/>
          <w:rFonts w:ascii="Arial" w:hAnsi="Arial" w:cs="Arial"/>
        </w:rPr>
        <w:t>AER reference:</w:t>
      </w:r>
      <w:r w:rsidRPr="00B62C96">
        <w:rPr>
          <w:rStyle w:val="AERbody"/>
          <w:rFonts w:ascii="Arial" w:hAnsi="Arial" w:cs="Arial"/>
        </w:rPr>
        <w:tab/>
        <w:t>55444</w:t>
      </w:r>
    </w:p>
    <w:p w:rsidR="008270B1" w:rsidRPr="00B62C96" w:rsidRDefault="008270B1" w:rsidP="008270B1">
      <w:pPr>
        <w:pStyle w:val="AERbodytextnospace"/>
        <w:numPr>
          <w:ilvl w:val="0"/>
          <w:numId w:val="9"/>
        </w:numPr>
        <w:rPr>
          <w:rStyle w:val="AERtextbold"/>
          <w:rFonts w:ascii="Arial" w:hAnsi="Arial" w:cs="Arial"/>
        </w:rPr>
      </w:pPr>
      <w:r w:rsidRPr="00B62C96">
        <w:rPr>
          <w:rStyle w:val="AERtextbold"/>
          <w:rFonts w:ascii="Arial" w:hAnsi="Arial" w:cs="Arial"/>
        </w:rPr>
        <w:t xml:space="preserve">Amendment record </w:t>
      </w:r>
    </w:p>
    <w:tbl>
      <w:tblPr>
        <w:tblStyle w:val="AERtable-text"/>
        <w:tblW w:w="5000" w:type="pct"/>
        <w:tblLook w:val="01E0" w:firstRow="1" w:lastRow="1" w:firstColumn="1" w:lastColumn="1" w:noHBand="0" w:noVBand="0"/>
      </w:tblPr>
      <w:tblGrid>
        <w:gridCol w:w="2310"/>
        <w:gridCol w:w="2310"/>
        <w:gridCol w:w="2311"/>
        <w:gridCol w:w="2311"/>
      </w:tblGrid>
      <w:tr w:rsidR="008270B1" w:rsidRPr="00B62C96" w:rsidTr="008270B1">
        <w:trPr>
          <w:cnfStyle w:val="100000000000" w:firstRow="1" w:lastRow="0" w:firstColumn="0" w:lastColumn="0" w:oddVBand="0" w:evenVBand="0" w:oddHBand="0" w:evenHBand="0" w:firstRowFirstColumn="0" w:firstRowLastColumn="0" w:lastRowFirstColumn="0" w:lastRowLastColumn="0"/>
        </w:trPr>
        <w:tc>
          <w:tcPr>
            <w:tcW w:w="1250" w:type="pct"/>
          </w:tcPr>
          <w:p w:rsidR="008270B1" w:rsidRPr="00B62C96" w:rsidRDefault="008270B1" w:rsidP="008270B1">
            <w:pPr>
              <w:pStyle w:val="AERtabletextleft"/>
              <w:rPr>
                <w:rFonts w:ascii="Arial" w:hAnsi="Arial" w:cs="Arial"/>
              </w:rPr>
            </w:pPr>
            <w:r w:rsidRPr="00B62C96">
              <w:rPr>
                <w:rFonts w:ascii="Arial" w:hAnsi="Arial" w:cs="Arial"/>
              </w:rPr>
              <w:t>Handbook version</w:t>
            </w:r>
          </w:p>
        </w:tc>
        <w:tc>
          <w:tcPr>
            <w:tcW w:w="1250" w:type="pct"/>
          </w:tcPr>
          <w:p w:rsidR="008270B1" w:rsidRPr="00B62C96" w:rsidRDefault="008270B1" w:rsidP="008270B1">
            <w:pPr>
              <w:pStyle w:val="AERtabletextleft"/>
              <w:rPr>
                <w:rFonts w:ascii="Arial" w:hAnsi="Arial" w:cs="Arial"/>
              </w:rPr>
            </w:pPr>
            <w:r w:rsidRPr="00B62C96">
              <w:rPr>
                <w:rFonts w:ascii="Arial" w:hAnsi="Arial" w:cs="Arial"/>
              </w:rPr>
              <w:t>Model version</w:t>
            </w:r>
          </w:p>
        </w:tc>
        <w:tc>
          <w:tcPr>
            <w:tcW w:w="1250" w:type="pct"/>
          </w:tcPr>
          <w:p w:rsidR="008270B1" w:rsidRPr="00B62C96" w:rsidRDefault="008270B1" w:rsidP="008270B1">
            <w:pPr>
              <w:pStyle w:val="AERtabletextleft"/>
              <w:rPr>
                <w:rFonts w:ascii="Arial" w:hAnsi="Arial" w:cs="Arial"/>
              </w:rPr>
            </w:pPr>
            <w:r w:rsidRPr="00B62C96">
              <w:rPr>
                <w:rFonts w:ascii="Arial" w:hAnsi="Arial" w:cs="Arial"/>
              </w:rPr>
              <w:t>Date</w:t>
            </w:r>
          </w:p>
        </w:tc>
        <w:tc>
          <w:tcPr>
            <w:tcW w:w="1250" w:type="pct"/>
          </w:tcPr>
          <w:p w:rsidR="008270B1" w:rsidRPr="00B62C96" w:rsidRDefault="008270B1" w:rsidP="008270B1">
            <w:pPr>
              <w:pStyle w:val="AERtabletextleft"/>
              <w:rPr>
                <w:rFonts w:ascii="Arial" w:hAnsi="Arial" w:cs="Arial"/>
              </w:rPr>
            </w:pPr>
            <w:r w:rsidRPr="00B62C96">
              <w:rPr>
                <w:rFonts w:ascii="Arial" w:hAnsi="Arial" w:cs="Arial"/>
              </w:rPr>
              <w:t>Pages</w:t>
            </w:r>
          </w:p>
        </w:tc>
      </w:tr>
      <w:tr w:rsidR="008270B1" w:rsidRPr="00B62C96" w:rsidTr="008270B1">
        <w:tc>
          <w:tcPr>
            <w:tcW w:w="1250" w:type="pct"/>
          </w:tcPr>
          <w:p w:rsidR="008270B1" w:rsidRPr="00B62C96" w:rsidRDefault="008270B1" w:rsidP="008270B1">
            <w:pPr>
              <w:pStyle w:val="AERtabletextleft"/>
              <w:rPr>
                <w:rFonts w:ascii="Arial" w:hAnsi="Arial" w:cs="Arial"/>
              </w:rPr>
            </w:pPr>
            <w:r w:rsidRPr="00B62C96">
              <w:rPr>
                <w:rFonts w:ascii="Arial" w:hAnsi="Arial" w:cs="Arial"/>
              </w:rPr>
              <w:t>1</w:t>
            </w:r>
          </w:p>
        </w:tc>
        <w:tc>
          <w:tcPr>
            <w:tcW w:w="1250" w:type="pct"/>
          </w:tcPr>
          <w:p w:rsidR="008270B1" w:rsidRPr="00B62C96" w:rsidRDefault="008270B1" w:rsidP="008270B1">
            <w:pPr>
              <w:pStyle w:val="AERtabletextleft"/>
              <w:rPr>
                <w:rFonts w:ascii="Arial" w:hAnsi="Arial" w:cs="Arial"/>
              </w:rPr>
            </w:pPr>
            <w:r w:rsidRPr="00B62C96">
              <w:rPr>
                <w:rFonts w:ascii="Arial" w:hAnsi="Arial" w:cs="Arial"/>
              </w:rPr>
              <w:t>1, 2</w:t>
            </w:r>
          </w:p>
        </w:tc>
        <w:tc>
          <w:tcPr>
            <w:tcW w:w="1250" w:type="pct"/>
          </w:tcPr>
          <w:p w:rsidR="008270B1" w:rsidRPr="00B62C96" w:rsidRDefault="008270B1" w:rsidP="008270B1">
            <w:pPr>
              <w:pStyle w:val="AERtabletextleft"/>
              <w:rPr>
                <w:rFonts w:ascii="Arial" w:hAnsi="Arial" w:cs="Arial"/>
              </w:rPr>
            </w:pPr>
            <w:r w:rsidRPr="00B62C96">
              <w:rPr>
                <w:rFonts w:ascii="Arial" w:hAnsi="Arial" w:cs="Arial"/>
              </w:rPr>
              <w:t>26 June 2008</w:t>
            </w:r>
          </w:p>
        </w:tc>
        <w:tc>
          <w:tcPr>
            <w:tcW w:w="1250" w:type="pct"/>
          </w:tcPr>
          <w:p w:rsidR="008270B1" w:rsidRPr="00B62C96" w:rsidRDefault="008270B1" w:rsidP="008270B1">
            <w:pPr>
              <w:pStyle w:val="AERtabletextleft"/>
              <w:rPr>
                <w:rFonts w:ascii="Arial" w:hAnsi="Arial" w:cs="Arial"/>
              </w:rPr>
            </w:pPr>
            <w:r w:rsidRPr="00B62C96">
              <w:rPr>
                <w:rFonts w:ascii="Arial" w:hAnsi="Arial" w:cs="Arial"/>
              </w:rPr>
              <w:t>22</w:t>
            </w:r>
          </w:p>
        </w:tc>
      </w:tr>
      <w:tr w:rsidR="008270B1" w:rsidRPr="00B62C96" w:rsidTr="008270B1">
        <w:trPr>
          <w:cnfStyle w:val="000000010000" w:firstRow="0" w:lastRow="0" w:firstColumn="0" w:lastColumn="0" w:oddVBand="0" w:evenVBand="0" w:oddHBand="0" w:evenHBand="1" w:firstRowFirstColumn="0" w:firstRowLastColumn="0" w:lastRowFirstColumn="0" w:lastRowLastColumn="0"/>
        </w:trPr>
        <w:tc>
          <w:tcPr>
            <w:tcW w:w="1250" w:type="pct"/>
          </w:tcPr>
          <w:p w:rsidR="008270B1" w:rsidRPr="00B62C96" w:rsidRDefault="008270B1" w:rsidP="008270B1">
            <w:pPr>
              <w:pStyle w:val="AERtabletextleft"/>
              <w:rPr>
                <w:rFonts w:ascii="Arial" w:hAnsi="Arial" w:cs="Arial"/>
              </w:rPr>
            </w:pPr>
            <w:r w:rsidRPr="00B62C96">
              <w:rPr>
                <w:rFonts w:ascii="Arial" w:hAnsi="Arial" w:cs="Arial"/>
              </w:rPr>
              <w:t>2</w:t>
            </w:r>
          </w:p>
        </w:tc>
        <w:tc>
          <w:tcPr>
            <w:tcW w:w="1250" w:type="pct"/>
          </w:tcPr>
          <w:p w:rsidR="008270B1" w:rsidRPr="00B62C96" w:rsidRDefault="008270B1" w:rsidP="008270B1">
            <w:pPr>
              <w:pStyle w:val="AERtabletextleft"/>
              <w:rPr>
                <w:rStyle w:val="AERtexthighlight"/>
                <w:rFonts w:ascii="Arial" w:hAnsi="Arial" w:cs="Arial"/>
                <w:shd w:val="clear" w:color="auto" w:fill="auto"/>
              </w:rPr>
            </w:pPr>
            <w:r w:rsidRPr="00B62C96">
              <w:rPr>
                <w:rStyle w:val="AERtexthighlight"/>
                <w:rFonts w:ascii="Arial" w:hAnsi="Arial" w:cs="Arial"/>
                <w:shd w:val="clear" w:color="auto" w:fill="auto"/>
              </w:rPr>
              <w:t>3</w:t>
            </w:r>
          </w:p>
        </w:tc>
        <w:tc>
          <w:tcPr>
            <w:tcW w:w="1250" w:type="pct"/>
          </w:tcPr>
          <w:p w:rsidR="008270B1" w:rsidRPr="00B62C96" w:rsidRDefault="00D804FF" w:rsidP="008270B1">
            <w:pPr>
              <w:pStyle w:val="AERtabletextleft"/>
              <w:rPr>
                <w:rStyle w:val="AERtexthighlight"/>
                <w:rFonts w:ascii="Arial" w:hAnsi="Arial" w:cs="Arial"/>
                <w:shd w:val="clear" w:color="auto" w:fill="auto"/>
              </w:rPr>
            </w:pPr>
            <w:r w:rsidRPr="00B62C96">
              <w:rPr>
                <w:rStyle w:val="AERtexthighlight"/>
                <w:rFonts w:ascii="Arial" w:hAnsi="Arial" w:cs="Arial"/>
                <w:shd w:val="clear" w:color="auto" w:fill="auto"/>
              </w:rPr>
              <w:t xml:space="preserve">30  </w:t>
            </w:r>
            <w:r w:rsidR="007A7AD3" w:rsidRPr="00B62C96">
              <w:rPr>
                <w:rStyle w:val="AERtexthighlight"/>
                <w:rFonts w:ascii="Arial" w:hAnsi="Arial" w:cs="Arial"/>
                <w:shd w:val="clear" w:color="auto" w:fill="auto"/>
              </w:rPr>
              <w:t>January 2015</w:t>
            </w:r>
          </w:p>
        </w:tc>
        <w:tc>
          <w:tcPr>
            <w:tcW w:w="1250" w:type="pct"/>
          </w:tcPr>
          <w:p w:rsidR="008270B1" w:rsidRPr="00B62C96" w:rsidRDefault="008F3620" w:rsidP="005C3CBC">
            <w:pPr>
              <w:pStyle w:val="AERtabletextleft"/>
              <w:rPr>
                <w:rFonts w:ascii="Arial" w:hAnsi="Arial" w:cs="Arial"/>
              </w:rPr>
            </w:pPr>
            <w:r w:rsidRPr="00B62C96">
              <w:rPr>
                <w:rFonts w:ascii="Arial" w:hAnsi="Arial" w:cs="Arial"/>
              </w:rPr>
              <w:t>4</w:t>
            </w:r>
            <w:r w:rsidR="005C3CBC">
              <w:rPr>
                <w:rFonts w:ascii="Arial" w:hAnsi="Arial" w:cs="Arial"/>
              </w:rPr>
              <w:t>0</w:t>
            </w:r>
          </w:p>
        </w:tc>
      </w:tr>
    </w:tbl>
    <w:p w:rsidR="008270B1" w:rsidRPr="00B62C96" w:rsidRDefault="008270B1" w:rsidP="008270B1">
      <w:pPr>
        <w:pStyle w:val="AERbodytext"/>
        <w:numPr>
          <w:ilvl w:val="0"/>
          <w:numId w:val="0"/>
        </w:numPr>
        <w:rPr>
          <w:rFonts w:ascii="Arial" w:hAnsi="Arial" w:cs="Arial"/>
        </w:rPr>
      </w:pPr>
    </w:p>
    <w:p w:rsidR="008270B1" w:rsidRPr="00B62C96" w:rsidRDefault="008270B1" w:rsidP="008270B1">
      <w:pPr>
        <w:pStyle w:val="AERbodytext"/>
        <w:numPr>
          <w:ilvl w:val="0"/>
          <w:numId w:val="0"/>
        </w:numPr>
        <w:rPr>
          <w:rFonts w:ascii="Arial" w:hAnsi="Arial" w:cs="Arial"/>
        </w:rPr>
      </w:pPr>
    </w:p>
    <w:p w:rsidR="002A3246" w:rsidRPr="00B62C96" w:rsidRDefault="002A3246" w:rsidP="002A3246">
      <w:pPr>
        <w:pStyle w:val="AERtitle2"/>
        <w:rPr>
          <w:rFonts w:ascii="Arial" w:hAnsi="Arial" w:cs="Arial"/>
        </w:rPr>
      </w:pPr>
    </w:p>
    <w:p w:rsidR="002423F9" w:rsidRPr="00B62C96" w:rsidRDefault="002423F9" w:rsidP="002423F9">
      <w:pPr>
        <w:rPr>
          <w:rFonts w:ascii="Arial" w:hAnsi="Arial" w:cs="Arial"/>
        </w:rPr>
      </w:pPr>
    </w:p>
    <w:p w:rsidR="00AF3E95" w:rsidRPr="00B62C96" w:rsidRDefault="00AF3E95" w:rsidP="0052577F">
      <w:pPr>
        <w:pStyle w:val="Heading7"/>
        <w:numPr>
          <w:ilvl w:val="0"/>
          <w:numId w:val="0"/>
        </w:numPr>
        <w:rPr>
          <w:rFonts w:ascii="Arial" w:hAnsi="Arial" w:cs="Arial"/>
        </w:rPr>
      </w:pPr>
      <w:bookmarkStart w:id="0" w:name="_Toc360023682"/>
      <w:bookmarkStart w:id="1" w:name="_Toc360024843"/>
      <w:bookmarkStart w:id="2" w:name="_Toc390238692"/>
      <w:bookmarkStart w:id="3" w:name="_Toc390341525"/>
      <w:bookmarkStart w:id="4" w:name="_Toc390341580"/>
      <w:bookmarkStart w:id="5" w:name="_Toc390341621"/>
      <w:bookmarkStart w:id="6" w:name="_Toc390875170"/>
      <w:r w:rsidRPr="00B62C96">
        <w:rPr>
          <w:rFonts w:ascii="Arial" w:hAnsi="Arial" w:cs="Arial"/>
        </w:rPr>
        <w:lastRenderedPageBreak/>
        <w:t>Contents</w:t>
      </w:r>
      <w:bookmarkEnd w:id="0"/>
      <w:bookmarkEnd w:id="1"/>
      <w:bookmarkEnd w:id="2"/>
      <w:bookmarkEnd w:id="3"/>
      <w:bookmarkEnd w:id="4"/>
      <w:bookmarkEnd w:id="5"/>
      <w:bookmarkEnd w:id="6"/>
    </w:p>
    <w:sdt>
      <w:sdtPr>
        <w:rPr>
          <w:rFonts w:ascii="Arial" w:hAnsi="Arial" w:cs="Arial"/>
          <w:b w:val="0"/>
          <w:bCs w:val="0"/>
        </w:rPr>
        <w:id w:val="-460344894"/>
        <w:docPartObj>
          <w:docPartGallery w:val="Table of Contents"/>
          <w:docPartUnique/>
        </w:docPartObj>
      </w:sdtPr>
      <w:sdtEndPr/>
      <w:sdtContent>
        <w:p w:rsidR="006C699B" w:rsidRDefault="00B46871">
          <w:pPr>
            <w:pStyle w:val="TOC1"/>
            <w:tabs>
              <w:tab w:val="right" w:leader="dot" w:pos="9016"/>
            </w:tabs>
            <w:rPr>
              <w:rFonts w:asciiTheme="minorHAnsi" w:eastAsiaTheme="minorEastAsia" w:hAnsiTheme="minorHAnsi" w:cstheme="minorBidi"/>
              <w:b w:val="0"/>
              <w:bCs w:val="0"/>
              <w:noProof/>
              <w:sz w:val="22"/>
              <w:szCs w:val="22"/>
              <w:lang w:eastAsia="en-AU"/>
            </w:rPr>
          </w:pPr>
          <w:r w:rsidRPr="00B46871">
            <w:rPr>
              <w:rFonts w:ascii="Arial" w:hAnsi="Arial" w:cs="Arial"/>
              <w:bCs w:val="0"/>
            </w:rPr>
            <w:t>Contents</w:t>
          </w:r>
          <w:r w:rsidRPr="00B46871">
            <w:rPr>
              <w:rFonts w:ascii="Arial" w:hAnsi="Arial" w:cs="Arial"/>
              <w:bCs w:val="0"/>
              <w:webHidden/>
            </w:rPr>
            <w:tab/>
          </w:r>
          <w:r w:rsidR="006E4D88">
            <w:rPr>
              <w:rFonts w:ascii="Arial" w:hAnsi="Arial" w:cs="Arial"/>
              <w:bCs w:val="0"/>
              <w:webHidden/>
            </w:rPr>
            <w:t xml:space="preserve">3 </w:t>
          </w:r>
          <w:r>
            <w:rPr>
              <w:rFonts w:ascii="Arial" w:hAnsi="Arial" w:cs="Arial"/>
              <w:bCs w:val="0"/>
              <w:webHidden/>
            </w:rPr>
            <w:br/>
          </w:r>
          <w:r>
            <w:rPr>
              <w:rFonts w:ascii="Arial" w:hAnsi="Arial" w:cs="Arial"/>
              <w:b w:val="0"/>
              <w:bCs w:val="0"/>
            </w:rPr>
            <w:br/>
          </w:r>
          <w:r w:rsidR="00657133" w:rsidRPr="00B62C96">
            <w:rPr>
              <w:rFonts w:ascii="Arial" w:hAnsi="Arial" w:cs="Arial"/>
            </w:rPr>
            <w:fldChar w:fldCharType="begin"/>
          </w:r>
          <w:r w:rsidR="00657133" w:rsidRPr="00B62C96">
            <w:rPr>
              <w:rFonts w:ascii="Arial" w:hAnsi="Arial" w:cs="Arial"/>
            </w:rPr>
            <w:instrText xml:space="preserve"> TOC \o "1-3" \h \z \u </w:instrText>
          </w:r>
          <w:r w:rsidR="00657133" w:rsidRPr="00B62C96">
            <w:rPr>
              <w:rFonts w:ascii="Arial" w:hAnsi="Arial" w:cs="Arial"/>
            </w:rPr>
            <w:fldChar w:fldCharType="separate"/>
          </w:r>
          <w:hyperlink w:anchor="_Toc410224057" w:history="1">
            <w:r w:rsidR="006C699B" w:rsidRPr="00240A51">
              <w:rPr>
                <w:rStyle w:val="Hyperlink"/>
                <w:rFonts w:ascii="Arial" w:hAnsi="Arial" w:cs="Arial"/>
                <w:noProof/>
              </w:rPr>
              <w:t>Shortened forms</w:t>
            </w:r>
            <w:r w:rsidR="006C699B">
              <w:rPr>
                <w:noProof/>
                <w:webHidden/>
              </w:rPr>
              <w:tab/>
            </w:r>
            <w:r w:rsidR="006C699B" w:rsidRPr="006C699B">
              <w:rPr>
                <w:rFonts w:ascii="Arial" w:hAnsi="Arial" w:cs="Arial"/>
                <w:noProof/>
                <w:webHidden/>
              </w:rPr>
              <w:fldChar w:fldCharType="begin"/>
            </w:r>
            <w:r w:rsidR="006C699B" w:rsidRPr="006C699B">
              <w:rPr>
                <w:rFonts w:ascii="Arial" w:hAnsi="Arial" w:cs="Arial"/>
                <w:noProof/>
                <w:webHidden/>
              </w:rPr>
              <w:instrText xml:space="preserve"> PAGEREF _Toc410224057 \h </w:instrText>
            </w:r>
            <w:r w:rsidR="006C699B" w:rsidRPr="006C699B">
              <w:rPr>
                <w:rFonts w:ascii="Arial" w:hAnsi="Arial" w:cs="Arial"/>
                <w:noProof/>
                <w:webHidden/>
              </w:rPr>
            </w:r>
            <w:r w:rsidR="006C699B" w:rsidRPr="006C699B">
              <w:rPr>
                <w:rFonts w:ascii="Arial" w:hAnsi="Arial" w:cs="Arial"/>
                <w:noProof/>
                <w:webHidden/>
              </w:rPr>
              <w:fldChar w:fldCharType="separate"/>
            </w:r>
            <w:r w:rsidR="006709B5">
              <w:rPr>
                <w:rFonts w:ascii="Arial" w:hAnsi="Arial" w:cs="Arial"/>
                <w:noProof/>
                <w:webHidden/>
              </w:rPr>
              <w:t>5</w:t>
            </w:r>
            <w:r w:rsidR="006C699B" w:rsidRPr="006C699B">
              <w:rPr>
                <w:rFonts w:ascii="Arial" w:hAnsi="Arial" w:cs="Arial"/>
                <w:noProof/>
                <w:webHidden/>
              </w:rPr>
              <w:fldChar w:fldCharType="end"/>
            </w:r>
          </w:hyperlink>
        </w:p>
        <w:p w:rsidR="006C699B" w:rsidRDefault="006709B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10224058" w:history="1">
            <w:r w:rsidR="006C699B" w:rsidRPr="00240A51">
              <w:rPr>
                <w:rStyle w:val="Hyperlink"/>
                <w:rFonts w:ascii="Arial" w:hAnsi="Arial" w:cs="Arial"/>
                <w:noProof/>
              </w:rPr>
              <w:t>1</w:t>
            </w:r>
            <w:r w:rsidR="006C699B">
              <w:rPr>
                <w:rFonts w:asciiTheme="minorHAnsi" w:eastAsiaTheme="minorEastAsia" w:hAnsiTheme="minorHAnsi" w:cstheme="minorBidi"/>
                <w:b w:val="0"/>
                <w:bCs w:val="0"/>
                <w:noProof/>
                <w:sz w:val="22"/>
                <w:szCs w:val="22"/>
                <w:lang w:eastAsia="en-AU"/>
              </w:rPr>
              <w:tab/>
            </w:r>
            <w:r w:rsidR="006C699B" w:rsidRPr="00240A51">
              <w:rPr>
                <w:rStyle w:val="Hyperlink"/>
                <w:rFonts w:ascii="Arial" w:hAnsi="Arial" w:cs="Arial"/>
                <w:noProof/>
              </w:rPr>
              <w:t>Nature and authority</w:t>
            </w:r>
            <w:r w:rsidR="006C699B">
              <w:rPr>
                <w:noProof/>
                <w:webHidden/>
              </w:rPr>
              <w:tab/>
            </w:r>
            <w:r w:rsidR="006C699B" w:rsidRPr="006C699B">
              <w:rPr>
                <w:rFonts w:ascii="Arial" w:hAnsi="Arial" w:cs="Arial"/>
                <w:noProof/>
                <w:webHidden/>
              </w:rPr>
              <w:fldChar w:fldCharType="begin"/>
            </w:r>
            <w:r w:rsidR="006C699B" w:rsidRPr="006C699B">
              <w:rPr>
                <w:rFonts w:ascii="Arial" w:hAnsi="Arial" w:cs="Arial"/>
                <w:noProof/>
                <w:webHidden/>
              </w:rPr>
              <w:instrText xml:space="preserve"> PAGEREF _Toc410224058 \h </w:instrText>
            </w:r>
            <w:r w:rsidR="006C699B" w:rsidRPr="006C699B">
              <w:rPr>
                <w:rFonts w:ascii="Arial" w:hAnsi="Arial" w:cs="Arial"/>
                <w:noProof/>
                <w:webHidden/>
              </w:rPr>
            </w:r>
            <w:r w:rsidR="006C699B" w:rsidRPr="006C699B">
              <w:rPr>
                <w:rFonts w:ascii="Arial" w:hAnsi="Arial" w:cs="Arial"/>
                <w:noProof/>
                <w:webHidden/>
              </w:rPr>
              <w:fldChar w:fldCharType="separate"/>
            </w:r>
            <w:r>
              <w:rPr>
                <w:rFonts w:ascii="Arial" w:hAnsi="Arial" w:cs="Arial"/>
                <w:noProof/>
                <w:webHidden/>
              </w:rPr>
              <w:t>6</w:t>
            </w:r>
            <w:r w:rsidR="006C699B" w:rsidRPr="006C699B">
              <w:rPr>
                <w:rFonts w:ascii="Arial" w:hAnsi="Arial" w:cs="Arial"/>
                <w:noProof/>
                <w:webHidden/>
              </w:rPr>
              <w:fldChar w:fldCharType="end"/>
            </w:r>
          </w:hyperlink>
        </w:p>
        <w:p w:rsidR="006C699B" w:rsidRDefault="006709B5">
          <w:pPr>
            <w:pStyle w:val="TOC2"/>
            <w:rPr>
              <w:rFonts w:asciiTheme="minorHAnsi" w:eastAsiaTheme="minorEastAsia" w:hAnsiTheme="minorHAnsi" w:cstheme="minorBidi"/>
              <w:sz w:val="22"/>
              <w:szCs w:val="22"/>
              <w:lang w:eastAsia="en-AU"/>
            </w:rPr>
          </w:pPr>
          <w:hyperlink w:anchor="_Toc410224059" w:history="1">
            <w:r w:rsidR="006C699B" w:rsidRPr="00240A51">
              <w:rPr>
                <w:rStyle w:val="Hyperlink"/>
              </w:rPr>
              <w:t>1.1</w:t>
            </w:r>
            <w:r w:rsidR="006C699B">
              <w:rPr>
                <w:rFonts w:asciiTheme="minorHAnsi" w:eastAsiaTheme="minorEastAsia" w:hAnsiTheme="minorHAnsi" w:cstheme="minorBidi"/>
                <w:sz w:val="22"/>
                <w:szCs w:val="22"/>
                <w:lang w:eastAsia="en-AU"/>
              </w:rPr>
              <w:tab/>
            </w:r>
            <w:r w:rsidR="006C699B" w:rsidRPr="00240A51">
              <w:rPr>
                <w:rStyle w:val="Hyperlink"/>
              </w:rPr>
              <w:t>Introduction</w:t>
            </w:r>
            <w:r w:rsidR="006C699B">
              <w:rPr>
                <w:webHidden/>
              </w:rPr>
              <w:tab/>
            </w:r>
            <w:r w:rsidR="006C699B">
              <w:rPr>
                <w:webHidden/>
              </w:rPr>
              <w:fldChar w:fldCharType="begin"/>
            </w:r>
            <w:r w:rsidR="006C699B">
              <w:rPr>
                <w:webHidden/>
              </w:rPr>
              <w:instrText xml:space="preserve"> PAGEREF _Toc410224059 \h </w:instrText>
            </w:r>
            <w:r w:rsidR="006C699B">
              <w:rPr>
                <w:webHidden/>
              </w:rPr>
            </w:r>
            <w:r w:rsidR="006C699B">
              <w:rPr>
                <w:webHidden/>
              </w:rPr>
              <w:fldChar w:fldCharType="separate"/>
            </w:r>
            <w:r>
              <w:rPr>
                <w:webHidden/>
              </w:rPr>
              <w:t>6</w:t>
            </w:r>
            <w:r w:rsidR="006C699B">
              <w:rPr>
                <w:webHidden/>
              </w:rPr>
              <w:fldChar w:fldCharType="end"/>
            </w:r>
          </w:hyperlink>
        </w:p>
        <w:p w:rsidR="006C699B" w:rsidRDefault="006709B5">
          <w:pPr>
            <w:pStyle w:val="TOC2"/>
            <w:rPr>
              <w:rFonts w:asciiTheme="minorHAnsi" w:eastAsiaTheme="minorEastAsia" w:hAnsiTheme="minorHAnsi" w:cstheme="minorBidi"/>
              <w:sz w:val="22"/>
              <w:szCs w:val="22"/>
              <w:lang w:eastAsia="en-AU"/>
            </w:rPr>
          </w:pPr>
          <w:hyperlink w:anchor="_Toc410224060" w:history="1">
            <w:r w:rsidR="006C699B" w:rsidRPr="00240A51">
              <w:rPr>
                <w:rStyle w:val="Hyperlink"/>
              </w:rPr>
              <w:t>1.2</w:t>
            </w:r>
            <w:r w:rsidR="006C699B">
              <w:rPr>
                <w:rFonts w:asciiTheme="minorHAnsi" w:eastAsiaTheme="minorEastAsia" w:hAnsiTheme="minorHAnsi" w:cstheme="minorBidi"/>
                <w:sz w:val="22"/>
                <w:szCs w:val="22"/>
                <w:lang w:eastAsia="en-AU"/>
              </w:rPr>
              <w:tab/>
            </w:r>
            <w:r w:rsidR="006C699B" w:rsidRPr="00240A51">
              <w:rPr>
                <w:rStyle w:val="Hyperlink"/>
              </w:rPr>
              <w:t>Authority</w:t>
            </w:r>
            <w:r w:rsidR="006C699B">
              <w:rPr>
                <w:webHidden/>
              </w:rPr>
              <w:tab/>
            </w:r>
            <w:r w:rsidR="006C699B">
              <w:rPr>
                <w:webHidden/>
              </w:rPr>
              <w:fldChar w:fldCharType="begin"/>
            </w:r>
            <w:r w:rsidR="006C699B">
              <w:rPr>
                <w:webHidden/>
              </w:rPr>
              <w:instrText xml:space="preserve"> PAGEREF _Toc410224060 \h </w:instrText>
            </w:r>
            <w:r w:rsidR="006C699B">
              <w:rPr>
                <w:webHidden/>
              </w:rPr>
            </w:r>
            <w:r w:rsidR="006C699B">
              <w:rPr>
                <w:webHidden/>
              </w:rPr>
              <w:fldChar w:fldCharType="separate"/>
            </w:r>
            <w:r>
              <w:rPr>
                <w:webHidden/>
              </w:rPr>
              <w:t>6</w:t>
            </w:r>
            <w:r w:rsidR="006C699B">
              <w:rPr>
                <w:webHidden/>
              </w:rPr>
              <w:fldChar w:fldCharType="end"/>
            </w:r>
          </w:hyperlink>
        </w:p>
        <w:p w:rsidR="006C699B" w:rsidRDefault="006709B5">
          <w:pPr>
            <w:pStyle w:val="TOC2"/>
            <w:rPr>
              <w:rFonts w:asciiTheme="minorHAnsi" w:eastAsiaTheme="minorEastAsia" w:hAnsiTheme="minorHAnsi" w:cstheme="minorBidi"/>
              <w:sz w:val="22"/>
              <w:szCs w:val="22"/>
              <w:lang w:eastAsia="en-AU"/>
            </w:rPr>
          </w:pPr>
          <w:hyperlink w:anchor="_Toc410224061" w:history="1">
            <w:r w:rsidR="006C699B" w:rsidRPr="00240A51">
              <w:rPr>
                <w:rStyle w:val="Hyperlink"/>
              </w:rPr>
              <w:t>1.3</w:t>
            </w:r>
            <w:r w:rsidR="006C699B">
              <w:rPr>
                <w:rFonts w:asciiTheme="minorHAnsi" w:eastAsiaTheme="minorEastAsia" w:hAnsiTheme="minorHAnsi" w:cstheme="minorBidi"/>
                <w:sz w:val="22"/>
                <w:szCs w:val="22"/>
                <w:lang w:eastAsia="en-AU"/>
              </w:rPr>
              <w:tab/>
            </w:r>
            <w:r w:rsidR="006C699B" w:rsidRPr="00240A51">
              <w:rPr>
                <w:rStyle w:val="Hyperlink"/>
              </w:rPr>
              <w:t>Role of the model</w:t>
            </w:r>
            <w:r w:rsidR="006C699B">
              <w:rPr>
                <w:webHidden/>
              </w:rPr>
              <w:tab/>
            </w:r>
            <w:r w:rsidR="006C699B">
              <w:rPr>
                <w:webHidden/>
              </w:rPr>
              <w:fldChar w:fldCharType="begin"/>
            </w:r>
            <w:r w:rsidR="006C699B">
              <w:rPr>
                <w:webHidden/>
              </w:rPr>
              <w:instrText xml:space="preserve"> PAGEREF _Toc410224061 \h </w:instrText>
            </w:r>
            <w:r w:rsidR="006C699B">
              <w:rPr>
                <w:webHidden/>
              </w:rPr>
            </w:r>
            <w:r w:rsidR="006C699B">
              <w:rPr>
                <w:webHidden/>
              </w:rPr>
              <w:fldChar w:fldCharType="separate"/>
            </w:r>
            <w:r>
              <w:rPr>
                <w:webHidden/>
              </w:rPr>
              <w:t>6</w:t>
            </w:r>
            <w:r w:rsidR="006C699B">
              <w:rPr>
                <w:webHidden/>
              </w:rPr>
              <w:fldChar w:fldCharType="end"/>
            </w:r>
          </w:hyperlink>
        </w:p>
        <w:p w:rsidR="006C699B" w:rsidRDefault="006709B5">
          <w:pPr>
            <w:pStyle w:val="TOC2"/>
            <w:rPr>
              <w:rFonts w:asciiTheme="minorHAnsi" w:eastAsiaTheme="minorEastAsia" w:hAnsiTheme="minorHAnsi" w:cstheme="minorBidi"/>
              <w:sz w:val="22"/>
              <w:szCs w:val="22"/>
              <w:lang w:eastAsia="en-AU"/>
            </w:rPr>
          </w:pPr>
          <w:hyperlink w:anchor="_Toc410224062" w:history="1">
            <w:r w:rsidR="006C699B" w:rsidRPr="00240A51">
              <w:rPr>
                <w:rStyle w:val="Hyperlink"/>
              </w:rPr>
              <w:t>1.4</w:t>
            </w:r>
            <w:r w:rsidR="006C699B">
              <w:rPr>
                <w:rFonts w:asciiTheme="minorHAnsi" w:eastAsiaTheme="minorEastAsia" w:hAnsiTheme="minorHAnsi" w:cstheme="minorBidi"/>
                <w:sz w:val="22"/>
                <w:szCs w:val="22"/>
                <w:lang w:eastAsia="en-AU"/>
              </w:rPr>
              <w:tab/>
            </w:r>
            <w:r w:rsidR="006C699B" w:rsidRPr="00240A51">
              <w:rPr>
                <w:rStyle w:val="Hyperlink"/>
              </w:rPr>
              <w:t>Confidentiality</w:t>
            </w:r>
            <w:r w:rsidR="006C699B">
              <w:rPr>
                <w:webHidden/>
              </w:rPr>
              <w:tab/>
            </w:r>
            <w:r w:rsidR="006C699B">
              <w:rPr>
                <w:webHidden/>
              </w:rPr>
              <w:fldChar w:fldCharType="begin"/>
            </w:r>
            <w:r w:rsidR="006C699B">
              <w:rPr>
                <w:webHidden/>
              </w:rPr>
              <w:instrText xml:space="preserve"> PAGEREF _Toc410224062 \h </w:instrText>
            </w:r>
            <w:r w:rsidR="006C699B">
              <w:rPr>
                <w:webHidden/>
              </w:rPr>
            </w:r>
            <w:r w:rsidR="006C699B">
              <w:rPr>
                <w:webHidden/>
              </w:rPr>
              <w:fldChar w:fldCharType="separate"/>
            </w:r>
            <w:r>
              <w:rPr>
                <w:webHidden/>
              </w:rPr>
              <w:t>6</w:t>
            </w:r>
            <w:r w:rsidR="006C699B">
              <w:rPr>
                <w:webHidden/>
              </w:rPr>
              <w:fldChar w:fldCharType="end"/>
            </w:r>
          </w:hyperlink>
        </w:p>
        <w:p w:rsidR="006C699B" w:rsidRDefault="006709B5">
          <w:pPr>
            <w:pStyle w:val="TOC2"/>
            <w:rPr>
              <w:rFonts w:asciiTheme="minorHAnsi" w:eastAsiaTheme="minorEastAsia" w:hAnsiTheme="minorHAnsi" w:cstheme="minorBidi"/>
              <w:sz w:val="22"/>
              <w:szCs w:val="22"/>
              <w:lang w:eastAsia="en-AU"/>
            </w:rPr>
          </w:pPr>
          <w:hyperlink w:anchor="_Toc410224063" w:history="1">
            <w:r w:rsidR="006C699B" w:rsidRPr="00240A51">
              <w:rPr>
                <w:rStyle w:val="Hyperlink"/>
              </w:rPr>
              <w:t>1.5</w:t>
            </w:r>
            <w:r w:rsidR="006C699B">
              <w:rPr>
                <w:rFonts w:asciiTheme="minorHAnsi" w:eastAsiaTheme="minorEastAsia" w:hAnsiTheme="minorHAnsi" w:cstheme="minorBidi"/>
                <w:sz w:val="22"/>
                <w:szCs w:val="22"/>
                <w:lang w:eastAsia="en-AU"/>
              </w:rPr>
              <w:tab/>
            </w:r>
            <w:r w:rsidR="006C699B" w:rsidRPr="00240A51">
              <w:rPr>
                <w:rStyle w:val="Hyperlink"/>
              </w:rPr>
              <w:t>Process for revision</w:t>
            </w:r>
            <w:r w:rsidR="006C699B">
              <w:rPr>
                <w:webHidden/>
              </w:rPr>
              <w:tab/>
            </w:r>
            <w:r w:rsidR="006C699B">
              <w:rPr>
                <w:webHidden/>
              </w:rPr>
              <w:fldChar w:fldCharType="begin"/>
            </w:r>
            <w:r w:rsidR="006C699B">
              <w:rPr>
                <w:webHidden/>
              </w:rPr>
              <w:instrText xml:space="preserve"> PAGEREF _Toc410224063 \h </w:instrText>
            </w:r>
            <w:r w:rsidR="006C699B">
              <w:rPr>
                <w:webHidden/>
              </w:rPr>
            </w:r>
            <w:r w:rsidR="006C699B">
              <w:rPr>
                <w:webHidden/>
              </w:rPr>
              <w:fldChar w:fldCharType="separate"/>
            </w:r>
            <w:r>
              <w:rPr>
                <w:webHidden/>
              </w:rPr>
              <w:t>6</w:t>
            </w:r>
            <w:r w:rsidR="006C699B">
              <w:rPr>
                <w:webHidden/>
              </w:rPr>
              <w:fldChar w:fldCharType="end"/>
            </w:r>
          </w:hyperlink>
        </w:p>
        <w:p w:rsidR="006C699B" w:rsidRDefault="006709B5">
          <w:pPr>
            <w:pStyle w:val="TOC2"/>
            <w:rPr>
              <w:rFonts w:asciiTheme="minorHAnsi" w:eastAsiaTheme="minorEastAsia" w:hAnsiTheme="minorHAnsi" w:cstheme="minorBidi"/>
              <w:sz w:val="22"/>
              <w:szCs w:val="22"/>
              <w:lang w:eastAsia="en-AU"/>
            </w:rPr>
          </w:pPr>
          <w:hyperlink w:anchor="_Toc410224064" w:history="1">
            <w:r w:rsidR="006C699B" w:rsidRPr="00240A51">
              <w:rPr>
                <w:rStyle w:val="Hyperlink"/>
              </w:rPr>
              <w:t>1.6</w:t>
            </w:r>
            <w:r w:rsidR="006C699B">
              <w:rPr>
                <w:rFonts w:asciiTheme="minorHAnsi" w:eastAsiaTheme="minorEastAsia" w:hAnsiTheme="minorHAnsi" w:cstheme="minorBidi"/>
                <w:sz w:val="22"/>
                <w:szCs w:val="22"/>
                <w:lang w:eastAsia="en-AU"/>
              </w:rPr>
              <w:tab/>
            </w:r>
            <w:r w:rsidR="006C699B" w:rsidRPr="00240A51">
              <w:rPr>
                <w:rStyle w:val="Hyperlink"/>
              </w:rPr>
              <w:t>Version history and effective date</w:t>
            </w:r>
            <w:r w:rsidR="006C699B">
              <w:rPr>
                <w:webHidden/>
              </w:rPr>
              <w:tab/>
            </w:r>
            <w:r w:rsidR="006C699B">
              <w:rPr>
                <w:webHidden/>
              </w:rPr>
              <w:fldChar w:fldCharType="begin"/>
            </w:r>
            <w:r w:rsidR="006C699B">
              <w:rPr>
                <w:webHidden/>
              </w:rPr>
              <w:instrText xml:space="preserve"> PAGEREF _Toc410224064 \h </w:instrText>
            </w:r>
            <w:r w:rsidR="006C699B">
              <w:rPr>
                <w:webHidden/>
              </w:rPr>
            </w:r>
            <w:r w:rsidR="006C699B">
              <w:rPr>
                <w:webHidden/>
              </w:rPr>
              <w:fldChar w:fldCharType="separate"/>
            </w:r>
            <w:r>
              <w:rPr>
                <w:webHidden/>
              </w:rPr>
              <w:t>6</w:t>
            </w:r>
            <w:r w:rsidR="006C699B">
              <w:rPr>
                <w:webHidden/>
              </w:rPr>
              <w:fldChar w:fldCharType="end"/>
            </w:r>
          </w:hyperlink>
        </w:p>
        <w:p w:rsidR="006C699B" w:rsidRDefault="006709B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10224065" w:history="1">
            <w:r w:rsidR="006C699B" w:rsidRPr="00240A51">
              <w:rPr>
                <w:rStyle w:val="Hyperlink"/>
                <w:rFonts w:ascii="Arial" w:hAnsi="Arial" w:cs="Arial"/>
                <w:noProof/>
              </w:rPr>
              <w:t>2</w:t>
            </w:r>
            <w:r w:rsidR="006C699B">
              <w:rPr>
                <w:rFonts w:asciiTheme="minorHAnsi" w:eastAsiaTheme="minorEastAsia" w:hAnsiTheme="minorHAnsi" w:cstheme="minorBidi"/>
                <w:b w:val="0"/>
                <w:bCs w:val="0"/>
                <w:noProof/>
                <w:sz w:val="22"/>
                <w:szCs w:val="22"/>
                <w:lang w:eastAsia="en-AU"/>
              </w:rPr>
              <w:tab/>
            </w:r>
            <w:r w:rsidR="006C699B" w:rsidRPr="00240A51">
              <w:rPr>
                <w:rStyle w:val="Hyperlink"/>
                <w:rFonts w:ascii="Arial" w:hAnsi="Arial" w:cs="Arial"/>
                <w:noProof/>
              </w:rPr>
              <w:t>The model</w:t>
            </w:r>
            <w:r w:rsidR="006C699B">
              <w:rPr>
                <w:noProof/>
                <w:webHidden/>
              </w:rPr>
              <w:tab/>
            </w:r>
            <w:r w:rsidR="006C699B" w:rsidRPr="006C699B">
              <w:rPr>
                <w:rFonts w:ascii="Arial" w:hAnsi="Arial" w:cs="Arial"/>
                <w:noProof/>
                <w:webHidden/>
              </w:rPr>
              <w:fldChar w:fldCharType="begin"/>
            </w:r>
            <w:r w:rsidR="006C699B" w:rsidRPr="006C699B">
              <w:rPr>
                <w:rFonts w:ascii="Arial" w:hAnsi="Arial" w:cs="Arial"/>
                <w:noProof/>
                <w:webHidden/>
              </w:rPr>
              <w:instrText xml:space="preserve"> PAGEREF _Toc410224065 \h </w:instrText>
            </w:r>
            <w:r w:rsidR="006C699B" w:rsidRPr="006C699B">
              <w:rPr>
                <w:rFonts w:ascii="Arial" w:hAnsi="Arial" w:cs="Arial"/>
                <w:noProof/>
                <w:webHidden/>
              </w:rPr>
            </w:r>
            <w:r w:rsidR="006C699B" w:rsidRPr="006C699B">
              <w:rPr>
                <w:rFonts w:ascii="Arial" w:hAnsi="Arial" w:cs="Arial"/>
                <w:noProof/>
                <w:webHidden/>
              </w:rPr>
              <w:fldChar w:fldCharType="separate"/>
            </w:r>
            <w:r>
              <w:rPr>
                <w:rFonts w:ascii="Arial" w:hAnsi="Arial" w:cs="Arial"/>
                <w:noProof/>
                <w:webHidden/>
              </w:rPr>
              <w:t>7</w:t>
            </w:r>
            <w:r w:rsidR="006C699B" w:rsidRPr="006C699B">
              <w:rPr>
                <w:rFonts w:ascii="Arial" w:hAnsi="Arial" w:cs="Arial"/>
                <w:noProof/>
                <w:webHidden/>
              </w:rPr>
              <w:fldChar w:fldCharType="end"/>
            </w:r>
          </w:hyperlink>
        </w:p>
        <w:p w:rsidR="006C699B" w:rsidRDefault="006709B5">
          <w:pPr>
            <w:pStyle w:val="TOC2"/>
            <w:rPr>
              <w:rFonts w:asciiTheme="minorHAnsi" w:eastAsiaTheme="minorEastAsia" w:hAnsiTheme="minorHAnsi" w:cstheme="minorBidi"/>
              <w:sz w:val="22"/>
              <w:szCs w:val="22"/>
              <w:lang w:eastAsia="en-AU"/>
            </w:rPr>
          </w:pPr>
          <w:hyperlink w:anchor="_Toc410224066" w:history="1">
            <w:r w:rsidR="006C699B" w:rsidRPr="00240A51">
              <w:rPr>
                <w:rStyle w:val="Hyperlink"/>
              </w:rPr>
              <w:t>2.1</w:t>
            </w:r>
            <w:r w:rsidR="006C699B">
              <w:rPr>
                <w:rFonts w:asciiTheme="minorHAnsi" w:eastAsiaTheme="minorEastAsia" w:hAnsiTheme="minorHAnsi" w:cstheme="minorBidi"/>
                <w:sz w:val="22"/>
                <w:szCs w:val="22"/>
                <w:lang w:eastAsia="en-AU"/>
              </w:rPr>
              <w:tab/>
            </w:r>
            <w:r w:rsidR="006C699B" w:rsidRPr="00240A51">
              <w:rPr>
                <w:rStyle w:val="Hyperlink"/>
              </w:rPr>
              <w:t>Overview of the PTRM</w:t>
            </w:r>
            <w:r w:rsidR="006C699B">
              <w:rPr>
                <w:webHidden/>
              </w:rPr>
              <w:tab/>
            </w:r>
            <w:r w:rsidR="006C699B">
              <w:rPr>
                <w:webHidden/>
              </w:rPr>
              <w:fldChar w:fldCharType="begin"/>
            </w:r>
            <w:r w:rsidR="006C699B">
              <w:rPr>
                <w:webHidden/>
              </w:rPr>
              <w:instrText xml:space="preserve"> PAGEREF _Toc410224066 \h </w:instrText>
            </w:r>
            <w:r w:rsidR="006C699B">
              <w:rPr>
                <w:webHidden/>
              </w:rPr>
            </w:r>
            <w:r w:rsidR="006C699B">
              <w:rPr>
                <w:webHidden/>
              </w:rPr>
              <w:fldChar w:fldCharType="separate"/>
            </w:r>
            <w:r>
              <w:rPr>
                <w:webHidden/>
              </w:rPr>
              <w:t>7</w:t>
            </w:r>
            <w:r w:rsidR="006C699B">
              <w:rPr>
                <w:webHidden/>
              </w:rPr>
              <w:fldChar w:fldCharType="end"/>
            </w:r>
          </w:hyperlink>
        </w:p>
        <w:p w:rsidR="006C699B" w:rsidRDefault="006709B5">
          <w:pPr>
            <w:pStyle w:val="TOC2"/>
            <w:rPr>
              <w:rFonts w:asciiTheme="minorHAnsi" w:eastAsiaTheme="minorEastAsia" w:hAnsiTheme="minorHAnsi" w:cstheme="minorBidi"/>
              <w:sz w:val="22"/>
              <w:szCs w:val="22"/>
              <w:lang w:eastAsia="en-AU"/>
            </w:rPr>
          </w:pPr>
          <w:hyperlink w:anchor="_Toc410224067" w:history="1">
            <w:r w:rsidR="006C699B" w:rsidRPr="00240A51">
              <w:rPr>
                <w:rStyle w:val="Hyperlink"/>
              </w:rPr>
              <w:t>2.2</w:t>
            </w:r>
            <w:r w:rsidR="006C699B">
              <w:rPr>
                <w:rFonts w:asciiTheme="minorHAnsi" w:eastAsiaTheme="minorEastAsia" w:hAnsiTheme="minorHAnsi" w:cstheme="minorBidi"/>
                <w:sz w:val="22"/>
                <w:szCs w:val="22"/>
                <w:lang w:eastAsia="en-AU"/>
              </w:rPr>
              <w:tab/>
            </w:r>
            <w:r w:rsidR="006C699B" w:rsidRPr="00240A51">
              <w:rPr>
                <w:rStyle w:val="Hyperlink"/>
              </w:rPr>
              <w:t>DMS input sheet</w:t>
            </w:r>
            <w:r w:rsidR="006C699B">
              <w:rPr>
                <w:webHidden/>
              </w:rPr>
              <w:tab/>
            </w:r>
            <w:r w:rsidR="006C699B">
              <w:rPr>
                <w:webHidden/>
              </w:rPr>
              <w:fldChar w:fldCharType="begin"/>
            </w:r>
            <w:r w:rsidR="006C699B">
              <w:rPr>
                <w:webHidden/>
              </w:rPr>
              <w:instrText xml:space="preserve"> PAGEREF _Toc410224067 \h </w:instrText>
            </w:r>
            <w:r w:rsidR="006C699B">
              <w:rPr>
                <w:webHidden/>
              </w:rPr>
            </w:r>
            <w:r w:rsidR="006C699B">
              <w:rPr>
                <w:webHidden/>
              </w:rPr>
              <w:fldChar w:fldCharType="separate"/>
            </w:r>
            <w:r>
              <w:rPr>
                <w:webHidden/>
              </w:rPr>
              <w:t>8</w:t>
            </w:r>
            <w:r w:rsidR="006C699B">
              <w:rPr>
                <w:webHidden/>
              </w:rPr>
              <w:fldChar w:fldCharType="end"/>
            </w:r>
          </w:hyperlink>
        </w:p>
        <w:p w:rsidR="006C699B" w:rsidRDefault="006709B5">
          <w:pPr>
            <w:pStyle w:val="TOC2"/>
            <w:rPr>
              <w:rFonts w:asciiTheme="minorHAnsi" w:eastAsiaTheme="minorEastAsia" w:hAnsiTheme="minorHAnsi" w:cstheme="minorBidi"/>
              <w:sz w:val="22"/>
              <w:szCs w:val="22"/>
              <w:lang w:eastAsia="en-AU"/>
            </w:rPr>
          </w:pPr>
          <w:hyperlink w:anchor="_Toc410224068" w:history="1">
            <w:r w:rsidR="006C699B" w:rsidRPr="00240A51">
              <w:rPr>
                <w:rStyle w:val="Hyperlink"/>
              </w:rPr>
              <w:t>2.3</w:t>
            </w:r>
            <w:r w:rsidR="006C699B">
              <w:rPr>
                <w:rFonts w:asciiTheme="minorHAnsi" w:eastAsiaTheme="minorEastAsia" w:hAnsiTheme="minorHAnsi" w:cstheme="minorBidi"/>
                <w:sz w:val="22"/>
                <w:szCs w:val="22"/>
                <w:lang w:eastAsia="en-AU"/>
              </w:rPr>
              <w:tab/>
            </w:r>
            <w:r w:rsidR="006C699B" w:rsidRPr="00240A51">
              <w:rPr>
                <w:rStyle w:val="Hyperlink"/>
              </w:rPr>
              <w:t>PTRM input sheet</w:t>
            </w:r>
            <w:r w:rsidR="006C699B">
              <w:rPr>
                <w:webHidden/>
              </w:rPr>
              <w:tab/>
            </w:r>
            <w:r w:rsidR="006C699B">
              <w:rPr>
                <w:webHidden/>
              </w:rPr>
              <w:fldChar w:fldCharType="begin"/>
            </w:r>
            <w:r w:rsidR="006C699B">
              <w:rPr>
                <w:webHidden/>
              </w:rPr>
              <w:instrText xml:space="preserve"> PAGEREF _Toc410224068 \h </w:instrText>
            </w:r>
            <w:r w:rsidR="006C699B">
              <w:rPr>
                <w:webHidden/>
              </w:rPr>
            </w:r>
            <w:r w:rsidR="006C699B">
              <w:rPr>
                <w:webHidden/>
              </w:rPr>
              <w:fldChar w:fldCharType="separate"/>
            </w:r>
            <w:r>
              <w:rPr>
                <w:webHidden/>
              </w:rPr>
              <w:t>9</w:t>
            </w:r>
            <w:r w:rsidR="006C699B">
              <w:rPr>
                <w:webHidden/>
              </w:rPr>
              <w:fldChar w:fldCharType="end"/>
            </w:r>
          </w:hyperlink>
        </w:p>
        <w:p w:rsidR="006C699B" w:rsidRDefault="006709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0224069" w:history="1">
            <w:r w:rsidR="006C699B" w:rsidRPr="00240A51">
              <w:rPr>
                <w:rStyle w:val="Hyperlink"/>
                <w:rFonts w:ascii="Arial" w:hAnsi="Arial" w:cs="Arial"/>
                <w:noProof/>
              </w:rPr>
              <w:t>2.3.1</w:t>
            </w:r>
            <w:r w:rsidR="006C699B">
              <w:rPr>
                <w:rFonts w:asciiTheme="minorHAnsi" w:eastAsiaTheme="minorEastAsia" w:hAnsiTheme="minorHAnsi" w:cstheme="minorBidi"/>
                <w:noProof/>
                <w:sz w:val="22"/>
                <w:szCs w:val="22"/>
                <w:lang w:eastAsia="en-AU"/>
              </w:rPr>
              <w:tab/>
            </w:r>
            <w:r w:rsidR="006C699B" w:rsidRPr="00240A51">
              <w:rPr>
                <w:rStyle w:val="Hyperlink"/>
                <w:rFonts w:ascii="Arial" w:hAnsi="Arial" w:cs="Arial"/>
                <w:noProof/>
              </w:rPr>
              <w:t>Opening regulatory asset base and opening tax asset base</w:t>
            </w:r>
            <w:r w:rsidR="006C699B">
              <w:rPr>
                <w:noProof/>
                <w:webHidden/>
              </w:rPr>
              <w:tab/>
            </w:r>
            <w:r w:rsidR="006C699B" w:rsidRPr="006F3A38">
              <w:rPr>
                <w:rFonts w:ascii="Arial" w:hAnsi="Arial" w:cs="Arial"/>
                <w:noProof/>
                <w:webHidden/>
              </w:rPr>
              <w:fldChar w:fldCharType="begin"/>
            </w:r>
            <w:r w:rsidR="006C699B" w:rsidRPr="006F3A38">
              <w:rPr>
                <w:rFonts w:ascii="Arial" w:hAnsi="Arial" w:cs="Arial"/>
                <w:noProof/>
                <w:webHidden/>
              </w:rPr>
              <w:instrText xml:space="preserve"> PAGEREF _Toc410224069 \h </w:instrText>
            </w:r>
            <w:r w:rsidR="006C699B" w:rsidRPr="006F3A38">
              <w:rPr>
                <w:rFonts w:ascii="Arial" w:hAnsi="Arial" w:cs="Arial"/>
                <w:noProof/>
                <w:webHidden/>
              </w:rPr>
            </w:r>
            <w:r w:rsidR="006C699B" w:rsidRPr="006F3A38">
              <w:rPr>
                <w:rFonts w:ascii="Arial" w:hAnsi="Arial" w:cs="Arial"/>
                <w:noProof/>
                <w:webHidden/>
              </w:rPr>
              <w:fldChar w:fldCharType="separate"/>
            </w:r>
            <w:r>
              <w:rPr>
                <w:rFonts w:ascii="Arial" w:hAnsi="Arial" w:cs="Arial"/>
                <w:noProof/>
                <w:webHidden/>
              </w:rPr>
              <w:t>12</w:t>
            </w:r>
            <w:r w:rsidR="006C699B" w:rsidRPr="006F3A38">
              <w:rPr>
                <w:rFonts w:ascii="Arial" w:hAnsi="Arial" w:cs="Arial"/>
                <w:noProof/>
                <w:webHidden/>
              </w:rPr>
              <w:fldChar w:fldCharType="end"/>
            </w:r>
          </w:hyperlink>
        </w:p>
        <w:p w:rsidR="006C699B" w:rsidRDefault="006709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0224070" w:history="1">
            <w:r w:rsidR="006C699B" w:rsidRPr="00240A51">
              <w:rPr>
                <w:rStyle w:val="Hyperlink"/>
                <w:rFonts w:ascii="Arial" w:hAnsi="Arial" w:cs="Arial"/>
                <w:noProof/>
              </w:rPr>
              <w:t>2.3.2</w:t>
            </w:r>
            <w:r w:rsidR="006C699B">
              <w:rPr>
                <w:rFonts w:asciiTheme="minorHAnsi" w:eastAsiaTheme="minorEastAsia" w:hAnsiTheme="minorHAnsi" w:cstheme="minorBidi"/>
                <w:noProof/>
                <w:sz w:val="22"/>
                <w:szCs w:val="22"/>
                <w:lang w:eastAsia="en-AU"/>
              </w:rPr>
              <w:tab/>
            </w:r>
            <w:r w:rsidR="006C699B" w:rsidRPr="00240A51">
              <w:rPr>
                <w:rStyle w:val="Hyperlink"/>
                <w:rFonts w:ascii="Arial" w:hAnsi="Arial" w:cs="Arial"/>
                <w:noProof/>
              </w:rPr>
              <w:t>Forecast real capital expenditure—as-incurred</w:t>
            </w:r>
            <w:r w:rsidR="006C699B">
              <w:rPr>
                <w:noProof/>
                <w:webHidden/>
              </w:rPr>
              <w:tab/>
            </w:r>
            <w:r w:rsidR="006C699B" w:rsidRPr="006F3A38">
              <w:rPr>
                <w:rFonts w:ascii="Arial" w:hAnsi="Arial" w:cs="Arial"/>
                <w:noProof/>
                <w:webHidden/>
              </w:rPr>
              <w:fldChar w:fldCharType="begin"/>
            </w:r>
            <w:r w:rsidR="006C699B" w:rsidRPr="006F3A38">
              <w:rPr>
                <w:rFonts w:ascii="Arial" w:hAnsi="Arial" w:cs="Arial"/>
                <w:noProof/>
                <w:webHidden/>
              </w:rPr>
              <w:instrText xml:space="preserve"> PAGEREF _Toc410224070 \h </w:instrText>
            </w:r>
            <w:r w:rsidR="006C699B" w:rsidRPr="006F3A38">
              <w:rPr>
                <w:rFonts w:ascii="Arial" w:hAnsi="Arial" w:cs="Arial"/>
                <w:noProof/>
                <w:webHidden/>
              </w:rPr>
            </w:r>
            <w:r w:rsidR="006C699B" w:rsidRPr="006F3A38">
              <w:rPr>
                <w:rFonts w:ascii="Arial" w:hAnsi="Arial" w:cs="Arial"/>
                <w:noProof/>
                <w:webHidden/>
              </w:rPr>
              <w:fldChar w:fldCharType="separate"/>
            </w:r>
            <w:r>
              <w:rPr>
                <w:rFonts w:ascii="Arial" w:hAnsi="Arial" w:cs="Arial"/>
                <w:noProof/>
                <w:webHidden/>
              </w:rPr>
              <w:t>14</w:t>
            </w:r>
            <w:r w:rsidR="006C699B" w:rsidRPr="006F3A38">
              <w:rPr>
                <w:rFonts w:ascii="Arial" w:hAnsi="Arial" w:cs="Arial"/>
                <w:noProof/>
                <w:webHidden/>
              </w:rPr>
              <w:fldChar w:fldCharType="end"/>
            </w:r>
          </w:hyperlink>
        </w:p>
        <w:p w:rsidR="006C699B" w:rsidRDefault="006709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0224071" w:history="1">
            <w:r w:rsidR="006C699B" w:rsidRPr="00240A51">
              <w:rPr>
                <w:rStyle w:val="Hyperlink"/>
                <w:rFonts w:ascii="Arial" w:hAnsi="Arial" w:cs="Arial"/>
                <w:noProof/>
              </w:rPr>
              <w:t>2.3.3</w:t>
            </w:r>
            <w:r w:rsidR="006C699B">
              <w:rPr>
                <w:rFonts w:asciiTheme="minorHAnsi" w:eastAsiaTheme="minorEastAsia" w:hAnsiTheme="minorHAnsi" w:cstheme="minorBidi"/>
                <w:noProof/>
                <w:sz w:val="22"/>
                <w:szCs w:val="22"/>
                <w:lang w:eastAsia="en-AU"/>
              </w:rPr>
              <w:tab/>
            </w:r>
            <w:r w:rsidR="006C699B" w:rsidRPr="00240A51">
              <w:rPr>
                <w:rStyle w:val="Hyperlink"/>
                <w:rFonts w:ascii="Arial" w:hAnsi="Arial" w:cs="Arial"/>
                <w:noProof/>
              </w:rPr>
              <w:t>Forecast real asset disposals—as-incurred</w:t>
            </w:r>
            <w:r w:rsidR="006C699B">
              <w:rPr>
                <w:noProof/>
                <w:webHidden/>
              </w:rPr>
              <w:tab/>
            </w:r>
            <w:r w:rsidR="006C699B" w:rsidRPr="006F3A38">
              <w:rPr>
                <w:rFonts w:ascii="Arial" w:hAnsi="Arial" w:cs="Arial"/>
                <w:noProof/>
                <w:webHidden/>
              </w:rPr>
              <w:fldChar w:fldCharType="begin"/>
            </w:r>
            <w:r w:rsidR="006C699B" w:rsidRPr="006F3A38">
              <w:rPr>
                <w:rFonts w:ascii="Arial" w:hAnsi="Arial" w:cs="Arial"/>
                <w:noProof/>
                <w:webHidden/>
              </w:rPr>
              <w:instrText xml:space="preserve"> PAGEREF _Toc410224071 \h </w:instrText>
            </w:r>
            <w:r w:rsidR="006C699B" w:rsidRPr="006F3A38">
              <w:rPr>
                <w:rFonts w:ascii="Arial" w:hAnsi="Arial" w:cs="Arial"/>
                <w:noProof/>
                <w:webHidden/>
              </w:rPr>
            </w:r>
            <w:r w:rsidR="006C699B" w:rsidRPr="006F3A38">
              <w:rPr>
                <w:rFonts w:ascii="Arial" w:hAnsi="Arial" w:cs="Arial"/>
                <w:noProof/>
                <w:webHidden/>
              </w:rPr>
              <w:fldChar w:fldCharType="separate"/>
            </w:r>
            <w:r>
              <w:rPr>
                <w:rFonts w:ascii="Arial" w:hAnsi="Arial" w:cs="Arial"/>
                <w:noProof/>
                <w:webHidden/>
              </w:rPr>
              <w:t>14</w:t>
            </w:r>
            <w:r w:rsidR="006C699B" w:rsidRPr="006F3A38">
              <w:rPr>
                <w:rFonts w:ascii="Arial" w:hAnsi="Arial" w:cs="Arial"/>
                <w:noProof/>
                <w:webHidden/>
              </w:rPr>
              <w:fldChar w:fldCharType="end"/>
            </w:r>
          </w:hyperlink>
        </w:p>
        <w:p w:rsidR="006C699B" w:rsidRDefault="006709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0224072" w:history="1">
            <w:r w:rsidR="006C699B" w:rsidRPr="00240A51">
              <w:rPr>
                <w:rStyle w:val="Hyperlink"/>
                <w:rFonts w:ascii="Arial" w:hAnsi="Arial" w:cs="Arial"/>
                <w:noProof/>
              </w:rPr>
              <w:t>2.3.4</w:t>
            </w:r>
            <w:r w:rsidR="006C699B">
              <w:rPr>
                <w:rFonts w:asciiTheme="minorHAnsi" w:eastAsiaTheme="minorEastAsia" w:hAnsiTheme="minorHAnsi" w:cstheme="minorBidi"/>
                <w:noProof/>
                <w:sz w:val="22"/>
                <w:szCs w:val="22"/>
                <w:lang w:eastAsia="en-AU"/>
              </w:rPr>
              <w:tab/>
            </w:r>
            <w:r w:rsidR="006C699B" w:rsidRPr="00240A51">
              <w:rPr>
                <w:rStyle w:val="Hyperlink"/>
                <w:rFonts w:ascii="Arial" w:hAnsi="Arial" w:cs="Arial"/>
                <w:noProof/>
              </w:rPr>
              <w:t>Forecast real customer contributions—as-incurred</w:t>
            </w:r>
            <w:r w:rsidR="006C699B">
              <w:rPr>
                <w:noProof/>
                <w:webHidden/>
              </w:rPr>
              <w:tab/>
            </w:r>
            <w:r w:rsidR="006C699B" w:rsidRPr="006F3A38">
              <w:rPr>
                <w:rFonts w:ascii="Arial" w:hAnsi="Arial" w:cs="Arial"/>
                <w:noProof/>
                <w:webHidden/>
              </w:rPr>
              <w:fldChar w:fldCharType="begin"/>
            </w:r>
            <w:r w:rsidR="006C699B" w:rsidRPr="006F3A38">
              <w:rPr>
                <w:rFonts w:ascii="Arial" w:hAnsi="Arial" w:cs="Arial"/>
                <w:noProof/>
                <w:webHidden/>
              </w:rPr>
              <w:instrText xml:space="preserve"> PAGEREF _Toc410224072 \h </w:instrText>
            </w:r>
            <w:r w:rsidR="006C699B" w:rsidRPr="006F3A38">
              <w:rPr>
                <w:rFonts w:ascii="Arial" w:hAnsi="Arial" w:cs="Arial"/>
                <w:noProof/>
                <w:webHidden/>
              </w:rPr>
            </w:r>
            <w:r w:rsidR="006C699B" w:rsidRPr="006F3A38">
              <w:rPr>
                <w:rFonts w:ascii="Arial" w:hAnsi="Arial" w:cs="Arial"/>
                <w:noProof/>
                <w:webHidden/>
              </w:rPr>
              <w:fldChar w:fldCharType="separate"/>
            </w:r>
            <w:r>
              <w:rPr>
                <w:rFonts w:ascii="Arial" w:hAnsi="Arial" w:cs="Arial"/>
                <w:noProof/>
                <w:webHidden/>
              </w:rPr>
              <w:t>14</w:t>
            </w:r>
            <w:r w:rsidR="006C699B" w:rsidRPr="006F3A38">
              <w:rPr>
                <w:rFonts w:ascii="Arial" w:hAnsi="Arial" w:cs="Arial"/>
                <w:noProof/>
                <w:webHidden/>
              </w:rPr>
              <w:fldChar w:fldCharType="end"/>
            </w:r>
          </w:hyperlink>
        </w:p>
        <w:p w:rsidR="006C699B" w:rsidRDefault="006709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0224073" w:history="1">
            <w:r w:rsidR="006C699B" w:rsidRPr="00240A51">
              <w:rPr>
                <w:rStyle w:val="Hyperlink"/>
                <w:rFonts w:ascii="Arial" w:hAnsi="Arial" w:cs="Arial"/>
                <w:noProof/>
              </w:rPr>
              <w:t>2.3.5</w:t>
            </w:r>
            <w:r w:rsidR="006C699B">
              <w:rPr>
                <w:rFonts w:asciiTheme="minorHAnsi" w:eastAsiaTheme="minorEastAsia" w:hAnsiTheme="minorHAnsi" w:cstheme="minorBidi"/>
                <w:noProof/>
                <w:sz w:val="22"/>
                <w:szCs w:val="22"/>
                <w:lang w:eastAsia="en-AU"/>
              </w:rPr>
              <w:tab/>
            </w:r>
            <w:r w:rsidR="006C699B" w:rsidRPr="00240A51">
              <w:rPr>
                <w:rStyle w:val="Hyperlink"/>
                <w:rFonts w:ascii="Arial" w:hAnsi="Arial" w:cs="Arial"/>
                <w:noProof/>
              </w:rPr>
              <w:t>Forecast net real capital expenditure—as-incurred</w:t>
            </w:r>
            <w:r w:rsidR="006C699B">
              <w:rPr>
                <w:noProof/>
                <w:webHidden/>
              </w:rPr>
              <w:tab/>
            </w:r>
            <w:r w:rsidR="006C699B" w:rsidRPr="006F3A38">
              <w:rPr>
                <w:rFonts w:ascii="Arial" w:hAnsi="Arial" w:cs="Arial"/>
                <w:noProof/>
                <w:webHidden/>
              </w:rPr>
              <w:fldChar w:fldCharType="begin"/>
            </w:r>
            <w:r w:rsidR="006C699B" w:rsidRPr="006F3A38">
              <w:rPr>
                <w:rFonts w:ascii="Arial" w:hAnsi="Arial" w:cs="Arial"/>
                <w:noProof/>
                <w:webHidden/>
              </w:rPr>
              <w:instrText xml:space="preserve"> PAGEREF _Toc410224073 \h </w:instrText>
            </w:r>
            <w:r w:rsidR="006C699B" w:rsidRPr="006F3A38">
              <w:rPr>
                <w:rFonts w:ascii="Arial" w:hAnsi="Arial" w:cs="Arial"/>
                <w:noProof/>
                <w:webHidden/>
              </w:rPr>
            </w:r>
            <w:r w:rsidR="006C699B" w:rsidRPr="006F3A38">
              <w:rPr>
                <w:rFonts w:ascii="Arial" w:hAnsi="Arial" w:cs="Arial"/>
                <w:noProof/>
                <w:webHidden/>
              </w:rPr>
              <w:fldChar w:fldCharType="separate"/>
            </w:r>
            <w:r>
              <w:rPr>
                <w:rFonts w:ascii="Arial" w:hAnsi="Arial" w:cs="Arial"/>
                <w:noProof/>
                <w:webHidden/>
              </w:rPr>
              <w:t>14</w:t>
            </w:r>
            <w:r w:rsidR="006C699B" w:rsidRPr="006F3A38">
              <w:rPr>
                <w:rFonts w:ascii="Arial" w:hAnsi="Arial" w:cs="Arial"/>
                <w:noProof/>
                <w:webHidden/>
              </w:rPr>
              <w:fldChar w:fldCharType="end"/>
            </w:r>
          </w:hyperlink>
        </w:p>
        <w:p w:rsidR="006C699B" w:rsidRDefault="006709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0224074" w:history="1">
            <w:r w:rsidR="006C699B" w:rsidRPr="00240A51">
              <w:rPr>
                <w:rStyle w:val="Hyperlink"/>
                <w:rFonts w:ascii="Arial" w:hAnsi="Arial" w:cs="Arial"/>
                <w:noProof/>
              </w:rPr>
              <w:t>2.3.6</w:t>
            </w:r>
            <w:r w:rsidR="006C699B">
              <w:rPr>
                <w:rFonts w:asciiTheme="minorHAnsi" w:eastAsiaTheme="minorEastAsia" w:hAnsiTheme="minorHAnsi" w:cstheme="minorBidi"/>
                <w:noProof/>
                <w:sz w:val="22"/>
                <w:szCs w:val="22"/>
                <w:lang w:eastAsia="en-AU"/>
              </w:rPr>
              <w:tab/>
            </w:r>
            <w:r w:rsidR="006C699B" w:rsidRPr="00240A51">
              <w:rPr>
                <w:rStyle w:val="Hyperlink"/>
                <w:rFonts w:ascii="Arial" w:hAnsi="Arial" w:cs="Arial"/>
                <w:noProof/>
              </w:rPr>
              <w:t>Forecast real operating and maintenance expenditure</w:t>
            </w:r>
            <w:r w:rsidR="006C699B">
              <w:rPr>
                <w:noProof/>
                <w:webHidden/>
              </w:rPr>
              <w:tab/>
            </w:r>
            <w:r w:rsidR="006C699B" w:rsidRPr="006F3A38">
              <w:rPr>
                <w:rFonts w:ascii="Arial" w:hAnsi="Arial" w:cs="Arial"/>
                <w:noProof/>
                <w:webHidden/>
              </w:rPr>
              <w:fldChar w:fldCharType="begin"/>
            </w:r>
            <w:r w:rsidR="006C699B" w:rsidRPr="006F3A38">
              <w:rPr>
                <w:rFonts w:ascii="Arial" w:hAnsi="Arial" w:cs="Arial"/>
                <w:noProof/>
                <w:webHidden/>
              </w:rPr>
              <w:instrText xml:space="preserve"> PAGEREF _Toc410224074 \h </w:instrText>
            </w:r>
            <w:r w:rsidR="006C699B" w:rsidRPr="006F3A38">
              <w:rPr>
                <w:rFonts w:ascii="Arial" w:hAnsi="Arial" w:cs="Arial"/>
                <w:noProof/>
                <w:webHidden/>
              </w:rPr>
            </w:r>
            <w:r w:rsidR="006C699B" w:rsidRPr="006F3A38">
              <w:rPr>
                <w:rFonts w:ascii="Arial" w:hAnsi="Arial" w:cs="Arial"/>
                <w:noProof/>
                <w:webHidden/>
              </w:rPr>
              <w:fldChar w:fldCharType="separate"/>
            </w:r>
            <w:r>
              <w:rPr>
                <w:rFonts w:ascii="Arial" w:hAnsi="Arial" w:cs="Arial"/>
                <w:noProof/>
                <w:webHidden/>
              </w:rPr>
              <w:t>14</w:t>
            </w:r>
            <w:r w:rsidR="006C699B" w:rsidRPr="006F3A38">
              <w:rPr>
                <w:rFonts w:ascii="Arial" w:hAnsi="Arial" w:cs="Arial"/>
                <w:noProof/>
                <w:webHidden/>
              </w:rPr>
              <w:fldChar w:fldCharType="end"/>
            </w:r>
          </w:hyperlink>
        </w:p>
        <w:p w:rsidR="006C699B" w:rsidRDefault="006709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0224075" w:history="1">
            <w:r w:rsidR="006C699B" w:rsidRPr="00240A51">
              <w:rPr>
                <w:rStyle w:val="Hyperlink"/>
                <w:rFonts w:ascii="Arial" w:hAnsi="Arial" w:cs="Arial"/>
                <w:noProof/>
              </w:rPr>
              <w:t>2.3.7</w:t>
            </w:r>
            <w:r w:rsidR="006C699B">
              <w:rPr>
                <w:rFonts w:asciiTheme="minorHAnsi" w:eastAsiaTheme="minorEastAsia" w:hAnsiTheme="minorHAnsi" w:cstheme="minorBidi"/>
                <w:noProof/>
                <w:sz w:val="22"/>
                <w:szCs w:val="22"/>
                <w:lang w:eastAsia="en-AU"/>
              </w:rPr>
              <w:tab/>
            </w:r>
            <w:r w:rsidR="006C699B" w:rsidRPr="00240A51">
              <w:rPr>
                <w:rStyle w:val="Hyperlink"/>
                <w:rFonts w:ascii="Arial" w:hAnsi="Arial" w:cs="Arial"/>
                <w:noProof/>
              </w:rPr>
              <w:t>Revenue adjustments</w:t>
            </w:r>
            <w:r w:rsidR="006C699B">
              <w:rPr>
                <w:noProof/>
                <w:webHidden/>
              </w:rPr>
              <w:tab/>
            </w:r>
            <w:r w:rsidR="006C699B" w:rsidRPr="006F3A38">
              <w:rPr>
                <w:rFonts w:ascii="Arial" w:hAnsi="Arial" w:cs="Arial"/>
                <w:noProof/>
                <w:webHidden/>
              </w:rPr>
              <w:fldChar w:fldCharType="begin"/>
            </w:r>
            <w:r w:rsidR="006C699B" w:rsidRPr="006F3A38">
              <w:rPr>
                <w:rFonts w:ascii="Arial" w:hAnsi="Arial" w:cs="Arial"/>
                <w:noProof/>
                <w:webHidden/>
              </w:rPr>
              <w:instrText xml:space="preserve"> PAGEREF _Toc410224075 \h </w:instrText>
            </w:r>
            <w:r w:rsidR="006C699B" w:rsidRPr="006F3A38">
              <w:rPr>
                <w:rFonts w:ascii="Arial" w:hAnsi="Arial" w:cs="Arial"/>
                <w:noProof/>
                <w:webHidden/>
              </w:rPr>
            </w:r>
            <w:r w:rsidR="006C699B" w:rsidRPr="006F3A38">
              <w:rPr>
                <w:rFonts w:ascii="Arial" w:hAnsi="Arial" w:cs="Arial"/>
                <w:noProof/>
                <w:webHidden/>
              </w:rPr>
              <w:fldChar w:fldCharType="separate"/>
            </w:r>
            <w:r>
              <w:rPr>
                <w:rFonts w:ascii="Arial" w:hAnsi="Arial" w:cs="Arial"/>
                <w:noProof/>
                <w:webHidden/>
              </w:rPr>
              <w:t>15</w:t>
            </w:r>
            <w:r w:rsidR="006C699B" w:rsidRPr="006F3A38">
              <w:rPr>
                <w:rFonts w:ascii="Arial" w:hAnsi="Arial" w:cs="Arial"/>
                <w:noProof/>
                <w:webHidden/>
              </w:rPr>
              <w:fldChar w:fldCharType="end"/>
            </w:r>
          </w:hyperlink>
        </w:p>
        <w:p w:rsidR="006C699B" w:rsidRDefault="006709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0224076" w:history="1">
            <w:r w:rsidR="006C699B" w:rsidRPr="00240A51">
              <w:rPr>
                <w:rStyle w:val="Hyperlink"/>
                <w:rFonts w:ascii="Arial" w:hAnsi="Arial" w:cs="Arial"/>
                <w:noProof/>
              </w:rPr>
              <w:t>2.3.8</w:t>
            </w:r>
            <w:r w:rsidR="006C699B">
              <w:rPr>
                <w:rFonts w:asciiTheme="minorHAnsi" w:eastAsiaTheme="minorEastAsia" w:hAnsiTheme="minorHAnsi" w:cstheme="minorBidi"/>
                <w:noProof/>
                <w:sz w:val="22"/>
                <w:szCs w:val="22"/>
                <w:lang w:eastAsia="en-AU"/>
              </w:rPr>
              <w:tab/>
            </w:r>
            <w:r w:rsidR="006C699B" w:rsidRPr="00240A51">
              <w:rPr>
                <w:rStyle w:val="Hyperlink"/>
                <w:rFonts w:ascii="Arial" w:hAnsi="Arial" w:cs="Arial"/>
                <w:noProof/>
              </w:rPr>
              <w:t>Tax</w:t>
            </w:r>
            <w:r w:rsidR="006C699B">
              <w:rPr>
                <w:noProof/>
                <w:webHidden/>
              </w:rPr>
              <w:tab/>
            </w:r>
            <w:r w:rsidR="006C699B" w:rsidRPr="006F3A38">
              <w:rPr>
                <w:rFonts w:ascii="Arial" w:hAnsi="Arial" w:cs="Arial"/>
                <w:noProof/>
                <w:webHidden/>
              </w:rPr>
              <w:fldChar w:fldCharType="begin"/>
            </w:r>
            <w:r w:rsidR="006C699B" w:rsidRPr="006F3A38">
              <w:rPr>
                <w:rFonts w:ascii="Arial" w:hAnsi="Arial" w:cs="Arial"/>
                <w:noProof/>
                <w:webHidden/>
              </w:rPr>
              <w:instrText xml:space="preserve"> PAGEREF _Toc410224076 \h </w:instrText>
            </w:r>
            <w:r w:rsidR="006C699B" w:rsidRPr="006F3A38">
              <w:rPr>
                <w:rFonts w:ascii="Arial" w:hAnsi="Arial" w:cs="Arial"/>
                <w:noProof/>
                <w:webHidden/>
              </w:rPr>
            </w:r>
            <w:r w:rsidR="006C699B" w:rsidRPr="006F3A38">
              <w:rPr>
                <w:rFonts w:ascii="Arial" w:hAnsi="Arial" w:cs="Arial"/>
                <w:noProof/>
                <w:webHidden/>
              </w:rPr>
              <w:fldChar w:fldCharType="separate"/>
            </w:r>
            <w:r>
              <w:rPr>
                <w:rFonts w:ascii="Arial" w:hAnsi="Arial" w:cs="Arial"/>
                <w:noProof/>
                <w:webHidden/>
              </w:rPr>
              <w:t>15</w:t>
            </w:r>
            <w:r w:rsidR="006C699B" w:rsidRPr="006F3A38">
              <w:rPr>
                <w:rFonts w:ascii="Arial" w:hAnsi="Arial" w:cs="Arial"/>
                <w:noProof/>
                <w:webHidden/>
              </w:rPr>
              <w:fldChar w:fldCharType="end"/>
            </w:r>
          </w:hyperlink>
        </w:p>
        <w:p w:rsidR="006C699B" w:rsidRDefault="006709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0224077" w:history="1">
            <w:r w:rsidR="006C699B" w:rsidRPr="00240A51">
              <w:rPr>
                <w:rStyle w:val="Hyperlink"/>
                <w:rFonts w:ascii="Arial" w:hAnsi="Arial" w:cs="Arial"/>
                <w:noProof/>
              </w:rPr>
              <w:t>2.3.9</w:t>
            </w:r>
            <w:r w:rsidR="006C699B">
              <w:rPr>
                <w:rFonts w:asciiTheme="minorHAnsi" w:eastAsiaTheme="minorEastAsia" w:hAnsiTheme="minorHAnsi" w:cstheme="minorBidi"/>
                <w:noProof/>
                <w:sz w:val="22"/>
                <w:szCs w:val="22"/>
                <w:lang w:eastAsia="en-AU"/>
              </w:rPr>
              <w:tab/>
            </w:r>
            <w:r w:rsidR="006C699B" w:rsidRPr="00240A51">
              <w:rPr>
                <w:rStyle w:val="Hyperlink"/>
                <w:rFonts w:ascii="Arial" w:hAnsi="Arial" w:cs="Arial"/>
                <w:noProof/>
              </w:rPr>
              <w:t>Cost of capital</w:t>
            </w:r>
            <w:r w:rsidR="006C699B">
              <w:rPr>
                <w:noProof/>
                <w:webHidden/>
              </w:rPr>
              <w:tab/>
            </w:r>
            <w:r w:rsidR="006C699B" w:rsidRPr="006F3A38">
              <w:rPr>
                <w:rFonts w:ascii="Arial" w:hAnsi="Arial" w:cs="Arial"/>
                <w:noProof/>
                <w:webHidden/>
              </w:rPr>
              <w:fldChar w:fldCharType="begin"/>
            </w:r>
            <w:r w:rsidR="006C699B" w:rsidRPr="006F3A38">
              <w:rPr>
                <w:rFonts w:ascii="Arial" w:hAnsi="Arial" w:cs="Arial"/>
                <w:noProof/>
                <w:webHidden/>
              </w:rPr>
              <w:instrText xml:space="preserve"> PAGEREF _Toc410224077 \h </w:instrText>
            </w:r>
            <w:r w:rsidR="006C699B" w:rsidRPr="006F3A38">
              <w:rPr>
                <w:rFonts w:ascii="Arial" w:hAnsi="Arial" w:cs="Arial"/>
                <w:noProof/>
                <w:webHidden/>
              </w:rPr>
            </w:r>
            <w:r w:rsidR="006C699B" w:rsidRPr="006F3A38">
              <w:rPr>
                <w:rFonts w:ascii="Arial" w:hAnsi="Arial" w:cs="Arial"/>
                <w:noProof/>
                <w:webHidden/>
              </w:rPr>
              <w:fldChar w:fldCharType="separate"/>
            </w:r>
            <w:r>
              <w:rPr>
                <w:rFonts w:ascii="Arial" w:hAnsi="Arial" w:cs="Arial"/>
                <w:noProof/>
                <w:webHidden/>
              </w:rPr>
              <w:t>15</w:t>
            </w:r>
            <w:r w:rsidR="006C699B" w:rsidRPr="006F3A38">
              <w:rPr>
                <w:rFonts w:ascii="Arial" w:hAnsi="Arial" w:cs="Arial"/>
                <w:noProof/>
                <w:webHidden/>
              </w:rPr>
              <w:fldChar w:fldCharType="end"/>
            </w:r>
          </w:hyperlink>
        </w:p>
        <w:p w:rsidR="006C699B" w:rsidRDefault="006709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0224078" w:history="1">
            <w:r w:rsidR="006C699B" w:rsidRPr="00240A51">
              <w:rPr>
                <w:rStyle w:val="Hyperlink"/>
                <w:rFonts w:ascii="Arial" w:hAnsi="Arial" w:cs="Arial"/>
                <w:noProof/>
              </w:rPr>
              <w:t>2.3.10</w:t>
            </w:r>
            <w:r w:rsidR="006C699B">
              <w:rPr>
                <w:rFonts w:asciiTheme="minorHAnsi" w:eastAsiaTheme="minorEastAsia" w:hAnsiTheme="minorHAnsi" w:cstheme="minorBidi"/>
                <w:noProof/>
                <w:sz w:val="22"/>
                <w:szCs w:val="22"/>
                <w:lang w:eastAsia="en-AU"/>
              </w:rPr>
              <w:tab/>
            </w:r>
            <w:r w:rsidR="006C699B" w:rsidRPr="00240A51">
              <w:rPr>
                <w:rStyle w:val="Hyperlink"/>
                <w:rFonts w:ascii="Arial" w:hAnsi="Arial" w:cs="Arial"/>
                <w:noProof/>
              </w:rPr>
              <w:t>Debt and equity raising costs—transaction costs</w:t>
            </w:r>
            <w:r w:rsidR="006C699B">
              <w:rPr>
                <w:noProof/>
                <w:webHidden/>
              </w:rPr>
              <w:tab/>
            </w:r>
            <w:r w:rsidR="006C699B" w:rsidRPr="006F3A38">
              <w:rPr>
                <w:rFonts w:ascii="Arial" w:hAnsi="Arial" w:cs="Arial"/>
                <w:noProof/>
                <w:webHidden/>
              </w:rPr>
              <w:fldChar w:fldCharType="begin"/>
            </w:r>
            <w:r w:rsidR="006C699B" w:rsidRPr="006F3A38">
              <w:rPr>
                <w:rFonts w:ascii="Arial" w:hAnsi="Arial" w:cs="Arial"/>
                <w:noProof/>
                <w:webHidden/>
              </w:rPr>
              <w:instrText xml:space="preserve"> PAGEREF _Toc410224078 \h </w:instrText>
            </w:r>
            <w:r w:rsidR="006C699B" w:rsidRPr="006F3A38">
              <w:rPr>
                <w:rFonts w:ascii="Arial" w:hAnsi="Arial" w:cs="Arial"/>
                <w:noProof/>
                <w:webHidden/>
              </w:rPr>
            </w:r>
            <w:r w:rsidR="006C699B" w:rsidRPr="006F3A38">
              <w:rPr>
                <w:rFonts w:ascii="Arial" w:hAnsi="Arial" w:cs="Arial"/>
                <w:noProof/>
                <w:webHidden/>
              </w:rPr>
              <w:fldChar w:fldCharType="separate"/>
            </w:r>
            <w:r>
              <w:rPr>
                <w:rFonts w:ascii="Arial" w:hAnsi="Arial" w:cs="Arial"/>
                <w:noProof/>
                <w:webHidden/>
              </w:rPr>
              <w:t>15</w:t>
            </w:r>
            <w:r w:rsidR="006C699B" w:rsidRPr="006F3A38">
              <w:rPr>
                <w:rFonts w:ascii="Arial" w:hAnsi="Arial" w:cs="Arial"/>
                <w:noProof/>
                <w:webHidden/>
              </w:rPr>
              <w:fldChar w:fldCharType="end"/>
            </w:r>
          </w:hyperlink>
        </w:p>
        <w:p w:rsidR="006C699B" w:rsidRDefault="006709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0224079" w:history="1">
            <w:r w:rsidR="006C699B" w:rsidRPr="00240A51">
              <w:rPr>
                <w:rStyle w:val="Hyperlink"/>
                <w:rFonts w:ascii="Arial" w:hAnsi="Arial" w:cs="Arial"/>
                <w:noProof/>
              </w:rPr>
              <w:t>2.3.11</w:t>
            </w:r>
            <w:r w:rsidR="006C699B">
              <w:rPr>
                <w:rFonts w:asciiTheme="minorHAnsi" w:eastAsiaTheme="minorEastAsia" w:hAnsiTheme="minorHAnsi" w:cstheme="minorBidi"/>
                <w:noProof/>
                <w:sz w:val="22"/>
                <w:szCs w:val="22"/>
                <w:lang w:eastAsia="en-AU"/>
              </w:rPr>
              <w:tab/>
            </w:r>
            <w:r w:rsidR="006C699B" w:rsidRPr="00240A51">
              <w:rPr>
                <w:rStyle w:val="Hyperlink"/>
                <w:rFonts w:ascii="Arial" w:hAnsi="Arial" w:cs="Arial"/>
                <w:noProof/>
              </w:rPr>
              <w:t>Price/revenue constraint for the current regulatory year</w:t>
            </w:r>
            <w:r w:rsidR="006C699B">
              <w:rPr>
                <w:noProof/>
                <w:webHidden/>
              </w:rPr>
              <w:tab/>
            </w:r>
            <w:r w:rsidR="006C699B" w:rsidRPr="006F3A38">
              <w:rPr>
                <w:rFonts w:ascii="Arial" w:hAnsi="Arial" w:cs="Arial"/>
                <w:noProof/>
                <w:webHidden/>
              </w:rPr>
              <w:fldChar w:fldCharType="begin"/>
            </w:r>
            <w:r w:rsidR="006C699B" w:rsidRPr="006F3A38">
              <w:rPr>
                <w:rFonts w:ascii="Arial" w:hAnsi="Arial" w:cs="Arial"/>
                <w:noProof/>
                <w:webHidden/>
              </w:rPr>
              <w:instrText xml:space="preserve"> PAGEREF _Toc410224079 \h </w:instrText>
            </w:r>
            <w:r w:rsidR="006C699B" w:rsidRPr="006F3A38">
              <w:rPr>
                <w:rFonts w:ascii="Arial" w:hAnsi="Arial" w:cs="Arial"/>
                <w:noProof/>
                <w:webHidden/>
              </w:rPr>
            </w:r>
            <w:r w:rsidR="006C699B" w:rsidRPr="006F3A38">
              <w:rPr>
                <w:rFonts w:ascii="Arial" w:hAnsi="Arial" w:cs="Arial"/>
                <w:noProof/>
                <w:webHidden/>
              </w:rPr>
              <w:fldChar w:fldCharType="separate"/>
            </w:r>
            <w:r>
              <w:rPr>
                <w:rFonts w:ascii="Arial" w:hAnsi="Arial" w:cs="Arial"/>
                <w:noProof/>
                <w:webHidden/>
              </w:rPr>
              <w:t>16</w:t>
            </w:r>
            <w:r w:rsidR="006C699B" w:rsidRPr="006F3A38">
              <w:rPr>
                <w:rFonts w:ascii="Arial" w:hAnsi="Arial" w:cs="Arial"/>
                <w:noProof/>
                <w:webHidden/>
              </w:rPr>
              <w:fldChar w:fldCharType="end"/>
            </w:r>
          </w:hyperlink>
        </w:p>
        <w:p w:rsidR="006C699B" w:rsidRDefault="006709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0224080" w:history="1">
            <w:r w:rsidR="006C699B" w:rsidRPr="00240A51">
              <w:rPr>
                <w:rStyle w:val="Hyperlink"/>
                <w:rFonts w:ascii="Arial" w:hAnsi="Arial" w:cs="Arial"/>
                <w:noProof/>
              </w:rPr>
              <w:t>2.3.12</w:t>
            </w:r>
            <w:r w:rsidR="006C699B">
              <w:rPr>
                <w:rFonts w:asciiTheme="minorHAnsi" w:eastAsiaTheme="minorEastAsia" w:hAnsiTheme="minorHAnsi" w:cstheme="minorBidi"/>
                <w:noProof/>
                <w:sz w:val="22"/>
                <w:szCs w:val="22"/>
                <w:lang w:eastAsia="en-AU"/>
              </w:rPr>
              <w:tab/>
            </w:r>
            <w:r w:rsidR="006C699B" w:rsidRPr="00240A51">
              <w:rPr>
                <w:rStyle w:val="Hyperlink"/>
                <w:rFonts w:ascii="Arial" w:hAnsi="Arial" w:cs="Arial"/>
                <w:noProof/>
              </w:rPr>
              <w:t>Energy delivered forecast</w:t>
            </w:r>
            <w:r w:rsidR="006C699B">
              <w:rPr>
                <w:noProof/>
                <w:webHidden/>
              </w:rPr>
              <w:tab/>
            </w:r>
            <w:r w:rsidR="006C699B" w:rsidRPr="006F3A38">
              <w:rPr>
                <w:rFonts w:ascii="Arial" w:hAnsi="Arial" w:cs="Arial"/>
                <w:noProof/>
                <w:webHidden/>
              </w:rPr>
              <w:fldChar w:fldCharType="begin"/>
            </w:r>
            <w:r w:rsidR="006C699B" w:rsidRPr="006F3A38">
              <w:rPr>
                <w:rFonts w:ascii="Arial" w:hAnsi="Arial" w:cs="Arial"/>
                <w:noProof/>
                <w:webHidden/>
              </w:rPr>
              <w:instrText xml:space="preserve"> PAGEREF _Toc410224080 \h </w:instrText>
            </w:r>
            <w:r w:rsidR="006C699B" w:rsidRPr="006F3A38">
              <w:rPr>
                <w:rFonts w:ascii="Arial" w:hAnsi="Arial" w:cs="Arial"/>
                <w:noProof/>
                <w:webHidden/>
              </w:rPr>
            </w:r>
            <w:r w:rsidR="006C699B" w:rsidRPr="006F3A38">
              <w:rPr>
                <w:rFonts w:ascii="Arial" w:hAnsi="Arial" w:cs="Arial"/>
                <w:noProof/>
                <w:webHidden/>
              </w:rPr>
              <w:fldChar w:fldCharType="separate"/>
            </w:r>
            <w:r>
              <w:rPr>
                <w:rFonts w:ascii="Arial" w:hAnsi="Arial" w:cs="Arial"/>
                <w:noProof/>
                <w:webHidden/>
              </w:rPr>
              <w:t>16</w:t>
            </w:r>
            <w:r w:rsidR="006C699B" w:rsidRPr="006F3A38">
              <w:rPr>
                <w:rFonts w:ascii="Arial" w:hAnsi="Arial" w:cs="Arial"/>
                <w:noProof/>
                <w:webHidden/>
              </w:rPr>
              <w:fldChar w:fldCharType="end"/>
            </w:r>
          </w:hyperlink>
        </w:p>
        <w:p w:rsidR="006C699B" w:rsidRDefault="006709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0224081" w:history="1">
            <w:r w:rsidR="006C699B" w:rsidRPr="00240A51">
              <w:rPr>
                <w:rStyle w:val="Hyperlink"/>
                <w:rFonts w:ascii="Arial" w:hAnsi="Arial" w:cs="Arial"/>
                <w:noProof/>
              </w:rPr>
              <w:t>2.3.13</w:t>
            </w:r>
            <w:r w:rsidR="006C699B">
              <w:rPr>
                <w:rFonts w:asciiTheme="minorHAnsi" w:eastAsiaTheme="minorEastAsia" w:hAnsiTheme="minorHAnsi" w:cstheme="minorBidi"/>
                <w:noProof/>
                <w:sz w:val="22"/>
                <w:szCs w:val="22"/>
                <w:lang w:eastAsia="en-AU"/>
              </w:rPr>
              <w:tab/>
            </w:r>
            <w:r w:rsidR="006C699B" w:rsidRPr="00240A51">
              <w:rPr>
                <w:rStyle w:val="Hyperlink"/>
                <w:rFonts w:ascii="Arial" w:hAnsi="Arial" w:cs="Arial"/>
                <w:noProof/>
              </w:rPr>
              <w:t>Current prices by tariff component</w:t>
            </w:r>
            <w:r w:rsidR="006C699B">
              <w:rPr>
                <w:noProof/>
                <w:webHidden/>
              </w:rPr>
              <w:tab/>
            </w:r>
            <w:r w:rsidR="006C699B" w:rsidRPr="006F3A38">
              <w:rPr>
                <w:rFonts w:ascii="Arial" w:hAnsi="Arial" w:cs="Arial"/>
                <w:noProof/>
                <w:webHidden/>
              </w:rPr>
              <w:fldChar w:fldCharType="begin"/>
            </w:r>
            <w:r w:rsidR="006C699B" w:rsidRPr="006F3A38">
              <w:rPr>
                <w:rFonts w:ascii="Arial" w:hAnsi="Arial" w:cs="Arial"/>
                <w:noProof/>
                <w:webHidden/>
              </w:rPr>
              <w:instrText xml:space="preserve"> PAGEREF _Toc410224081 \h </w:instrText>
            </w:r>
            <w:r w:rsidR="006C699B" w:rsidRPr="006F3A38">
              <w:rPr>
                <w:rFonts w:ascii="Arial" w:hAnsi="Arial" w:cs="Arial"/>
                <w:noProof/>
                <w:webHidden/>
              </w:rPr>
            </w:r>
            <w:r w:rsidR="006C699B" w:rsidRPr="006F3A38">
              <w:rPr>
                <w:rFonts w:ascii="Arial" w:hAnsi="Arial" w:cs="Arial"/>
                <w:noProof/>
                <w:webHidden/>
              </w:rPr>
              <w:fldChar w:fldCharType="separate"/>
            </w:r>
            <w:r>
              <w:rPr>
                <w:rFonts w:ascii="Arial" w:hAnsi="Arial" w:cs="Arial"/>
                <w:noProof/>
                <w:webHidden/>
              </w:rPr>
              <w:t>16</w:t>
            </w:r>
            <w:r w:rsidR="006C699B" w:rsidRPr="006F3A38">
              <w:rPr>
                <w:rFonts w:ascii="Arial" w:hAnsi="Arial" w:cs="Arial"/>
                <w:noProof/>
                <w:webHidden/>
              </w:rPr>
              <w:fldChar w:fldCharType="end"/>
            </w:r>
          </w:hyperlink>
        </w:p>
        <w:p w:rsidR="006C699B" w:rsidRDefault="006709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0224082" w:history="1">
            <w:r w:rsidR="006C699B" w:rsidRPr="00240A51">
              <w:rPr>
                <w:rStyle w:val="Hyperlink"/>
                <w:rFonts w:ascii="Arial" w:hAnsi="Arial" w:cs="Arial"/>
                <w:noProof/>
              </w:rPr>
              <w:t>2.3.14</w:t>
            </w:r>
            <w:r w:rsidR="006C699B">
              <w:rPr>
                <w:rFonts w:asciiTheme="minorHAnsi" w:eastAsiaTheme="minorEastAsia" w:hAnsiTheme="minorHAnsi" w:cstheme="minorBidi"/>
                <w:noProof/>
                <w:sz w:val="22"/>
                <w:szCs w:val="22"/>
                <w:lang w:eastAsia="en-AU"/>
              </w:rPr>
              <w:tab/>
            </w:r>
            <w:r w:rsidR="006C699B" w:rsidRPr="00240A51">
              <w:rPr>
                <w:rStyle w:val="Hyperlink"/>
                <w:rFonts w:ascii="Arial" w:hAnsi="Arial" w:cs="Arial"/>
                <w:noProof/>
              </w:rPr>
              <w:t>Forecast sales quantities by tariff component</w:t>
            </w:r>
            <w:r w:rsidR="006C699B">
              <w:rPr>
                <w:noProof/>
                <w:webHidden/>
              </w:rPr>
              <w:tab/>
            </w:r>
            <w:r w:rsidR="006C699B" w:rsidRPr="006F3A38">
              <w:rPr>
                <w:rFonts w:ascii="Arial" w:hAnsi="Arial" w:cs="Arial"/>
                <w:noProof/>
                <w:webHidden/>
              </w:rPr>
              <w:fldChar w:fldCharType="begin"/>
            </w:r>
            <w:r w:rsidR="006C699B" w:rsidRPr="006F3A38">
              <w:rPr>
                <w:rFonts w:ascii="Arial" w:hAnsi="Arial" w:cs="Arial"/>
                <w:noProof/>
                <w:webHidden/>
              </w:rPr>
              <w:instrText xml:space="preserve"> PAGEREF _Toc410224082 \h </w:instrText>
            </w:r>
            <w:r w:rsidR="006C699B" w:rsidRPr="006F3A38">
              <w:rPr>
                <w:rFonts w:ascii="Arial" w:hAnsi="Arial" w:cs="Arial"/>
                <w:noProof/>
                <w:webHidden/>
              </w:rPr>
            </w:r>
            <w:r w:rsidR="006C699B" w:rsidRPr="006F3A38">
              <w:rPr>
                <w:rFonts w:ascii="Arial" w:hAnsi="Arial" w:cs="Arial"/>
                <w:noProof/>
                <w:webHidden/>
              </w:rPr>
              <w:fldChar w:fldCharType="separate"/>
            </w:r>
            <w:r>
              <w:rPr>
                <w:rFonts w:ascii="Arial" w:hAnsi="Arial" w:cs="Arial"/>
                <w:noProof/>
                <w:webHidden/>
              </w:rPr>
              <w:t>16</w:t>
            </w:r>
            <w:r w:rsidR="006C699B" w:rsidRPr="006F3A38">
              <w:rPr>
                <w:rFonts w:ascii="Arial" w:hAnsi="Arial" w:cs="Arial"/>
                <w:noProof/>
                <w:webHidden/>
              </w:rPr>
              <w:fldChar w:fldCharType="end"/>
            </w:r>
          </w:hyperlink>
        </w:p>
        <w:p w:rsidR="006C699B" w:rsidRDefault="006709B5">
          <w:pPr>
            <w:pStyle w:val="TOC2"/>
            <w:rPr>
              <w:rFonts w:asciiTheme="minorHAnsi" w:eastAsiaTheme="minorEastAsia" w:hAnsiTheme="minorHAnsi" w:cstheme="minorBidi"/>
              <w:sz w:val="22"/>
              <w:szCs w:val="22"/>
              <w:lang w:eastAsia="en-AU"/>
            </w:rPr>
          </w:pPr>
          <w:hyperlink w:anchor="_Toc410224083" w:history="1">
            <w:r w:rsidR="006C699B" w:rsidRPr="00240A51">
              <w:rPr>
                <w:rStyle w:val="Hyperlink"/>
              </w:rPr>
              <w:t>2.4</w:t>
            </w:r>
            <w:r w:rsidR="006C699B">
              <w:rPr>
                <w:rFonts w:asciiTheme="minorHAnsi" w:eastAsiaTheme="minorEastAsia" w:hAnsiTheme="minorHAnsi" w:cstheme="minorBidi"/>
                <w:sz w:val="22"/>
                <w:szCs w:val="22"/>
                <w:lang w:eastAsia="en-AU"/>
              </w:rPr>
              <w:tab/>
            </w:r>
            <w:r w:rsidR="006C699B" w:rsidRPr="00240A51">
              <w:rPr>
                <w:rStyle w:val="Hyperlink"/>
              </w:rPr>
              <w:t>WACC sheet</w:t>
            </w:r>
            <w:r w:rsidR="006C699B">
              <w:rPr>
                <w:webHidden/>
              </w:rPr>
              <w:tab/>
            </w:r>
            <w:r w:rsidR="006C699B">
              <w:rPr>
                <w:webHidden/>
              </w:rPr>
              <w:fldChar w:fldCharType="begin"/>
            </w:r>
            <w:r w:rsidR="006C699B">
              <w:rPr>
                <w:webHidden/>
              </w:rPr>
              <w:instrText xml:space="preserve"> PAGEREF _Toc410224083 \h </w:instrText>
            </w:r>
            <w:r w:rsidR="006C699B">
              <w:rPr>
                <w:webHidden/>
              </w:rPr>
            </w:r>
            <w:r w:rsidR="006C699B">
              <w:rPr>
                <w:webHidden/>
              </w:rPr>
              <w:fldChar w:fldCharType="separate"/>
            </w:r>
            <w:r>
              <w:rPr>
                <w:webHidden/>
              </w:rPr>
              <w:t>16</w:t>
            </w:r>
            <w:r w:rsidR="006C699B">
              <w:rPr>
                <w:webHidden/>
              </w:rPr>
              <w:fldChar w:fldCharType="end"/>
            </w:r>
          </w:hyperlink>
        </w:p>
        <w:p w:rsidR="006C699B" w:rsidRDefault="006709B5">
          <w:pPr>
            <w:pStyle w:val="TOC2"/>
            <w:rPr>
              <w:rFonts w:asciiTheme="minorHAnsi" w:eastAsiaTheme="minorEastAsia" w:hAnsiTheme="minorHAnsi" w:cstheme="minorBidi"/>
              <w:sz w:val="22"/>
              <w:szCs w:val="22"/>
              <w:lang w:eastAsia="en-AU"/>
            </w:rPr>
          </w:pPr>
          <w:hyperlink w:anchor="_Toc410224084" w:history="1">
            <w:r w:rsidR="006C699B" w:rsidRPr="00240A51">
              <w:rPr>
                <w:rStyle w:val="Hyperlink"/>
              </w:rPr>
              <w:t>2.5</w:t>
            </w:r>
            <w:r w:rsidR="006C699B">
              <w:rPr>
                <w:rFonts w:asciiTheme="minorHAnsi" w:eastAsiaTheme="minorEastAsia" w:hAnsiTheme="minorHAnsi" w:cstheme="minorBidi"/>
                <w:sz w:val="22"/>
                <w:szCs w:val="22"/>
                <w:lang w:eastAsia="en-AU"/>
              </w:rPr>
              <w:tab/>
            </w:r>
            <w:r w:rsidR="006C699B" w:rsidRPr="00240A51">
              <w:rPr>
                <w:rStyle w:val="Hyperlink"/>
              </w:rPr>
              <w:t>Assets sheet</w:t>
            </w:r>
            <w:r w:rsidR="006C699B">
              <w:rPr>
                <w:webHidden/>
              </w:rPr>
              <w:tab/>
            </w:r>
            <w:r w:rsidR="006C699B">
              <w:rPr>
                <w:webHidden/>
              </w:rPr>
              <w:fldChar w:fldCharType="begin"/>
            </w:r>
            <w:r w:rsidR="006C699B">
              <w:rPr>
                <w:webHidden/>
              </w:rPr>
              <w:instrText xml:space="preserve"> PAGEREF _Toc410224084 \h </w:instrText>
            </w:r>
            <w:r w:rsidR="006C699B">
              <w:rPr>
                <w:webHidden/>
              </w:rPr>
            </w:r>
            <w:r w:rsidR="006C699B">
              <w:rPr>
                <w:webHidden/>
              </w:rPr>
              <w:fldChar w:fldCharType="separate"/>
            </w:r>
            <w:r>
              <w:rPr>
                <w:webHidden/>
              </w:rPr>
              <w:t>17</w:t>
            </w:r>
            <w:r w:rsidR="006C699B">
              <w:rPr>
                <w:webHidden/>
              </w:rPr>
              <w:fldChar w:fldCharType="end"/>
            </w:r>
          </w:hyperlink>
        </w:p>
        <w:p w:rsidR="006C699B" w:rsidRDefault="006709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0224085" w:history="1">
            <w:r w:rsidR="006C699B" w:rsidRPr="00240A51">
              <w:rPr>
                <w:rStyle w:val="Hyperlink"/>
                <w:rFonts w:ascii="Arial" w:hAnsi="Arial" w:cs="Arial"/>
                <w:noProof/>
              </w:rPr>
              <w:t>2.5.1</w:t>
            </w:r>
            <w:r w:rsidR="006C699B">
              <w:rPr>
                <w:rFonts w:asciiTheme="minorHAnsi" w:eastAsiaTheme="minorEastAsia" w:hAnsiTheme="minorHAnsi" w:cstheme="minorBidi"/>
                <w:noProof/>
                <w:sz w:val="22"/>
                <w:szCs w:val="22"/>
                <w:lang w:eastAsia="en-AU"/>
              </w:rPr>
              <w:tab/>
            </w:r>
            <w:r w:rsidR="006C699B" w:rsidRPr="00240A51">
              <w:rPr>
                <w:rStyle w:val="Hyperlink"/>
                <w:rFonts w:ascii="Arial" w:hAnsi="Arial" w:cs="Arial"/>
                <w:noProof/>
              </w:rPr>
              <w:t>Rolling forward the RAB and depreciation</w:t>
            </w:r>
            <w:r w:rsidR="006C699B">
              <w:rPr>
                <w:noProof/>
                <w:webHidden/>
              </w:rPr>
              <w:tab/>
            </w:r>
            <w:r w:rsidR="006C699B" w:rsidRPr="006F3A38">
              <w:rPr>
                <w:rFonts w:ascii="Arial" w:hAnsi="Arial" w:cs="Arial"/>
                <w:noProof/>
                <w:webHidden/>
              </w:rPr>
              <w:fldChar w:fldCharType="begin"/>
            </w:r>
            <w:r w:rsidR="006C699B" w:rsidRPr="006F3A38">
              <w:rPr>
                <w:rFonts w:ascii="Arial" w:hAnsi="Arial" w:cs="Arial"/>
                <w:noProof/>
                <w:webHidden/>
              </w:rPr>
              <w:instrText xml:space="preserve"> PAGEREF _Toc410224085 \h </w:instrText>
            </w:r>
            <w:r w:rsidR="006C699B" w:rsidRPr="006F3A38">
              <w:rPr>
                <w:rFonts w:ascii="Arial" w:hAnsi="Arial" w:cs="Arial"/>
                <w:noProof/>
                <w:webHidden/>
              </w:rPr>
            </w:r>
            <w:r w:rsidR="006C699B" w:rsidRPr="006F3A38">
              <w:rPr>
                <w:rFonts w:ascii="Arial" w:hAnsi="Arial" w:cs="Arial"/>
                <w:noProof/>
                <w:webHidden/>
              </w:rPr>
              <w:fldChar w:fldCharType="separate"/>
            </w:r>
            <w:r>
              <w:rPr>
                <w:rFonts w:ascii="Arial" w:hAnsi="Arial" w:cs="Arial"/>
                <w:noProof/>
                <w:webHidden/>
              </w:rPr>
              <w:t>18</w:t>
            </w:r>
            <w:r w:rsidR="006C699B" w:rsidRPr="006F3A38">
              <w:rPr>
                <w:rFonts w:ascii="Arial" w:hAnsi="Arial" w:cs="Arial"/>
                <w:noProof/>
                <w:webHidden/>
              </w:rPr>
              <w:fldChar w:fldCharType="end"/>
            </w:r>
          </w:hyperlink>
        </w:p>
        <w:p w:rsidR="006C699B" w:rsidRDefault="006709B5">
          <w:pPr>
            <w:pStyle w:val="TOC2"/>
            <w:rPr>
              <w:rFonts w:asciiTheme="minorHAnsi" w:eastAsiaTheme="minorEastAsia" w:hAnsiTheme="minorHAnsi" w:cstheme="minorBidi"/>
              <w:sz w:val="22"/>
              <w:szCs w:val="22"/>
              <w:lang w:eastAsia="en-AU"/>
            </w:rPr>
          </w:pPr>
          <w:hyperlink w:anchor="_Toc410224086" w:history="1">
            <w:r w:rsidR="006C699B" w:rsidRPr="00240A51">
              <w:rPr>
                <w:rStyle w:val="Hyperlink"/>
              </w:rPr>
              <w:t>2.6</w:t>
            </w:r>
            <w:r w:rsidR="006C699B">
              <w:rPr>
                <w:rFonts w:asciiTheme="minorHAnsi" w:eastAsiaTheme="minorEastAsia" w:hAnsiTheme="minorHAnsi" w:cstheme="minorBidi"/>
                <w:sz w:val="22"/>
                <w:szCs w:val="22"/>
                <w:lang w:eastAsia="en-AU"/>
              </w:rPr>
              <w:tab/>
            </w:r>
            <w:r w:rsidR="006C699B" w:rsidRPr="00240A51">
              <w:rPr>
                <w:rStyle w:val="Hyperlink"/>
              </w:rPr>
              <w:t>Analysis sheet</w:t>
            </w:r>
            <w:r w:rsidR="006C699B">
              <w:rPr>
                <w:webHidden/>
              </w:rPr>
              <w:tab/>
            </w:r>
            <w:r w:rsidR="006C699B">
              <w:rPr>
                <w:webHidden/>
              </w:rPr>
              <w:fldChar w:fldCharType="begin"/>
            </w:r>
            <w:r w:rsidR="006C699B">
              <w:rPr>
                <w:webHidden/>
              </w:rPr>
              <w:instrText xml:space="preserve"> PAGEREF _Toc410224086 \h </w:instrText>
            </w:r>
            <w:r w:rsidR="006C699B">
              <w:rPr>
                <w:webHidden/>
              </w:rPr>
            </w:r>
            <w:r w:rsidR="006C699B">
              <w:rPr>
                <w:webHidden/>
              </w:rPr>
              <w:fldChar w:fldCharType="separate"/>
            </w:r>
            <w:r>
              <w:rPr>
                <w:webHidden/>
              </w:rPr>
              <w:t>19</w:t>
            </w:r>
            <w:r w:rsidR="006C699B">
              <w:rPr>
                <w:webHidden/>
              </w:rPr>
              <w:fldChar w:fldCharType="end"/>
            </w:r>
          </w:hyperlink>
        </w:p>
        <w:p w:rsidR="006C699B" w:rsidRDefault="006709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0224087" w:history="1">
            <w:r w:rsidR="006C699B" w:rsidRPr="00240A51">
              <w:rPr>
                <w:rStyle w:val="Hyperlink"/>
                <w:rFonts w:ascii="Arial" w:hAnsi="Arial" w:cs="Arial"/>
                <w:noProof/>
              </w:rPr>
              <w:t>2.6.1</w:t>
            </w:r>
            <w:r w:rsidR="006C699B">
              <w:rPr>
                <w:rFonts w:asciiTheme="minorHAnsi" w:eastAsiaTheme="minorEastAsia" w:hAnsiTheme="minorHAnsi" w:cstheme="minorBidi"/>
                <w:noProof/>
                <w:sz w:val="22"/>
                <w:szCs w:val="22"/>
                <w:lang w:eastAsia="en-AU"/>
              </w:rPr>
              <w:tab/>
            </w:r>
            <w:r w:rsidR="006C699B" w:rsidRPr="00240A51">
              <w:rPr>
                <w:rStyle w:val="Hyperlink"/>
                <w:rFonts w:ascii="Arial" w:hAnsi="Arial" w:cs="Arial"/>
                <w:noProof/>
              </w:rPr>
              <w:t>Building block approach to deriving cash flows</w:t>
            </w:r>
            <w:r w:rsidR="006C699B">
              <w:rPr>
                <w:noProof/>
                <w:webHidden/>
              </w:rPr>
              <w:tab/>
            </w:r>
            <w:r w:rsidR="006C699B" w:rsidRPr="006F3A38">
              <w:rPr>
                <w:rFonts w:ascii="Arial" w:hAnsi="Arial" w:cs="Arial"/>
                <w:noProof/>
                <w:webHidden/>
              </w:rPr>
              <w:fldChar w:fldCharType="begin"/>
            </w:r>
            <w:r w:rsidR="006C699B" w:rsidRPr="006F3A38">
              <w:rPr>
                <w:rFonts w:ascii="Arial" w:hAnsi="Arial" w:cs="Arial"/>
                <w:noProof/>
                <w:webHidden/>
              </w:rPr>
              <w:instrText xml:space="preserve"> PAGEREF _Toc410224087 \h </w:instrText>
            </w:r>
            <w:r w:rsidR="006C699B" w:rsidRPr="006F3A38">
              <w:rPr>
                <w:rFonts w:ascii="Arial" w:hAnsi="Arial" w:cs="Arial"/>
                <w:noProof/>
                <w:webHidden/>
              </w:rPr>
            </w:r>
            <w:r w:rsidR="006C699B" w:rsidRPr="006F3A38">
              <w:rPr>
                <w:rFonts w:ascii="Arial" w:hAnsi="Arial" w:cs="Arial"/>
                <w:noProof/>
                <w:webHidden/>
              </w:rPr>
              <w:fldChar w:fldCharType="separate"/>
            </w:r>
            <w:r>
              <w:rPr>
                <w:rFonts w:ascii="Arial" w:hAnsi="Arial" w:cs="Arial"/>
                <w:noProof/>
                <w:webHidden/>
              </w:rPr>
              <w:t>22</w:t>
            </w:r>
            <w:r w:rsidR="006C699B" w:rsidRPr="006F3A38">
              <w:rPr>
                <w:rFonts w:ascii="Arial" w:hAnsi="Arial" w:cs="Arial"/>
                <w:noProof/>
                <w:webHidden/>
              </w:rPr>
              <w:fldChar w:fldCharType="end"/>
            </w:r>
          </w:hyperlink>
        </w:p>
        <w:p w:rsidR="006C699B" w:rsidRDefault="006709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0224088" w:history="1">
            <w:r w:rsidR="006C699B" w:rsidRPr="00240A51">
              <w:rPr>
                <w:rStyle w:val="Hyperlink"/>
                <w:rFonts w:ascii="Arial" w:hAnsi="Arial" w:cs="Arial"/>
                <w:noProof/>
              </w:rPr>
              <w:t>2.6.2</w:t>
            </w:r>
            <w:r w:rsidR="006C699B">
              <w:rPr>
                <w:rFonts w:asciiTheme="minorHAnsi" w:eastAsiaTheme="minorEastAsia" w:hAnsiTheme="minorHAnsi" w:cstheme="minorBidi"/>
                <w:noProof/>
                <w:sz w:val="22"/>
                <w:szCs w:val="22"/>
                <w:lang w:eastAsia="en-AU"/>
              </w:rPr>
              <w:tab/>
            </w:r>
            <w:r w:rsidR="006C699B" w:rsidRPr="00240A51">
              <w:rPr>
                <w:rStyle w:val="Hyperlink"/>
                <w:rFonts w:ascii="Arial" w:hAnsi="Arial" w:cs="Arial"/>
                <w:noProof/>
              </w:rPr>
              <w:t>Taxation and related costs and benefits</w:t>
            </w:r>
            <w:r w:rsidR="006C699B">
              <w:rPr>
                <w:noProof/>
                <w:webHidden/>
              </w:rPr>
              <w:tab/>
            </w:r>
            <w:r w:rsidR="006C699B" w:rsidRPr="006F3A38">
              <w:rPr>
                <w:rFonts w:ascii="Arial" w:hAnsi="Arial" w:cs="Arial"/>
                <w:noProof/>
                <w:webHidden/>
              </w:rPr>
              <w:fldChar w:fldCharType="begin"/>
            </w:r>
            <w:r w:rsidR="006C699B" w:rsidRPr="006F3A38">
              <w:rPr>
                <w:rFonts w:ascii="Arial" w:hAnsi="Arial" w:cs="Arial"/>
                <w:noProof/>
                <w:webHidden/>
              </w:rPr>
              <w:instrText xml:space="preserve"> PAGEREF _Toc410224088 \h </w:instrText>
            </w:r>
            <w:r w:rsidR="006C699B" w:rsidRPr="006F3A38">
              <w:rPr>
                <w:rFonts w:ascii="Arial" w:hAnsi="Arial" w:cs="Arial"/>
                <w:noProof/>
                <w:webHidden/>
              </w:rPr>
            </w:r>
            <w:r w:rsidR="006C699B" w:rsidRPr="006F3A38">
              <w:rPr>
                <w:rFonts w:ascii="Arial" w:hAnsi="Arial" w:cs="Arial"/>
                <w:noProof/>
                <w:webHidden/>
              </w:rPr>
              <w:fldChar w:fldCharType="separate"/>
            </w:r>
            <w:r>
              <w:rPr>
                <w:rFonts w:ascii="Arial" w:hAnsi="Arial" w:cs="Arial"/>
                <w:noProof/>
                <w:webHidden/>
              </w:rPr>
              <w:t>23</w:t>
            </w:r>
            <w:r w:rsidR="006C699B" w:rsidRPr="006F3A38">
              <w:rPr>
                <w:rFonts w:ascii="Arial" w:hAnsi="Arial" w:cs="Arial"/>
                <w:noProof/>
                <w:webHidden/>
              </w:rPr>
              <w:fldChar w:fldCharType="end"/>
            </w:r>
          </w:hyperlink>
        </w:p>
        <w:p w:rsidR="006C699B" w:rsidRDefault="006709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10224089" w:history="1">
            <w:r w:rsidR="006C699B" w:rsidRPr="00240A51">
              <w:rPr>
                <w:rStyle w:val="Hyperlink"/>
                <w:rFonts w:ascii="Arial" w:hAnsi="Arial" w:cs="Arial"/>
                <w:noProof/>
              </w:rPr>
              <w:t>2.6.3</w:t>
            </w:r>
            <w:r w:rsidR="006C699B">
              <w:rPr>
                <w:rFonts w:asciiTheme="minorHAnsi" w:eastAsiaTheme="minorEastAsia" w:hAnsiTheme="minorHAnsi" w:cstheme="minorBidi"/>
                <w:noProof/>
                <w:sz w:val="22"/>
                <w:szCs w:val="22"/>
                <w:lang w:eastAsia="en-AU"/>
              </w:rPr>
              <w:tab/>
            </w:r>
            <w:r w:rsidR="006C699B" w:rsidRPr="00240A51">
              <w:rPr>
                <w:rStyle w:val="Hyperlink"/>
                <w:rFonts w:ascii="Arial" w:hAnsi="Arial" w:cs="Arial"/>
                <w:noProof/>
              </w:rPr>
              <w:t>Cash flow analysis</w:t>
            </w:r>
            <w:r w:rsidR="006C699B">
              <w:rPr>
                <w:noProof/>
                <w:webHidden/>
              </w:rPr>
              <w:tab/>
            </w:r>
            <w:r w:rsidR="006C699B" w:rsidRPr="006F3A38">
              <w:rPr>
                <w:rFonts w:ascii="Arial" w:hAnsi="Arial" w:cs="Arial"/>
                <w:noProof/>
                <w:webHidden/>
              </w:rPr>
              <w:fldChar w:fldCharType="begin"/>
            </w:r>
            <w:r w:rsidR="006C699B" w:rsidRPr="006F3A38">
              <w:rPr>
                <w:rFonts w:ascii="Arial" w:hAnsi="Arial" w:cs="Arial"/>
                <w:noProof/>
                <w:webHidden/>
              </w:rPr>
              <w:instrText xml:space="preserve"> PAGEREF _Toc410224089 \h </w:instrText>
            </w:r>
            <w:r w:rsidR="006C699B" w:rsidRPr="006F3A38">
              <w:rPr>
                <w:rFonts w:ascii="Arial" w:hAnsi="Arial" w:cs="Arial"/>
                <w:noProof/>
                <w:webHidden/>
              </w:rPr>
            </w:r>
            <w:r w:rsidR="006C699B" w:rsidRPr="006F3A38">
              <w:rPr>
                <w:rFonts w:ascii="Arial" w:hAnsi="Arial" w:cs="Arial"/>
                <w:noProof/>
                <w:webHidden/>
              </w:rPr>
              <w:fldChar w:fldCharType="separate"/>
            </w:r>
            <w:r>
              <w:rPr>
                <w:rFonts w:ascii="Arial" w:hAnsi="Arial" w:cs="Arial"/>
                <w:noProof/>
                <w:webHidden/>
              </w:rPr>
              <w:t>23</w:t>
            </w:r>
            <w:r w:rsidR="006C699B" w:rsidRPr="006F3A38">
              <w:rPr>
                <w:rFonts w:ascii="Arial" w:hAnsi="Arial" w:cs="Arial"/>
                <w:noProof/>
                <w:webHidden/>
              </w:rPr>
              <w:fldChar w:fldCharType="end"/>
            </w:r>
          </w:hyperlink>
        </w:p>
        <w:p w:rsidR="006C699B" w:rsidRDefault="006709B5">
          <w:pPr>
            <w:pStyle w:val="TOC2"/>
            <w:rPr>
              <w:rFonts w:asciiTheme="minorHAnsi" w:eastAsiaTheme="minorEastAsia" w:hAnsiTheme="minorHAnsi" w:cstheme="minorBidi"/>
              <w:sz w:val="22"/>
              <w:szCs w:val="22"/>
              <w:lang w:eastAsia="en-AU"/>
            </w:rPr>
          </w:pPr>
          <w:hyperlink w:anchor="_Toc410224090" w:history="1">
            <w:r w:rsidR="006C699B" w:rsidRPr="00240A51">
              <w:rPr>
                <w:rStyle w:val="Hyperlink"/>
              </w:rPr>
              <w:t>2.7</w:t>
            </w:r>
            <w:r w:rsidR="006C699B">
              <w:rPr>
                <w:rFonts w:asciiTheme="minorHAnsi" w:eastAsiaTheme="minorEastAsia" w:hAnsiTheme="minorHAnsi" w:cstheme="minorBidi"/>
                <w:sz w:val="22"/>
                <w:szCs w:val="22"/>
                <w:lang w:eastAsia="en-AU"/>
              </w:rPr>
              <w:tab/>
            </w:r>
            <w:r w:rsidR="006C699B" w:rsidRPr="00240A51">
              <w:rPr>
                <w:rStyle w:val="Hyperlink"/>
              </w:rPr>
              <w:t>Forecast revenues sheet</w:t>
            </w:r>
            <w:r w:rsidR="006C699B">
              <w:rPr>
                <w:webHidden/>
              </w:rPr>
              <w:tab/>
            </w:r>
            <w:r w:rsidR="006C699B">
              <w:rPr>
                <w:webHidden/>
              </w:rPr>
              <w:fldChar w:fldCharType="begin"/>
            </w:r>
            <w:r w:rsidR="006C699B">
              <w:rPr>
                <w:webHidden/>
              </w:rPr>
              <w:instrText xml:space="preserve"> PAGEREF _Toc410224090 \h </w:instrText>
            </w:r>
            <w:r w:rsidR="006C699B">
              <w:rPr>
                <w:webHidden/>
              </w:rPr>
            </w:r>
            <w:r w:rsidR="006C699B">
              <w:rPr>
                <w:webHidden/>
              </w:rPr>
              <w:fldChar w:fldCharType="separate"/>
            </w:r>
            <w:r>
              <w:rPr>
                <w:webHidden/>
              </w:rPr>
              <w:t>25</w:t>
            </w:r>
            <w:r w:rsidR="006C699B">
              <w:rPr>
                <w:webHidden/>
              </w:rPr>
              <w:fldChar w:fldCharType="end"/>
            </w:r>
          </w:hyperlink>
        </w:p>
        <w:p w:rsidR="006C699B" w:rsidRDefault="006709B5">
          <w:pPr>
            <w:pStyle w:val="TOC2"/>
            <w:rPr>
              <w:rFonts w:asciiTheme="minorHAnsi" w:eastAsiaTheme="minorEastAsia" w:hAnsiTheme="minorHAnsi" w:cstheme="minorBidi"/>
              <w:sz w:val="22"/>
              <w:szCs w:val="22"/>
              <w:lang w:eastAsia="en-AU"/>
            </w:rPr>
          </w:pPr>
          <w:hyperlink w:anchor="_Toc410224091" w:history="1">
            <w:r w:rsidR="006C699B" w:rsidRPr="00240A51">
              <w:rPr>
                <w:rStyle w:val="Hyperlink"/>
              </w:rPr>
              <w:t>2.8</w:t>
            </w:r>
            <w:r w:rsidR="006C699B">
              <w:rPr>
                <w:rFonts w:asciiTheme="minorHAnsi" w:eastAsiaTheme="minorEastAsia" w:hAnsiTheme="minorHAnsi" w:cstheme="minorBidi"/>
                <w:sz w:val="22"/>
                <w:szCs w:val="22"/>
                <w:lang w:eastAsia="en-AU"/>
              </w:rPr>
              <w:tab/>
            </w:r>
            <w:r w:rsidR="006C699B" w:rsidRPr="00240A51">
              <w:rPr>
                <w:rStyle w:val="Hyperlink"/>
              </w:rPr>
              <w:t>X factors sheet</w:t>
            </w:r>
            <w:r w:rsidR="006C699B">
              <w:rPr>
                <w:webHidden/>
              </w:rPr>
              <w:tab/>
            </w:r>
            <w:r w:rsidR="006C699B">
              <w:rPr>
                <w:webHidden/>
              </w:rPr>
              <w:fldChar w:fldCharType="begin"/>
            </w:r>
            <w:r w:rsidR="006C699B">
              <w:rPr>
                <w:webHidden/>
              </w:rPr>
              <w:instrText xml:space="preserve"> PAGEREF _Toc410224091 \h </w:instrText>
            </w:r>
            <w:r w:rsidR="006C699B">
              <w:rPr>
                <w:webHidden/>
              </w:rPr>
            </w:r>
            <w:r w:rsidR="006C699B">
              <w:rPr>
                <w:webHidden/>
              </w:rPr>
              <w:fldChar w:fldCharType="separate"/>
            </w:r>
            <w:r>
              <w:rPr>
                <w:webHidden/>
              </w:rPr>
              <w:t>27</w:t>
            </w:r>
            <w:r w:rsidR="006C699B">
              <w:rPr>
                <w:webHidden/>
              </w:rPr>
              <w:fldChar w:fldCharType="end"/>
            </w:r>
          </w:hyperlink>
        </w:p>
        <w:p w:rsidR="006C699B" w:rsidRDefault="006709B5">
          <w:pPr>
            <w:pStyle w:val="TOC2"/>
            <w:rPr>
              <w:rFonts w:asciiTheme="minorHAnsi" w:eastAsiaTheme="minorEastAsia" w:hAnsiTheme="minorHAnsi" w:cstheme="minorBidi"/>
              <w:sz w:val="22"/>
              <w:szCs w:val="22"/>
              <w:lang w:eastAsia="en-AU"/>
            </w:rPr>
          </w:pPr>
          <w:hyperlink w:anchor="_Toc410224092" w:history="1">
            <w:r w:rsidR="006C699B" w:rsidRPr="00240A51">
              <w:rPr>
                <w:rStyle w:val="Hyperlink"/>
              </w:rPr>
              <w:t>2.9</w:t>
            </w:r>
            <w:r w:rsidR="006C699B">
              <w:rPr>
                <w:rFonts w:asciiTheme="minorHAnsi" w:eastAsiaTheme="minorEastAsia" w:hAnsiTheme="minorHAnsi" w:cstheme="minorBidi"/>
                <w:sz w:val="22"/>
                <w:szCs w:val="22"/>
                <w:lang w:eastAsia="en-AU"/>
              </w:rPr>
              <w:tab/>
            </w:r>
            <w:r w:rsidR="006C699B" w:rsidRPr="00240A51">
              <w:rPr>
                <w:rStyle w:val="Hyperlink"/>
              </w:rPr>
              <w:t>Revenue summary sheet</w:t>
            </w:r>
            <w:r w:rsidR="006C699B">
              <w:rPr>
                <w:webHidden/>
              </w:rPr>
              <w:tab/>
            </w:r>
            <w:r w:rsidR="006C699B">
              <w:rPr>
                <w:webHidden/>
              </w:rPr>
              <w:fldChar w:fldCharType="begin"/>
            </w:r>
            <w:r w:rsidR="006C699B">
              <w:rPr>
                <w:webHidden/>
              </w:rPr>
              <w:instrText xml:space="preserve"> PAGEREF _Toc410224092 \h </w:instrText>
            </w:r>
            <w:r w:rsidR="006C699B">
              <w:rPr>
                <w:webHidden/>
              </w:rPr>
            </w:r>
            <w:r w:rsidR="006C699B">
              <w:rPr>
                <w:webHidden/>
              </w:rPr>
              <w:fldChar w:fldCharType="separate"/>
            </w:r>
            <w:r>
              <w:rPr>
                <w:webHidden/>
              </w:rPr>
              <w:t>31</w:t>
            </w:r>
            <w:r w:rsidR="006C699B">
              <w:rPr>
                <w:webHidden/>
              </w:rPr>
              <w:fldChar w:fldCharType="end"/>
            </w:r>
          </w:hyperlink>
        </w:p>
        <w:p w:rsidR="006C699B" w:rsidRDefault="006709B5">
          <w:pPr>
            <w:pStyle w:val="TOC2"/>
            <w:rPr>
              <w:rFonts w:asciiTheme="minorHAnsi" w:eastAsiaTheme="minorEastAsia" w:hAnsiTheme="minorHAnsi" w:cstheme="minorBidi"/>
              <w:sz w:val="22"/>
              <w:szCs w:val="22"/>
              <w:lang w:eastAsia="en-AU"/>
            </w:rPr>
          </w:pPr>
          <w:hyperlink w:anchor="_Toc410224093" w:history="1">
            <w:r w:rsidR="006C699B" w:rsidRPr="00240A51">
              <w:rPr>
                <w:rStyle w:val="Hyperlink"/>
              </w:rPr>
              <w:t>2.10</w:t>
            </w:r>
            <w:r w:rsidR="006C699B">
              <w:rPr>
                <w:rFonts w:asciiTheme="minorHAnsi" w:eastAsiaTheme="minorEastAsia" w:hAnsiTheme="minorHAnsi" w:cstheme="minorBidi"/>
                <w:sz w:val="22"/>
                <w:szCs w:val="22"/>
                <w:lang w:eastAsia="en-AU"/>
              </w:rPr>
              <w:tab/>
            </w:r>
            <w:r w:rsidR="006C699B" w:rsidRPr="000C23D1">
              <w:rPr>
                <w:rStyle w:val="Hyperlink"/>
              </w:rPr>
              <w:t>Equity raising costs sheet</w:t>
            </w:r>
            <w:r w:rsidR="006C699B">
              <w:rPr>
                <w:webHidden/>
              </w:rPr>
              <w:tab/>
            </w:r>
            <w:r w:rsidR="006C699B">
              <w:rPr>
                <w:webHidden/>
              </w:rPr>
              <w:fldChar w:fldCharType="begin"/>
            </w:r>
            <w:r w:rsidR="006C699B">
              <w:rPr>
                <w:webHidden/>
              </w:rPr>
              <w:instrText xml:space="preserve"> PAGEREF _Toc410224093 \h </w:instrText>
            </w:r>
            <w:r w:rsidR="006C699B">
              <w:rPr>
                <w:webHidden/>
              </w:rPr>
            </w:r>
            <w:r w:rsidR="006C699B">
              <w:rPr>
                <w:webHidden/>
              </w:rPr>
              <w:fldChar w:fldCharType="separate"/>
            </w:r>
            <w:r>
              <w:rPr>
                <w:webHidden/>
              </w:rPr>
              <w:t>33</w:t>
            </w:r>
            <w:r w:rsidR="006C699B">
              <w:rPr>
                <w:webHidden/>
              </w:rPr>
              <w:fldChar w:fldCharType="end"/>
            </w:r>
          </w:hyperlink>
        </w:p>
        <w:p w:rsidR="006C699B" w:rsidRDefault="006709B5">
          <w:pPr>
            <w:pStyle w:val="TOC2"/>
            <w:rPr>
              <w:rFonts w:asciiTheme="minorHAnsi" w:eastAsiaTheme="minorEastAsia" w:hAnsiTheme="minorHAnsi" w:cstheme="minorBidi"/>
              <w:sz w:val="22"/>
              <w:szCs w:val="22"/>
              <w:lang w:eastAsia="en-AU"/>
            </w:rPr>
          </w:pPr>
          <w:hyperlink w:anchor="_Toc410224094" w:history="1">
            <w:r w:rsidR="006C699B" w:rsidRPr="00240A51">
              <w:rPr>
                <w:rStyle w:val="Hyperlink"/>
              </w:rPr>
              <w:t>2.11</w:t>
            </w:r>
            <w:r w:rsidR="006C699B">
              <w:rPr>
                <w:rFonts w:asciiTheme="minorHAnsi" w:eastAsiaTheme="minorEastAsia" w:hAnsiTheme="minorHAnsi" w:cstheme="minorBidi"/>
                <w:sz w:val="22"/>
                <w:szCs w:val="22"/>
                <w:lang w:eastAsia="en-AU"/>
              </w:rPr>
              <w:tab/>
            </w:r>
            <w:r w:rsidR="006C699B" w:rsidRPr="00240A51">
              <w:rPr>
                <w:rStyle w:val="Hyperlink"/>
              </w:rPr>
              <w:t>Chart 1—Revenue sheet</w:t>
            </w:r>
            <w:r w:rsidR="006C699B">
              <w:rPr>
                <w:webHidden/>
              </w:rPr>
              <w:tab/>
            </w:r>
            <w:r w:rsidR="006C699B">
              <w:rPr>
                <w:webHidden/>
              </w:rPr>
              <w:fldChar w:fldCharType="begin"/>
            </w:r>
            <w:r w:rsidR="006C699B">
              <w:rPr>
                <w:webHidden/>
              </w:rPr>
              <w:instrText xml:space="preserve"> PAGEREF _Toc410224094 \h </w:instrText>
            </w:r>
            <w:r w:rsidR="006C699B">
              <w:rPr>
                <w:webHidden/>
              </w:rPr>
            </w:r>
            <w:r w:rsidR="006C699B">
              <w:rPr>
                <w:webHidden/>
              </w:rPr>
              <w:fldChar w:fldCharType="separate"/>
            </w:r>
            <w:r>
              <w:rPr>
                <w:webHidden/>
              </w:rPr>
              <w:t>35</w:t>
            </w:r>
            <w:r w:rsidR="006C699B">
              <w:rPr>
                <w:webHidden/>
              </w:rPr>
              <w:fldChar w:fldCharType="end"/>
            </w:r>
          </w:hyperlink>
        </w:p>
        <w:p w:rsidR="006C699B" w:rsidRDefault="006709B5">
          <w:pPr>
            <w:pStyle w:val="TOC2"/>
            <w:rPr>
              <w:rFonts w:asciiTheme="minorHAnsi" w:eastAsiaTheme="minorEastAsia" w:hAnsiTheme="minorHAnsi" w:cstheme="minorBidi"/>
              <w:sz w:val="22"/>
              <w:szCs w:val="22"/>
              <w:lang w:eastAsia="en-AU"/>
            </w:rPr>
          </w:pPr>
          <w:hyperlink w:anchor="_Toc410224095" w:history="1">
            <w:r w:rsidR="006C699B" w:rsidRPr="00240A51">
              <w:rPr>
                <w:rStyle w:val="Hyperlink"/>
              </w:rPr>
              <w:t>2.12</w:t>
            </w:r>
            <w:r w:rsidR="006C699B">
              <w:rPr>
                <w:rFonts w:asciiTheme="minorHAnsi" w:eastAsiaTheme="minorEastAsia" w:hAnsiTheme="minorHAnsi" w:cstheme="minorBidi"/>
                <w:sz w:val="22"/>
                <w:szCs w:val="22"/>
                <w:lang w:eastAsia="en-AU"/>
              </w:rPr>
              <w:tab/>
            </w:r>
            <w:r w:rsidR="006C699B" w:rsidRPr="00240A51">
              <w:rPr>
                <w:rStyle w:val="Hyperlink"/>
              </w:rPr>
              <w:t>Chart 2—Price path sheet</w:t>
            </w:r>
            <w:r w:rsidR="006C699B">
              <w:rPr>
                <w:webHidden/>
              </w:rPr>
              <w:tab/>
            </w:r>
            <w:r w:rsidR="006C699B">
              <w:rPr>
                <w:webHidden/>
              </w:rPr>
              <w:fldChar w:fldCharType="begin"/>
            </w:r>
            <w:r w:rsidR="006C699B">
              <w:rPr>
                <w:webHidden/>
              </w:rPr>
              <w:instrText xml:space="preserve"> PAGEREF _Toc410224095 \h </w:instrText>
            </w:r>
            <w:r w:rsidR="006C699B">
              <w:rPr>
                <w:webHidden/>
              </w:rPr>
            </w:r>
            <w:r w:rsidR="006C699B">
              <w:rPr>
                <w:webHidden/>
              </w:rPr>
              <w:fldChar w:fldCharType="separate"/>
            </w:r>
            <w:r>
              <w:rPr>
                <w:webHidden/>
              </w:rPr>
              <w:t>36</w:t>
            </w:r>
            <w:r w:rsidR="006C699B">
              <w:rPr>
                <w:webHidden/>
              </w:rPr>
              <w:fldChar w:fldCharType="end"/>
            </w:r>
          </w:hyperlink>
        </w:p>
        <w:p w:rsidR="006C699B" w:rsidRDefault="006709B5">
          <w:pPr>
            <w:pStyle w:val="TOC2"/>
            <w:rPr>
              <w:rFonts w:asciiTheme="minorHAnsi" w:eastAsiaTheme="minorEastAsia" w:hAnsiTheme="minorHAnsi" w:cstheme="minorBidi"/>
              <w:sz w:val="22"/>
              <w:szCs w:val="22"/>
              <w:lang w:eastAsia="en-AU"/>
            </w:rPr>
          </w:pPr>
          <w:hyperlink w:anchor="_Toc410224096" w:history="1">
            <w:r w:rsidR="006C699B" w:rsidRPr="00240A51">
              <w:rPr>
                <w:rStyle w:val="Hyperlink"/>
              </w:rPr>
              <w:t>2.13</w:t>
            </w:r>
            <w:r w:rsidR="006C699B">
              <w:rPr>
                <w:rFonts w:asciiTheme="minorHAnsi" w:eastAsiaTheme="minorEastAsia" w:hAnsiTheme="minorHAnsi" w:cstheme="minorBidi"/>
                <w:sz w:val="22"/>
                <w:szCs w:val="22"/>
                <w:lang w:eastAsia="en-AU"/>
              </w:rPr>
              <w:tab/>
            </w:r>
            <w:r w:rsidR="006C699B" w:rsidRPr="00240A51">
              <w:rPr>
                <w:rStyle w:val="Hyperlink"/>
              </w:rPr>
              <w:t>Chart 3—Building blocks sheet</w:t>
            </w:r>
            <w:r w:rsidR="006C699B">
              <w:rPr>
                <w:webHidden/>
              </w:rPr>
              <w:tab/>
            </w:r>
            <w:r w:rsidR="006C699B">
              <w:rPr>
                <w:webHidden/>
              </w:rPr>
              <w:fldChar w:fldCharType="begin"/>
            </w:r>
            <w:r w:rsidR="006C699B">
              <w:rPr>
                <w:webHidden/>
              </w:rPr>
              <w:instrText xml:space="preserve"> PAGEREF _Toc410224096 \h </w:instrText>
            </w:r>
            <w:r w:rsidR="006C699B">
              <w:rPr>
                <w:webHidden/>
              </w:rPr>
            </w:r>
            <w:r w:rsidR="006C699B">
              <w:rPr>
                <w:webHidden/>
              </w:rPr>
              <w:fldChar w:fldCharType="separate"/>
            </w:r>
            <w:r>
              <w:rPr>
                <w:webHidden/>
              </w:rPr>
              <w:t>37</w:t>
            </w:r>
            <w:r w:rsidR="006C699B">
              <w:rPr>
                <w:webHidden/>
              </w:rPr>
              <w:fldChar w:fldCharType="end"/>
            </w:r>
          </w:hyperlink>
        </w:p>
        <w:p w:rsidR="006C699B" w:rsidRDefault="006709B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10224097" w:history="1">
            <w:r w:rsidR="006C699B" w:rsidRPr="00240A51">
              <w:rPr>
                <w:rStyle w:val="Hyperlink"/>
                <w:rFonts w:ascii="Arial" w:hAnsi="Arial" w:cs="Arial"/>
                <w:noProof/>
              </w:rPr>
              <w:t>3</w:t>
            </w:r>
            <w:r w:rsidR="006C699B">
              <w:rPr>
                <w:rFonts w:asciiTheme="minorHAnsi" w:eastAsiaTheme="minorEastAsia" w:hAnsiTheme="minorHAnsi" w:cstheme="minorBidi"/>
                <w:b w:val="0"/>
                <w:bCs w:val="0"/>
                <w:noProof/>
                <w:sz w:val="22"/>
                <w:szCs w:val="22"/>
                <w:lang w:eastAsia="en-AU"/>
              </w:rPr>
              <w:tab/>
            </w:r>
            <w:r w:rsidR="006C699B" w:rsidRPr="00240A51">
              <w:rPr>
                <w:rStyle w:val="Hyperlink"/>
                <w:rFonts w:ascii="Arial" w:hAnsi="Arial" w:cs="Arial"/>
                <w:noProof/>
              </w:rPr>
              <w:t>Process for annual return on debt update</w:t>
            </w:r>
            <w:r w:rsidR="006C699B">
              <w:rPr>
                <w:noProof/>
                <w:webHidden/>
              </w:rPr>
              <w:tab/>
            </w:r>
            <w:r w:rsidR="006C699B" w:rsidRPr="006F3A38">
              <w:rPr>
                <w:rFonts w:ascii="Arial" w:hAnsi="Arial" w:cs="Arial"/>
                <w:noProof/>
                <w:webHidden/>
              </w:rPr>
              <w:fldChar w:fldCharType="begin"/>
            </w:r>
            <w:r w:rsidR="006C699B" w:rsidRPr="006F3A38">
              <w:rPr>
                <w:rFonts w:ascii="Arial" w:hAnsi="Arial" w:cs="Arial"/>
                <w:noProof/>
                <w:webHidden/>
              </w:rPr>
              <w:instrText xml:space="preserve"> PAGEREF _Toc410224097 \h </w:instrText>
            </w:r>
            <w:r w:rsidR="006C699B" w:rsidRPr="006F3A38">
              <w:rPr>
                <w:rFonts w:ascii="Arial" w:hAnsi="Arial" w:cs="Arial"/>
                <w:noProof/>
                <w:webHidden/>
              </w:rPr>
            </w:r>
            <w:r w:rsidR="006C699B" w:rsidRPr="006F3A38">
              <w:rPr>
                <w:rFonts w:ascii="Arial" w:hAnsi="Arial" w:cs="Arial"/>
                <w:noProof/>
                <w:webHidden/>
              </w:rPr>
              <w:fldChar w:fldCharType="separate"/>
            </w:r>
            <w:r>
              <w:rPr>
                <w:rFonts w:ascii="Arial" w:hAnsi="Arial" w:cs="Arial"/>
                <w:noProof/>
                <w:webHidden/>
              </w:rPr>
              <w:t>39</w:t>
            </w:r>
            <w:r w:rsidR="006C699B" w:rsidRPr="006F3A38">
              <w:rPr>
                <w:rFonts w:ascii="Arial" w:hAnsi="Arial" w:cs="Arial"/>
                <w:noProof/>
                <w:webHidden/>
              </w:rPr>
              <w:fldChar w:fldCharType="end"/>
            </w:r>
          </w:hyperlink>
        </w:p>
        <w:p w:rsidR="006C699B" w:rsidRDefault="006709B5">
          <w:pPr>
            <w:pStyle w:val="TOC2"/>
            <w:rPr>
              <w:rFonts w:asciiTheme="minorHAnsi" w:eastAsiaTheme="minorEastAsia" w:hAnsiTheme="minorHAnsi" w:cstheme="minorBidi"/>
              <w:sz w:val="22"/>
              <w:szCs w:val="22"/>
              <w:lang w:eastAsia="en-AU"/>
            </w:rPr>
          </w:pPr>
          <w:hyperlink w:anchor="_Toc410224098" w:history="1">
            <w:r w:rsidR="006C699B" w:rsidRPr="00240A51">
              <w:rPr>
                <w:rStyle w:val="Hyperlink"/>
              </w:rPr>
              <w:t>3.1</w:t>
            </w:r>
            <w:r w:rsidR="006C699B">
              <w:rPr>
                <w:rFonts w:asciiTheme="minorHAnsi" w:eastAsiaTheme="minorEastAsia" w:hAnsiTheme="minorHAnsi" w:cstheme="minorBidi"/>
                <w:sz w:val="22"/>
                <w:szCs w:val="22"/>
                <w:lang w:eastAsia="en-AU"/>
              </w:rPr>
              <w:tab/>
            </w:r>
            <w:r w:rsidR="006C699B" w:rsidRPr="00240A51">
              <w:rPr>
                <w:rStyle w:val="Hyperlink"/>
              </w:rPr>
              <w:t>Setting X factors for the final decision before the start of the regulatory control period</w:t>
            </w:r>
            <w:r w:rsidR="006C699B">
              <w:rPr>
                <w:webHidden/>
              </w:rPr>
              <w:tab/>
            </w:r>
            <w:r w:rsidR="006C699B">
              <w:rPr>
                <w:webHidden/>
              </w:rPr>
              <w:fldChar w:fldCharType="begin"/>
            </w:r>
            <w:r w:rsidR="006C699B">
              <w:rPr>
                <w:webHidden/>
              </w:rPr>
              <w:instrText xml:space="preserve"> PAGEREF _Toc410224098 \h </w:instrText>
            </w:r>
            <w:r w:rsidR="006C699B">
              <w:rPr>
                <w:webHidden/>
              </w:rPr>
            </w:r>
            <w:r w:rsidR="006C699B">
              <w:rPr>
                <w:webHidden/>
              </w:rPr>
              <w:fldChar w:fldCharType="separate"/>
            </w:r>
            <w:r>
              <w:rPr>
                <w:webHidden/>
              </w:rPr>
              <w:t>39</w:t>
            </w:r>
            <w:r w:rsidR="006C699B">
              <w:rPr>
                <w:webHidden/>
              </w:rPr>
              <w:fldChar w:fldCharType="end"/>
            </w:r>
          </w:hyperlink>
        </w:p>
        <w:p w:rsidR="006C699B" w:rsidRDefault="006709B5">
          <w:pPr>
            <w:pStyle w:val="TOC2"/>
            <w:rPr>
              <w:rFonts w:asciiTheme="minorHAnsi" w:eastAsiaTheme="minorEastAsia" w:hAnsiTheme="minorHAnsi" w:cstheme="minorBidi"/>
              <w:sz w:val="22"/>
              <w:szCs w:val="22"/>
              <w:lang w:eastAsia="en-AU"/>
            </w:rPr>
          </w:pPr>
          <w:hyperlink w:anchor="_Toc410224099" w:history="1">
            <w:r w:rsidR="006C699B" w:rsidRPr="00240A51">
              <w:rPr>
                <w:rStyle w:val="Hyperlink"/>
              </w:rPr>
              <w:t>3.2</w:t>
            </w:r>
            <w:r w:rsidR="006C699B">
              <w:rPr>
                <w:rFonts w:asciiTheme="minorHAnsi" w:eastAsiaTheme="minorEastAsia" w:hAnsiTheme="minorHAnsi" w:cstheme="minorBidi"/>
                <w:sz w:val="22"/>
                <w:szCs w:val="22"/>
                <w:lang w:eastAsia="en-AU"/>
              </w:rPr>
              <w:tab/>
            </w:r>
            <w:r w:rsidR="006C699B" w:rsidRPr="00240A51">
              <w:rPr>
                <w:rStyle w:val="Hyperlink"/>
              </w:rPr>
              <w:t>Updating X factors to incorporate the annual update to the trailing average portfolio return</w:t>
            </w:r>
            <w:r w:rsidR="00B46871">
              <w:rPr>
                <w:rStyle w:val="Hyperlink"/>
              </w:rPr>
              <w:t xml:space="preserve"> ....</w:t>
            </w:r>
            <w:r w:rsidR="006C699B" w:rsidRPr="00240A51">
              <w:rPr>
                <w:rStyle w:val="Hyperlink"/>
              </w:rPr>
              <w:t xml:space="preserve"> </w:t>
            </w:r>
            <w:r w:rsidR="00B46871">
              <w:rPr>
                <w:rStyle w:val="Hyperlink"/>
              </w:rPr>
              <w:br/>
            </w:r>
            <w:r w:rsidR="00B46871">
              <w:rPr>
                <w:rStyle w:val="Hyperlink"/>
              </w:rPr>
              <w:tab/>
            </w:r>
            <w:r w:rsidR="006C699B" w:rsidRPr="00240A51">
              <w:rPr>
                <w:rStyle w:val="Hyperlink"/>
              </w:rPr>
              <w:t>on debt</w:t>
            </w:r>
            <w:r w:rsidR="00B46871">
              <w:rPr>
                <w:rStyle w:val="Hyperlink"/>
              </w:rPr>
              <w:t>..</w:t>
            </w:r>
            <w:r w:rsidR="006F3A38">
              <w:rPr>
                <w:webHidden/>
              </w:rPr>
              <w:t>………………………………………………………………………………………………</w:t>
            </w:r>
            <w:r w:rsidR="006C699B">
              <w:rPr>
                <w:webHidden/>
              </w:rPr>
              <w:fldChar w:fldCharType="begin"/>
            </w:r>
            <w:r w:rsidR="006C699B">
              <w:rPr>
                <w:webHidden/>
              </w:rPr>
              <w:instrText xml:space="preserve"> PAGEREF _Toc410224099 \h </w:instrText>
            </w:r>
            <w:r w:rsidR="006C699B">
              <w:rPr>
                <w:webHidden/>
              </w:rPr>
            </w:r>
            <w:r w:rsidR="006C699B">
              <w:rPr>
                <w:webHidden/>
              </w:rPr>
              <w:fldChar w:fldCharType="separate"/>
            </w:r>
            <w:r>
              <w:rPr>
                <w:webHidden/>
              </w:rPr>
              <w:t>40</w:t>
            </w:r>
            <w:r w:rsidR="006C699B">
              <w:rPr>
                <w:webHidden/>
              </w:rPr>
              <w:fldChar w:fldCharType="end"/>
            </w:r>
          </w:hyperlink>
        </w:p>
        <w:p w:rsidR="003B42F1" w:rsidRDefault="00657133">
          <w:pPr>
            <w:rPr>
              <w:rFonts w:ascii="Arial" w:hAnsi="Arial" w:cs="Arial"/>
            </w:rPr>
          </w:pPr>
          <w:r w:rsidRPr="00B62C96">
            <w:rPr>
              <w:rFonts w:ascii="Arial" w:hAnsi="Arial" w:cs="Arial"/>
            </w:rPr>
            <w:fldChar w:fldCharType="end"/>
          </w:r>
        </w:p>
      </w:sdtContent>
    </w:sdt>
    <w:p w:rsidR="003B42F1" w:rsidRPr="003B42F1" w:rsidRDefault="003B42F1" w:rsidP="003B42F1">
      <w:pPr>
        <w:rPr>
          <w:rFonts w:ascii="Arial" w:hAnsi="Arial" w:cs="Arial"/>
        </w:rPr>
      </w:pPr>
    </w:p>
    <w:p w:rsidR="003B42F1" w:rsidRPr="003B42F1" w:rsidRDefault="003B42F1" w:rsidP="003B42F1">
      <w:pPr>
        <w:rPr>
          <w:rFonts w:ascii="Arial" w:hAnsi="Arial" w:cs="Arial"/>
        </w:rPr>
      </w:pPr>
    </w:p>
    <w:p w:rsidR="003B42F1" w:rsidRPr="003B42F1" w:rsidRDefault="003B42F1" w:rsidP="003B42F1">
      <w:pPr>
        <w:rPr>
          <w:rFonts w:ascii="Arial" w:hAnsi="Arial" w:cs="Arial"/>
        </w:rPr>
      </w:pPr>
    </w:p>
    <w:p w:rsidR="003B42F1" w:rsidRPr="003B42F1" w:rsidRDefault="003B42F1" w:rsidP="003B42F1">
      <w:pPr>
        <w:rPr>
          <w:rFonts w:ascii="Arial" w:hAnsi="Arial" w:cs="Arial"/>
        </w:rPr>
      </w:pPr>
    </w:p>
    <w:p w:rsidR="003B42F1" w:rsidRPr="003B42F1" w:rsidRDefault="003B42F1" w:rsidP="003B42F1">
      <w:pPr>
        <w:rPr>
          <w:rFonts w:ascii="Arial" w:hAnsi="Arial" w:cs="Arial"/>
        </w:rPr>
      </w:pPr>
    </w:p>
    <w:p w:rsidR="003B42F1" w:rsidRPr="003B42F1" w:rsidRDefault="003B42F1" w:rsidP="003B42F1">
      <w:pPr>
        <w:rPr>
          <w:rFonts w:ascii="Arial" w:hAnsi="Arial" w:cs="Arial"/>
        </w:rPr>
      </w:pPr>
    </w:p>
    <w:p w:rsidR="003B42F1" w:rsidRDefault="003B42F1" w:rsidP="003B42F1">
      <w:pPr>
        <w:rPr>
          <w:rFonts w:ascii="Arial" w:hAnsi="Arial" w:cs="Arial"/>
        </w:rPr>
      </w:pPr>
    </w:p>
    <w:p w:rsidR="000C23D1" w:rsidRDefault="003B42F1" w:rsidP="003B42F1">
      <w:pPr>
        <w:tabs>
          <w:tab w:val="left" w:pos="1365"/>
        </w:tabs>
        <w:rPr>
          <w:rFonts w:ascii="Arial" w:hAnsi="Arial" w:cs="Arial"/>
        </w:rPr>
      </w:pPr>
      <w:r>
        <w:rPr>
          <w:rFonts w:ascii="Arial" w:hAnsi="Arial" w:cs="Arial"/>
        </w:rPr>
        <w:tab/>
      </w:r>
    </w:p>
    <w:p w:rsidR="000C23D1" w:rsidRPr="000C23D1" w:rsidRDefault="000C23D1" w:rsidP="000C23D1">
      <w:pPr>
        <w:rPr>
          <w:rFonts w:ascii="Arial" w:hAnsi="Arial" w:cs="Arial"/>
        </w:rPr>
      </w:pPr>
    </w:p>
    <w:p w:rsidR="000C23D1" w:rsidRPr="000C23D1" w:rsidRDefault="000C23D1" w:rsidP="000C23D1">
      <w:pPr>
        <w:rPr>
          <w:rFonts w:ascii="Arial" w:hAnsi="Arial" w:cs="Arial"/>
        </w:rPr>
      </w:pPr>
    </w:p>
    <w:p w:rsidR="000C23D1" w:rsidRPr="000C23D1" w:rsidRDefault="000C23D1" w:rsidP="000C23D1">
      <w:pPr>
        <w:rPr>
          <w:rFonts w:ascii="Arial" w:hAnsi="Arial" w:cs="Arial"/>
        </w:rPr>
      </w:pPr>
    </w:p>
    <w:p w:rsidR="000C23D1" w:rsidRPr="000C23D1" w:rsidRDefault="000C23D1" w:rsidP="000C23D1">
      <w:pPr>
        <w:rPr>
          <w:rFonts w:ascii="Arial" w:hAnsi="Arial" w:cs="Arial"/>
        </w:rPr>
      </w:pPr>
    </w:p>
    <w:p w:rsidR="000C23D1" w:rsidRPr="000C23D1" w:rsidRDefault="000C23D1" w:rsidP="000C23D1">
      <w:pPr>
        <w:rPr>
          <w:rFonts w:ascii="Arial" w:hAnsi="Arial" w:cs="Arial"/>
        </w:rPr>
      </w:pPr>
    </w:p>
    <w:p w:rsidR="000C23D1" w:rsidRPr="000C23D1" w:rsidRDefault="000C23D1" w:rsidP="000C23D1">
      <w:pPr>
        <w:rPr>
          <w:rFonts w:ascii="Arial" w:hAnsi="Arial" w:cs="Arial"/>
        </w:rPr>
      </w:pPr>
    </w:p>
    <w:p w:rsidR="000C23D1" w:rsidRPr="000C23D1" w:rsidRDefault="000C23D1" w:rsidP="000C23D1">
      <w:pPr>
        <w:rPr>
          <w:rFonts w:ascii="Arial" w:hAnsi="Arial" w:cs="Arial"/>
        </w:rPr>
      </w:pPr>
    </w:p>
    <w:p w:rsidR="000C23D1" w:rsidRPr="000C23D1" w:rsidRDefault="000C23D1" w:rsidP="000C23D1">
      <w:pPr>
        <w:rPr>
          <w:rFonts w:ascii="Arial" w:hAnsi="Arial" w:cs="Arial"/>
        </w:rPr>
      </w:pPr>
    </w:p>
    <w:p w:rsidR="000C23D1" w:rsidRPr="000C23D1" w:rsidRDefault="000C23D1" w:rsidP="000C23D1">
      <w:pPr>
        <w:rPr>
          <w:rFonts w:ascii="Arial" w:hAnsi="Arial" w:cs="Arial"/>
        </w:rPr>
      </w:pPr>
    </w:p>
    <w:p w:rsidR="000C23D1" w:rsidRDefault="000C23D1" w:rsidP="000C23D1">
      <w:pPr>
        <w:rPr>
          <w:rFonts w:ascii="Arial" w:hAnsi="Arial" w:cs="Arial"/>
        </w:rPr>
      </w:pPr>
    </w:p>
    <w:p w:rsidR="00657133" w:rsidRPr="000C23D1" w:rsidRDefault="000C23D1" w:rsidP="000C23D1">
      <w:pPr>
        <w:tabs>
          <w:tab w:val="left" w:pos="2745"/>
        </w:tabs>
        <w:rPr>
          <w:rFonts w:ascii="Arial" w:hAnsi="Arial" w:cs="Arial"/>
        </w:rPr>
      </w:pPr>
      <w:r>
        <w:rPr>
          <w:rFonts w:ascii="Arial" w:hAnsi="Arial" w:cs="Arial"/>
        </w:rPr>
        <w:tab/>
      </w:r>
    </w:p>
    <w:p w:rsidR="00A75C1F" w:rsidRPr="00B62C96" w:rsidRDefault="00A75C1F" w:rsidP="00A75C1F">
      <w:pPr>
        <w:pStyle w:val="UnnumberedHeading"/>
        <w:rPr>
          <w:rFonts w:ascii="Arial" w:hAnsi="Arial" w:cs="Arial"/>
        </w:rPr>
      </w:pPr>
      <w:bookmarkStart w:id="7" w:name="_Toc384813019"/>
      <w:bookmarkStart w:id="8" w:name="_Toc395861691"/>
      <w:bookmarkStart w:id="9" w:name="_Toc409709109"/>
      <w:bookmarkStart w:id="10" w:name="_Toc410224057"/>
      <w:bookmarkStart w:id="11" w:name="_Toc360023683"/>
      <w:bookmarkStart w:id="12" w:name="_Toc360024844"/>
      <w:r w:rsidRPr="00B62C96">
        <w:rPr>
          <w:rFonts w:ascii="Arial" w:hAnsi="Arial" w:cs="Arial"/>
        </w:rPr>
        <w:lastRenderedPageBreak/>
        <w:t>Shortened forms</w:t>
      </w:r>
      <w:bookmarkEnd w:id="7"/>
      <w:bookmarkEnd w:id="8"/>
      <w:bookmarkEnd w:id="9"/>
      <w:bookmarkEnd w:id="10"/>
    </w:p>
    <w:tbl>
      <w:tblPr>
        <w:tblStyle w:val="AERtable-numbers"/>
        <w:tblW w:w="0" w:type="auto"/>
        <w:tblLook w:val="04A0" w:firstRow="1" w:lastRow="0" w:firstColumn="1" w:lastColumn="0" w:noHBand="0" w:noVBand="1"/>
      </w:tblPr>
      <w:tblGrid>
        <w:gridCol w:w="4621"/>
        <w:gridCol w:w="4621"/>
      </w:tblGrid>
      <w:tr w:rsidR="008270B1" w:rsidRPr="00B62C96" w:rsidTr="008270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0B1" w:rsidRPr="00B62C96" w:rsidRDefault="008270B1" w:rsidP="008270B1">
            <w:pPr>
              <w:rPr>
                <w:rFonts w:ascii="Arial" w:hAnsi="Arial" w:cs="Arial"/>
              </w:rPr>
            </w:pPr>
            <w:bookmarkStart w:id="13" w:name="_Toc395861692"/>
            <w:r w:rsidRPr="00B62C96">
              <w:rPr>
                <w:rFonts w:ascii="Arial" w:hAnsi="Arial" w:cs="Arial"/>
              </w:rPr>
              <w:t>Shortened form</w:t>
            </w:r>
          </w:p>
        </w:tc>
        <w:tc>
          <w:tcPr>
            <w:tcW w:w="4621" w:type="dxa"/>
          </w:tcPr>
          <w:p w:rsidR="008270B1" w:rsidRPr="00B62C96" w:rsidRDefault="008270B1" w:rsidP="008270B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62C96">
              <w:rPr>
                <w:rFonts w:ascii="Arial" w:hAnsi="Arial" w:cs="Arial"/>
              </w:rPr>
              <w:t>Extended form</w:t>
            </w:r>
          </w:p>
        </w:tc>
      </w:tr>
      <w:tr w:rsidR="008270B1" w:rsidRPr="00B62C96" w:rsidTr="008270B1">
        <w:tc>
          <w:tcPr>
            <w:cnfStyle w:val="001000000000" w:firstRow="0" w:lastRow="0" w:firstColumn="1" w:lastColumn="0" w:oddVBand="0" w:evenVBand="0" w:oddHBand="0" w:evenHBand="0" w:firstRowFirstColumn="0" w:firstRowLastColumn="0" w:lastRowFirstColumn="0" w:lastRowLastColumn="0"/>
            <w:tcW w:w="4621" w:type="dxa"/>
          </w:tcPr>
          <w:p w:rsidR="008270B1" w:rsidRPr="00B62C96" w:rsidRDefault="008270B1" w:rsidP="008270B1">
            <w:pPr>
              <w:rPr>
                <w:rFonts w:ascii="Arial" w:hAnsi="Arial" w:cs="Arial"/>
              </w:rPr>
            </w:pPr>
            <w:r w:rsidRPr="00B62C96">
              <w:rPr>
                <w:rFonts w:ascii="Arial" w:hAnsi="Arial" w:cs="Arial"/>
              </w:rPr>
              <w:t>ARR</w:t>
            </w:r>
          </w:p>
        </w:tc>
        <w:tc>
          <w:tcPr>
            <w:tcW w:w="4621" w:type="dxa"/>
          </w:tcPr>
          <w:p w:rsidR="008270B1" w:rsidRPr="00B62C96" w:rsidRDefault="008270B1" w:rsidP="008270B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62C96">
              <w:rPr>
                <w:rFonts w:ascii="Arial" w:hAnsi="Arial" w:cs="Arial"/>
              </w:rPr>
              <w:t>annual revenue requirement</w:t>
            </w:r>
          </w:p>
        </w:tc>
      </w:tr>
      <w:tr w:rsidR="008270B1" w:rsidRPr="00B62C96" w:rsidTr="008270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0B1" w:rsidRPr="00B62C96" w:rsidRDefault="008270B1" w:rsidP="008270B1">
            <w:pPr>
              <w:rPr>
                <w:rFonts w:ascii="Arial" w:hAnsi="Arial" w:cs="Arial"/>
              </w:rPr>
            </w:pPr>
            <w:r w:rsidRPr="00B62C96">
              <w:rPr>
                <w:rFonts w:ascii="Arial" w:hAnsi="Arial" w:cs="Arial"/>
              </w:rPr>
              <w:t xml:space="preserve">AER </w:t>
            </w:r>
          </w:p>
        </w:tc>
        <w:tc>
          <w:tcPr>
            <w:tcW w:w="4621" w:type="dxa"/>
          </w:tcPr>
          <w:p w:rsidR="008270B1" w:rsidRPr="00B62C96" w:rsidRDefault="008270B1" w:rsidP="008270B1">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62C96">
              <w:rPr>
                <w:rFonts w:ascii="Arial" w:hAnsi="Arial" w:cs="Arial"/>
              </w:rPr>
              <w:t>Australian Energy Regulator</w:t>
            </w:r>
          </w:p>
        </w:tc>
      </w:tr>
      <w:tr w:rsidR="008270B1" w:rsidRPr="00B62C96" w:rsidTr="008270B1">
        <w:tc>
          <w:tcPr>
            <w:cnfStyle w:val="001000000000" w:firstRow="0" w:lastRow="0" w:firstColumn="1" w:lastColumn="0" w:oddVBand="0" w:evenVBand="0" w:oddHBand="0" w:evenHBand="0" w:firstRowFirstColumn="0" w:firstRowLastColumn="0" w:lastRowFirstColumn="0" w:lastRowLastColumn="0"/>
            <w:tcW w:w="4621" w:type="dxa"/>
          </w:tcPr>
          <w:p w:rsidR="008270B1" w:rsidRPr="00B62C96" w:rsidRDefault="008270B1" w:rsidP="008270B1">
            <w:pPr>
              <w:rPr>
                <w:rFonts w:ascii="Arial" w:hAnsi="Arial" w:cs="Arial"/>
              </w:rPr>
            </w:pPr>
            <w:r w:rsidRPr="00B62C96">
              <w:rPr>
                <w:rFonts w:ascii="Arial" w:hAnsi="Arial" w:cs="Arial"/>
              </w:rPr>
              <w:t>ATO</w:t>
            </w:r>
          </w:p>
        </w:tc>
        <w:tc>
          <w:tcPr>
            <w:tcW w:w="4621" w:type="dxa"/>
          </w:tcPr>
          <w:p w:rsidR="008270B1" w:rsidRPr="00B62C96" w:rsidRDefault="008270B1" w:rsidP="008270B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62C96">
              <w:rPr>
                <w:rFonts w:ascii="Arial" w:hAnsi="Arial" w:cs="Arial"/>
              </w:rPr>
              <w:t>Australian Tax Office</w:t>
            </w:r>
          </w:p>
        </w:tc>
      </w:tr>
      <w:tr w:rsidR="008270B1" w:rsidRPr="00B62C96" w:rsidTr="008270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0B1" w:rsidRPr="00B62C96" w:rsidRDefault="008270B1" w:rsidP="008270B1">
            <w:pPr>
              <w:rPr>
                <w:rFonts w:ascii="Arial" w:hAnsi="Arial" w:cs="Arial"/>
              </w:rPr>
            </w:pPr>
            <w:r w:rsidRPr="00B62C96">
              <w:rPr>
                <w:rFonts w:ascii="Arial" w:hAnsi="Arial" w:cs="Arial"/>
              </w:rPr>
              <w:t xml:space="preserve">capex </w:t>
            </w:r>
          </w:p>
        </w:tc>
        <w:tc>
          <w:tcPr>
            <w:tcW w:w="4621" w:type="dxa"/>
          </w:tcPr>
          <w:p w:rsidR="008270B1" w:rsidRPr="00B62C96" w:rsidRDefault="008270B1" w:rsidP="008270B1">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62C96">
              <w:rPr>
                <w:rFonts w:ascii="Arial" w:hAnsi="Arial" w:cs="Arial"/>
              </w:rPr>
              <w:t>capital expenditure</w:t>
            </w:r>
          </w:p>
        </w:tc>
      </w:tr>
      <w:tr w:rsidR="008270B1" w:rsidRPr="00B62C96" w:rsidTr="008270B1">
        <w:tc>
          <w:tcPr>
            <w:cnfStyle w:val="001000000000" w:firstRow="0" w:lastRow="0" w:firstColumn="1" w:lastColumn="0" w:oddVBand="0" w:evenVBand="0" w:oddHBand="0" w:evenHBand="0" w:firstRowFirstColumn="0" w:firstRowLastColumn="0" w:lastRowFirstColumn="0" w:lastRowLastColumn="0"/>
            <w:tcW w:w="4621" w:type="dxa"/>
          </w:tcPr>
          <w:p w:rsidR="008270B1" w:rsidRPr="00B62C96" w:rsidRDefault="008270B1" w:rsidP="008270B1">
            <w:pPr>
              <w:rPr>
                <w:rFonts w:ascii="Arial" w:hAnsi="Arial" w:cs="Arial"/>
              </w:rPr>
            </w:pPr>
            <w:r w:rsidRPr="00B62C96">
              <w:rPr>
                <w:rFonts w:ascii="Arial" w:hAnsi="Arial" w:cs="Arial"/>
              </w:rPr>
              <w:t xml:space="preserve">CPI </w:t>
            </w:r>
          </w:p>
        </w:tc>
        <w:tc>
          <w:tcPr>
            <w:tcW w:w="4621" w:type="dxa"/>
          </w:tcPr>
          <w:p w:rsidR="008270B1" w:rsidRPr="00B62C96" w:rsidRDefault="008270B1" w:rsidP="008270B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62C96">
              <w:rPr>
                <w:rFonts w:ascii="Arial" w:hAnsi="Arial" w:cs="Arial"/>
              </w:rPr>
              <w:t>consumer price index</w:t>
            </w:r>
          </w:p>
        </w:tc>
      </w:tr>
      <w:tr w:rsidR="00140FFE" w:rsidRPr="00B62C96" w:rsidTr="008270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40FFE" w:rsidRPr="00B62C96" w:rsidRDefault="00140FFE" w:rsidP="008270B1">
            <w:pPr>
              <w:rPr>
                <w:rFonts w:ascii="Arial" w:hAnsi="Arial" w:cs="Arial"/>
              </w:rPr>
            </w:pPr>
            <w:r w:rsidRPr="00B62C96">
              <w:rPr>
                <w:rFonts w:ascii="Arial" w:hAnsi="Arial" w:cs="Arial"/>
              </w:rPr>
              <w:t>DMS</w:t>
            </w:r>
          </w:p>
        </w:tc>
        <w:tc>
          <w:tcPr>
            <w:tcW w:w="4621" w:type="dxa"/>
          </w:tcPr>
          <w:p w:rsidR="00140FFE" w:rsidRPr="00B62C96" w:rsidRDefault="00140FFE" w:rsidP="008270B1">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62C96">
              <w:rPr>
                <w:rFonts w:ascii="Arial" w:hAnsi="Arial" w:cs="Arial"/>
              </w:rPr>
              <w:t>data management system</w:t>
            </w:r>
          </w:p>
        </w:tc>
      </w:tr>
      <w:tr w:rsidR="008270B1" w:rsidRPr="00B62C96" w:rsidTr="008270B1">
        <w:tc>
          <w:tcPr>
            <w:cnfStyle w:val="001000000000" w:firstRow="0" w:lastRow="0" w:firstColumn="1" w:lastColumn="0" w:oddVBand="0" w:evenVBand="0" w:oddHBand="0" w:evenHBand="0" w:firstRowFirstColumn="0" w:firstRowLastColumn="0" w:lastRowFirstColumn="0" w:lastRowLastColumn="0"/>
            <w:tcW w:w="4621" w:type="dxa"/>
          </w:tcPr>
          <w:p w:rsidR="008270B1" w:rsidRPr="00B62C96" w:rsidRDefault="008270B1" w:rsidP="008270B1">
            <w:pPr>
              <w:rPr>
                <w:rFonts w:ascii="Arial" w:hAnsi="Arial" w:cs="Arial"/>
              </w:rPr>
            </w:pPr>
            <w:r w:rsidRPr="00B62C96">
              <w:rPr>
                <w:rFonts w:ascii="Arial" w:hAnsi="Arial" w:cs="Arial"/>
              </w:rPr>
              <w:t>DNSP</w:t>
            </w:r>
          </w:p>
        </w:tc>
        <w:tc>
          <w:tcPr>
            <w:tcW w:w="4621" w:type="dxa"/>
          </w:tcPr>
          <w:p w:rsidR="008270B1" w:rsidRPr="00B62C96" w:rsidRDefault="008270B1" w:rsidP="008270B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62C96">
              <w:rPr>
                <w:rFonts w:ascii="Arial" w:hAnsi="Arial" w:cs="Arial"/>
              </w:rPr>
              <w:t>distribution network service provider</w:t>
            </w:r>
          </w:p>
        </w:tc>
      </w:tr>
      <w:tr w:rsidR="008270B1" w:rsidRPr="00B62C96" w:rsidTr="008270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0B1" w:rsidRPr="00B62C96" w:rsidRDefault="008270B1" w:rsidP="008270B1">
            <w:pPr>
              <w:rPr>
                <w:rFonts w:ascii="Arial" w:hAnsi="Arial" w:cs="Arial"/>
              </w:rPr>
            </w:pPr>
            <w:r w:rsidRPr="00B62C96">
              <w:rPr>
                <w:rFonts w:ascii="Arial" w:hAnsi="Arial" w:cs="Arial"/>
              </w:rPr>
              <w:t xml:space="preserve">IRR </w:t>
            </w:r>
          </w:p>
        </w:tc>
        <w:tc>
          <w:tcPr>
            <w:tcW w:w="4621" w:type="dxa"/>
          </w:tcPr>
          <w:p w:rsidR="008270B1" w:rsidRPr="00B62C96" w:rsidRDefault="008270B1" w:rsidP="008270B1">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62C96">
              <w:rPr>
                <w:rFonts w:ascii="Arial" w:hAnsi="Arial" w:cs="Arial"/>
              </w:rPr>
              <w:t>internal rate of return</w:t>
            </w:r>
          </w:p>
        </w:tc>
      </w:tr>
      <w:tr w:rsidR="008270B1" w:rsidRPr="00B62C96" w:rsidTr="008270B1">
        <w:tc>
          <w:tcPr>
            <w:cnfStyle w:val="001000000000" w:firstRow="0" w:lastRow="0" w:firstColumn="1" w:lastColumn="0" w:oddVBand="0" w:evenVBand="0" w:oddHBand="0" w:evenHBand="0" w:firstRowFirstColumn="0" w:firstRowLastColumn="0" w:lastRowFirstColumn="0" w:lastRowLastColumn="0"/>
            <w:tcW w:w="4621" w:type="dxa"/>
          </w:tcPr>
          <w:p w:rsidR="008270B1" w:rsidRPr="00B62C96" w:rsidRDefault="008270B1" w:rsidP="008270B1">
            <w:pPr>
              <w:rPr>
                <w:rFonts w:ascii="Arial" w:hAnsi="Arial" w:cs="Arial"/>
              </w:rPr>
            </w:pPr>
            <w:r w:rsidRPr="00B62C96">
              <w:rPr>
                <w:rFonts w:ascii="Arial" w:hAnsi="Arial" w:cs="Arial"/>
              </w:rPr>
              <w:t>NEL</w:t>
            </w:r>
          </w:p>
        </w:tc>
        <w:tc>
          <w:tcPr>
            <w:tcW w:w="4621" w:type="dxa"/>
          </w:tcPr>
          <w:p w:rsidR="008270B1" w:rsidRPr="00B62C96" w:rsidRDefault="008270B1" w:rsidP="008270B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62C96">
              <w:rPr>
                <w:rFonts w:ascii="Arial" w:hAnsi="Arial" w:cs="Arial"/>
              </w:rPr>
              <w:t>National Electricity Law</w:t>
            </w:r>
          </w:p>
        </w:tc>
      </w:tr>
      <w:tr w:rsidR="008270B1" w:rsidRPr="00B62C96" w:rsidTr="008270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0B1" w:rsidRPr="00B62C96" w:rsidRDefault="008270B1" w:rsidP="008270B1">
            <w:pPr>
              <w:rPr>
                <w:rFonts w:ascii="Arial" w:hAnsi="Arial" w:cs="Arial"/>
              </w:rPr>
            </w:pPr>
            <w:r w:rsidRPr="00B62C96">
              <w:rPr>
                <w:rFonts w:ascii="Arial" w:hAnsi="Arial" w:cs="Arial"/>
              </w:rPr>
              <w:t>NER</w:t>
            </w:r>
          </w:p>
        </w:tc>
        <w:tc>
          <w:tcPr>
            <w:tcW w:w="4621" w:type="dxa"/>
          </w:tcPr>
          <w:p w:rsidR="008270B1" w:rsidRPr="00B62C96" w:rsidRDefault="008270B1" w:rsidP="008270B1">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62C96">
              <w:rPr>
                <w:rFonts w:ascii="Arial" w:hAnsi="Arial" w:cs="Arial"/>
              </w:rPr>
              <w:t>National Electricity Rules</w:t>
            </w:r>
          </w:p>
        </w:tc>
      </w:tr>
      <w:tr w:rsidR="008270B1" w:rsidRPr="00B62C96" w:rsidTr="008270B1">
        <w:tc>
          <w:tcPr>
            <w:cnfStyle w:val="001000000000" w:firstRow="0" w:lastRow="0" w:firstColumn="1" w:lastColumn="0" w:oddVBand="0" w:evenVBand="0" w:oddHBand="0" w:evenHBand="0" w:firstRowFirstColumn="0" w:firstRowLastColumn="0" w:lastRowFirstColumn="0" w:lastRowLastColumn="0"/>
            <w:tcW w:w="4621" w:type="dxa"/>
          </w:tcPr>
          <w:p w:rsidR="008270B1" w:rsidRPr="00B62C96" w:rsidRDefault="008270B1" w:rsidP="008270B1">
            <w:pPr>
              <w:rPr>
                <w:rFonts w:ascii="Arial" w:hAnsi="Arial" w:cs="Arial"/>
              </w:rPr>
            </w:pPr>
            <w:r w:rsidRPr="00B62C96">
              <w:rPr>
                <w:rFonts w:ascii="Arial" w:hAnsi="Arial" w:cs="Arial"/>
              </w:rPr>
              <w:t>NPV</w:t>
            </w:r>
          </w:p>
        </w:tc>
        <w:tc>
          <w:tcPr>
            <w:tcW w:w="4621" w:type="dxa"/>
          </w:tcPr>
          <w:p w:rsidR="008270B1" w:rsidRPr="00B62C96" w:rsidRDefault="008270B1" w:rsidP="008270B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62C96">
              <w:rPr>
                <w:rFonts w:ascii="Arial" w:hAnsi="Arial" w:cs="Arial"/>
              </w:rPr>
              <w:t>net present value</w:t>
            </w:r>
          </w:p>
        </w:tc>
      </w:tr>
      <w:tr w:rsidR="008270B1" w:rsidRPr="00B62C96" w:rsidTr="008270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0B1" w:rsidRPr="00B62C96" w:rsidRDefault="008270B1" w:rsidP="008270B1">
            <w:pPr>
              <w:rPr>
                <w:rFonts w:ascii="Arial" w:hAnsi="Arial" w:cs="Arial"/>
              </w:rPr>
            </w:pPr>
            <w:proofErr w:type="spellStart"/>
            <w:r w:rsidRPr="00B62C96">
              <w:rPr>
                <w:rFonts w:ascii="Arial" w:hAnsi="Arial" w:cs="Arial"/>
              </w:rPr>
              <w:t>opex</w:t>
            </w:r>
            <w:proofErr w:type="spellEnd"/>
          </w:p>
        </w:tc>
        <w:tc>
          <w:tcPr>
            <w:tcW w:w="4621" w:type="dxa"/>
          </w:tcPr>
          <w:p w:rsidR="008270B1" w:rsidRPr="00B62C96" w:rsidRDefault="008270B1" w:rsidP="008270B1">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62C96">
              <w:rPr>
                <w:rFonts w:ascii="Arial" w:hAnsi="Arial" w:cs="Arial"/>
              </w:rPr>
              <w:t>operating expenditure</w:t>
            </w:r>
          </w:p>
        </w:tc>
      </w:tr>
      <w:tr w:rsidR="008270B1" w:rsidRPr="00B62C96" w:rsidTr="008270B1">
        <w:tc>
          <w:tcPr>
            <w:cnfStyle w:val="001000000000" w:firstRow="0" w:lastRow="0" w:firstColumn="1" w:lastColumn="0" w:oddVBand="0" w:evenVBand="0" w:oddHBand="0" w:evenHBand="0" w:firstRowFirstColumn="0" w:firstRowLastColumn="0" w:lastRowFirstColumn="0" w:lastRowLastColumn="0"/>
            <w:tcW w:w="4621" w:type="dxa"/>
          </w:tcPr>
          <w:p w:rsidR="008270B1" w:rsidRPr="00B62C96" w:rsidRDefault="008270B1" w:rsidP="008270B1">
            <w:pPr>
              <w:rPr>
                <w:rFonts w:ascii="Arial" w:hAnsi="Arial" w:cs="Arial"/>
              </w:rPr>
            </w:pPr>
            <w:r w:rsidRPr="00B62C96">
              <w:rPr>
                <w:rFonts w:ascii="Arial" w:hAnsi="Arial" w:cs="Arial"/>
              </w:rPr>
              <w:t>PTRM</w:t>
            </w:r>
          </w:p>
        </w:tc>
        <w:tc>
          <w:tcPr>
            <w:tcW w:w="4621" w:type="dxa"/>
          </w:tcPr>
          <w:p w:rsidR="008270B1" w:rsidRPr="00B62C96" w:rsidRDefault="008270B1" w:rsidP="008270B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62C96">
              <w:rPr>
                <w:rFonts w:ascii="Arial" w:hAnsi="Arial" w:cs="Arial"/>
              </w:rPr>
              <w:t>post-tax revenue model</w:t>
            </w:r>
          </w:p>
        </w:tc>
      </w:tr>
      <w:tr w:rsidR="008270B1" w:rsidRPr="00B62C96" w:rsidTr="008270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0B1" w:rsidRPr="00B62C96" w:rsidRDefault="008270B1" w:rsidP="008270B1">
            <w:pPr>
              <w:rPr>
                <w:rFonts w:ascii="Arial" w:hAnsi="Arial" w:cs="Arial"/>
              </w:rPr>
            </w:pPr>
            <w:r w:rsidRPr="00B62C96">
              <w:rPr>
                <w:rFonts w:ascii="Arial" w:hAnsi="Arial" w:cs="Arial"/>
              </w:rPr>
              <w:t>PV</w:t>
            </w:r>
          </w:p>
        </w:tc>
        <w:tc>
          <w:tcPr>
            <w:tcW w:w="4621" w:type="dxa"/>
          </w:tcPr>
          <w:p w:rsidR="008270B1" w:rsidRPr="00B62C96" w:rsidRDefault="008270B1" w:rsidP="008270B1">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62C96">
              <w:rPr>
                <w:rFonts w:ascii="Arial" w:hAnsi="Arial" w:cs="Arial"/>
              </w:rPr>
              <w:t>present value</w:t>
            </w:r>
          </w:p>
        </w:tc>
      </w:tr>
      <w:tr w:rsidR="008270B1" w:rsidRPr="00B62C96" w:rsidTr="008270B1">
        <w:tc>
          <w:tcPr>
            <w:cnfStyle w:val="001000000000" w:firstRow="0" w:lastRow="0" w:firstColumn="1" w:lastColumn="0" w:oddVBand="0" w:evenVBand="0" w:oddHBand="0" w:evenHBand="0" w:firstRowFirstColumn="0" w:firstRowLastColumn="0" w:lastRowFirstColumn="0" w:lastRowLastColumn="0"/>
            <w:tcW w:w="4621" w:type="dxa"/>
          </w:tcPr>
          <w:p w:rsidR="008270B1" w:rsidRPr="00B62C96" w:rsidRDefault="008270B1" w:rsidP="008270B1">
            <w:pPr>
              <w:rPr>
                <w:rFonts w:ascii="Arial" w:hAnsi="Arial" w:cs="Arial"/>
              </w:rPr>
            </w:pPr>
            <w:r w:rsidRPr="00B62C96">
              <w:rPr>
                <w:rFonts w:ascii="Arial" w:hAnsi="Arial" w:cs="Arial"/>
              </w:rPr>
              <w:t>RAB</w:t>
            </w:r>
          </w:p>
        </w:tc>
        <w:tc>
          <w:tcPr>
            <w:tcW w:w="4621" w:type="dxa"/>
          </w:tcPr>
          <w:p w:rsidR="008270B1" w:rsidRPr="00B62C96" w:rsidRDefault="008270B1" w:rsidP="008270B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62C96">
              <w:rPr>
                <w:rFonts w:ascii="Arial" w:hAnsi="Arial" w:cs="Arial"/>
              </w:rPr>
              <w:t>regulatory asset base</w:t>
            </w:r>
          </w:p>
        </w:tc>
      </w:tr>
      <w:tr w:rsidR="008270B1" w:rsidRPr="00B62C96" w:rsidTr="008270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0B1" w:rsidRPr="00B62C96" w:rsidRDefault="008270B1" w:rsidP="008270B1">
            <w:pPr>
              <w:rPr>
                <w:rFonts w:ascii="Arial" w:hAnsi="Arial" w:cs="Arial"/>
              </w:rPr>
            </w:pPr>
            <w:r w:rsidRPr="00B62C96">
              <w:rPr>
                <w:rFonts w:ascii="Arial" w:hAnsi="Arial" w:cs="Arial"/>
              </w:rPr>
              <w:t>RFM</w:t>
            </w:r>
          </w:p>
        </w:tc>
        <w:tc>
          <w:tcPr>
            <w:tcW w:w="4621" w:type="dxa"/>
          </w:tcPr>
          <w:p w:rsidR="008270B1" w:rsidRPr="00B62C96" w:rsidRDefault="008270B1" w:rsidP="008270B1">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62C96">
              <w:rPr>
                <w:rFonts w:ascii="Arial" w:hAnsi="Arial" w:cs="Arial"/>
              </w:rPr>
              <w:t>roll forward model</w:t>
            </w:r>
          </w:p>
        </w:tc>
      </w:tr>
      <w:tr w:rsidR="008270B1" w:rsidRPr="00B62C96" w:rsidTr="008270B1">
        <w:tc>
          <w:tcPr>
            <w:cnfStyle w:val="001000000000" w:firstRow="0" w:lastRow="0" w:firstColumn="1" w:lastColumn="0" w:oddVBand="0" w:evenVBand="0" w:oddHBand="0" w:evenHBand="0" w:firstRowFirstColumn="0" w:firstRowLastColumn="0" w:lastRowFirstColumn="0" w:lastRowLastColumn="0"/>
            <w:tcW w:w="4621" w:type="dxa"/>
          </w:tcPr>
          <w:p w:rsidR="008270B1" w:rsidRPr="00B62C96" w:rsidRDefault="008270B1" w:rsidP="008270B1">
            <w:pPr>
              <w:rPr>
                <w:rFonts w:ascii="Arial" w:hAnsi="Arial" w:cs="Arial"/>
              </w:rPr>
            </w:pPr>
            <w:r w:rsidRPr="00B62C96">
              <w:rPr>
                <w:rFonts w:ascii="Arial" w:hAnsi="Arial" w:cs="Arial"/>
              </w:rPr>
              <w:t>TAB</w:t>
            </w:r>
          </w:p>
        </w:tc>
        <w:tc>
          <w:tcPr>
            <w:tcW w:w="4621" w:type="dxa"/>
          </w:tcPr>
          <w:p w:rsidR="008270B1" w:rsidRPr="00B62C96" w:rsidRDefault="008270B1" w:rsidP="008270B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62C96">
              <w:rPr>
                <w:rFonts w:ascii="Arial" w:hAnsi="Arial" w:cs="Arial"/>
              </w:rPr>
              <w:t>tax asset base</w:t>
            </w:r>
          </w:p>
        </w:tc>
      </w:tr>
      <w:tr w:rsidR="008270B1" w:rsidRPr="00B62C96" w:rsidTr="008270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0B1" w:rsidRPr="00B62C96" w:rsidRDefault="008270B1" w:rsidP="008270B1">
            <w:pPr>
              <w:rPr>
                <w:rFonts w:ascii="Arial" w:hAnsi="Arial" w:cs="Arial"/>
              </w:rPr>
            </w:pPr>
            <w:r w:rsidRPr="00B62C96">
              <w:rPr>
                <w:rFonts w:ascii="Arial" w:hAnsi="Arial" w:cs="Arial"/>
              </w:rPr>
              <w:t>WACC</w:t>
            </w:r>
          </w:p>
        </w:tc>
        <w:tc>
          <w:tcPr>
            <w:tcW w:w="4621" w:type="dxa"/>
          </w:tcPr>
          <w:p w:rsidR="008270B1" w:rsidRPr="00B62C96" w:rsidRDefault="008270B1" w:rsidP="008270B1">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62C96">
              <w:rPr>
                <w:rFonts w:ascii="Arial" w:hAnsi="Arial" w:cs="Arial"/>
              </w:rPr>
              <w:t>weighted average cost of capital</w:t>
            </w:r>
          </w:p>
        </w:tc>
      </w:tr>
      <w:tr w:rsidR="008270B1" w:rsidRPr="00B62C96" w:rsidTr="008270B1">
        <w:tc>
          <w:tcPr>
            <w:cnfStyle w:val="001000000000" w:firstRow="0" w:lastRow="0" w:firstColumn="1" w:lastColumn="0" w:oddVBand="0" w:evenVBand="0" w:oddHBand="0" w:evenHBand="0" w:firstRowFirstColumn="0" w:firstRowLastColumn="0" w:lastRowFirstColumn="0" w:lastRowLastColumn="0"/>
            <w:tcW w:w="4621" w:type="dxa"/>
          </w:tcPr>
          <w:p w:rsidR="008270B1" w:rsidRPr="00B62C96" w:rsidRDefault="008270B1" w:rsidP="008270B1">
            <w:pPr>
              <w:rPr>
                <w:rFonts w:ascii="Arial" w:hAnsi="Arial" w:cs="Arial"/>
              </w:rPr>
            </w:pPr>
            <w:r w:rsidRPr="00B62C96">
              <w:rPr>
                <w:rFonts w:ascii="Arial" w:hAnsi="Arial" w:cs="Arial"/>
              </w:rPr>
              <w:t>WAPC</w:t>
            </w:r>
          </w:p>
        </w:tc>
        <w:tc>
          <w:tcPr>
            <w:tcW w:w="4621" w:type="dxa"/>
          </w:tcPr>
          <w:p w:rsidR="008270B1" w:rsidRPr="00B62C96" w:rsidRDefault="008270B1" w:rsidP="008270B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62C96">
              <w:rPr>
                <w:rFonts w:ascii="Arial" w:hAnsi="Arial" w:cs="Arial"/>
              </w:rPr>
              <w:t>weighted average price cap</w:t>
            </w:r>
          </w:p>
        </w:tc>
      </w:tr>
    </w:tbl>
    <w:p w:rsidR="008270B1" w:rsidRPr="00B62C96" w:rsidRDefault="008270B1" w:rsidP="008270B1">
      <w:pPr>
        <w:pStyle w:val="AERbodytext"/>
        <w:numPr>
          <w:ilvl w:val="0"/>
          <w:numId w:val="9"/>
        </w:numPr>
        <w:rPr>
          <w:rFonts w:ascii="Arial" w:hAnsi="Arial" w:cs="Arial"/>
        </w:rPr>
      </w:pPr>
    </w:p>
    <w:p w:rsidR="008270B1" w:rsidRPr="00B62C96" w:rsidRDefault="008270B1" w:rsidP="00B62C96">
      <w:pPr>
        <w:pStyle w:val="Heading1"/>
        <w:numPr>
          <w:ilvl w:val="1"/>
          <w:numId w:val="10"/>
        </w:numPr>
        <w:rPr>
          <w:rFonts w:ascii="Arial" w:hAnsi="Arial" w:cs="Arial"/>
        </w:rPr>
      </w:pPr>
      <w:bookmarkStart w:id="14" w:name="_Toc399339653"/>
      <w:bookmarkStart w:id="15" w:name="_Toc409709110"/>
      <w:bookmarkStart w:id="16" w:name="_Toc410224058"/>
      <w:bookmarkEnd w:id="11"/>
      <w:bookmarkEnd w:id="12"/>
      <w:bookmarkEnd w:id="13"/>
      <w:r w:rsidRPr="00B62C96">
        <w:rPr>
          <w:rFonts w:ascii="Arial" w:hAnsi="Arial" w:cs="Arial"/>
        </w:rPr>
        <w:lastRenderedPageBreak/>
        <w:t>Nature and authority</w:t>
      </w:r>
      <w:bookmarkEnd w:id="14"/>
      <w:bookmarkEnd w:id="15"/>
      <w:bookmarkEnd w:id="16"/>
    </w:p>
    <w:p w:rsidR="008270B1" w:rsidRPr="00B62C96" w:rsidRDefault="008270B1" w:rsidP="00B62C96">
      <w:pPr>
        <w:pStyle w:val="Heading2"/>
        <w:numPr>
          <w:ilvl w:val="2"/>
          <w:numId w:val="10"/>
        </w:numPr>
        <w:rPr>
          <w:rFonts w:ascii="Arial" w:hAnsi="Arial" w:cs="Arial"/>
        </w:rPr>
      </w:pPr>
      <w:bookmarkStart w:id="17" w:name="_Toc399339654"/>
      <w:bookmarkStart w:id="18" w:name="_Toc409709111"/>
      <w:bookmarkStart w:id="19" w:name="_Toc410224059"/>
      <w:r w:rsidRPr="00B62C96">
        <w:rPr>
          <w:rFonts w:ascii="Arial" w:hAnsi="Arial" w:cs="Arial"/>
        </w:rPr>
        <w:t>Introduction</w:t>
      </w:r>
      <w:bookmarkEnd w:id="17"/>
      <w:bookmarkEnd w:id="18"/>
      <w:bookmarkEnd w:id="19"/>
    </w:p>
    <w:p w:rsidR="008270B1" w:rsidRPr="00B62C96" w:rsidRDefault="008270B1" w:rsidP="008270B1">
      <w:pPr>
        <w:pStyle w:val="AERbodytext"/>
        <w:numPr>
          <w:ilvl w:val="0"/>
          <w:numId w:val="9"/>
        </w:numPr>
        <w:rPr>
          <w:rFonts w:ascii="Arial" w:hAnsi="Arial" w:cs="Arial"/>
        </w:rPr>
      </w:pPr>
      <w:r w:rsidRPr="00B62C96">
        <w:rPr>
          <w:rFonts w:ascii="Arial" w:hAnsi="Arial" w:cs="Arial"/>
        </w:rPr>
        <w:t>This handbook sets out the Australian Energy Regulator’s (AER) post-tax revenue model (PTRM) to be used as part of the building block determinations for standard control services of electricity distribution network service providers (DNSPs). The PTRM is a series of Microsoft Excel spreadsheets developed in accordance with clause 6.4.1 of the National Electricity Rules (NER).</w:t>
      </w:r>
    </w:p>
    <w:p w:rsidR="008270B1" w:rsidRPr="00B62C96" w:rsidRDefault="008270B1" w:rsidP="00B62C96">
      <w:pPr>
        <w:pStyle w:val="Heading2"/>
        <w:numPr>
          <w:ilvl w:val="2"/>
          <w:numId w:val="10"/>
        </w:numPr>
        <w:rPr>
          <w:rFonts w:ascii="Arial" w:hAnsi="Arial" w:cs="Arial"/>
        </w:rPr>
      </w:pPr>
      <w:bookmarkStart w:id="20" w:name="_Toc399339655"/>
      <w:bookmarkStart w:id="21" w:name="_Toc409709112"/>
      <w:bookmarkStart w:id="22" w:name="_Toc410224060"/>
      <w:r w:rsidRPr="00B62C96">
        <w:rPr>
          <w:rFonts w:ascii="Arial" w:hAnsi="Arial" w:cs="Arial"/>
        </w:rPr>
        <w:t>Authority</w:t>
      </w:r>
      <w:bookmarkEnd w:id="20"/>
      <w:bookmarkEnd w:id="21"/>
      <w:bookmarkEnd w:id="22"/>
    </w:p>
    <w:p w:rsidR="008270B1" w:rsidRPr="00B62C96" w:rsidRDefault="008270B1" w:rsidP="008270B1">
      <w:pPr>
        <w:pStyle w:val="AERbodytext"/>
        <w:numPr>
          <w:ilvl w:val="0"/>
          <w:numId w:val="9"/>
        </w:numPr>
        <w:rPr>
          <w:rFonts w:ascii="Arial" w:hAnsi="Arial" w:cs="Arial"/>
        </w:rPr>
      </w:pPr>
      <w:r w:rsidRPr="00B62C96">
        <w:rPr>
          <w:rFonts w:ascii="Arial" w:hAnsi="Arial" w:cs="Arial"/>
        </w:rPr>
        <w:t>Clause 6.4.1(a</w:t>
      </w:r>
      <w:proofErr w:type="gramStart"/>
      <w:r w:rsidRPr="00B62C96">
        <w:rPr>
          <w:rFonts w:ascii="Arial" w:hAnsi="Arial" w:cs="Arial"/>
        </w:rPr>
        <w:t>)(</w:t>
      </w:r>
      <w:proofErr w:type="gramEnd"/>
      <w:r w:rsidRPr="00B62C96">
        <w:rPr>
          <w:rFonts w:ascii="Arial" w:hAnsi="Arial" w:cs="Arial"/>
        </w:rPr>
        <w:t>c) of the NER requires the AER to develop and publish the PTRM, in accordance with the distribution consultation procedures.</w:t>
      </w:r>
    </w:p>
    <w:p w:rsidR="008270B1" w:rsidRPr="00B62C96" w:rsidRDefault="008270B1" w:rsidP="00B62C96">
      <w:pPr>
        <w:pStyle w:val="Heading2"/>
        <w:numPr>
          <w:ilvl w:val="2"/>
          <w:numId w:val="10"/>
        </w:numPr>
        <w:rPr>
          <w:rFonts w:ascii="Arial" w:hAnsi="Arial" w:cs="Arial"/>
        </w:rPr>
      </w:pPr>
      <w:bookmarkStart w:id="23" w:name="_Toc399339656"/>
      <w:bookmarkStart w:id="24" w:name="_Toc409709113"/>
      <w:bookmarkStart w:id="25" w:name="_Toc410224061"/>
      <w:r w:rsidRPr="00B62C96">
        <w:rPr>
          <w:rFonts w:ascii="Arial" w:hAnsi="Arial" w:cs="Arial"/>
        </w:rPr>
        <w:t>Role of the model</w:t>
      </w:r>
      <w:bookmarkEnd w:id="23"/>
      <w:bookmarkEnd w:id="24"/>
      <w:bookmarkEnd w:id="25"/>
    </w:p>
    <w:p w:rsidR="008270B1" w:rsidRPr="00B62C96" w:rsidRDefault="008270B1" w:rsidP="008270B1">
      <w:pPr>
        <w:pStyle w:val="AERbodytext"/>
        <w:numPr>
          <w:ilvl w:val="0"/>
          <w:numId w:val="9"/>
        </w:numPr>
        <w:rPr>
          <w:rFonts w:ascii="Arial" w:hAnsi="Arial" w:cs="Arial"/>
        </w:rPr>
      </w:pPr>
      <w:r w:rsidRPr="00B62C96">
        <w:rPr>
          <w:rFonts w:ascii="Arial" w:hAnsi="Arial" w:cs="Arial"/>
        </w:rPr>
        <w:t>DNSPs are required to submit a completed PTRM to the AER as part of their regulatory proposals. However, the AER recognises that there may be a need for some flexibility in applying the PTRM in order to account for the particular circumstances a DNSP may face. A number of elements of the PTRM where this may be the case have been identified in this handbook. A DNSP will need to propose and justify a departure from any element of the PTRM for the purposes of addressing its specific circumstances as part of its regulatory proposal, which will be considered and assessed by the AER on a case-by-case basis in making its distribution determination.</w:t>
      </w:r>
    </w:p>
    <w:p w:rsidR="008270B1" w:rsidRPr="00B62C96" w:rsidRDefault="008270B1" w:rsidP="008270B1">
      <w:pPr>
        <w:pStyle w:val="AERbodytext"/>
        <w:numPr>
          <w:ilvl w:val="0"/>
          <w:numId w:val="9"/>
        </w:numPr>
        <w:rPr>
          <w:rFonts w:ascii="Arial" w:hAnsi="Arial" w:cs="Arial"/>
        </w:rPr>
      </w:pPr>
      <w:r w:rsidRPr="00B62C96">
        <w:rPr>
          <w:rFonts w:ascii="Arial" w:hAnsi="Arial" w:cs="Arial"/>
        </w:rPr>
        <w:t>The PTRM is used by the AER to determine the DNSP’s annual revenue requirement (ARR) using the building block approach as specified in clause 6.4.3 of the NER. The PTRM’s purpose is to perform calculations of building block revenue requirements to derive X factors that form part of the control mechanisms for direct control services under clause 6.2.6 of the NER. The PTRM has not been developed with respect to alternative direct control services. Where a DNSP intends to propose multiple control mechanisms, it should consult with the AER on how the PTRM will apply.</w:t>
      </w:r>
    </w:p>
    <w:p w:rsidR="008270B1" w:rsidRPr="00B62C96" w:rsidRDefault="008270B1" w:rsidP="00B62C96">
      <w:pPr>
        <w:pStyle w:val="Heading2"/>
        <w:numPr>
          <w:ilvl w:val="2"/>
          <w:numId w:val="10"/>
        </w:numPr>
        <w:rPr>
          <w:rFonts w:ascii="Arial" w:hAnsi="Arial" w:cs="Arial"/>
        </w:rPr>
      </w:pPr>
      <w:bookmarkStart w:id="26" w:name="_Toc399339657"/>
      <w:bookmarkStart w:id="27" w:name="_Toc409709114"/>
      <w:bookmarkStart w:id="28" w:name="_Toc410224062"/>
      <w:r w:rsidRPr="00B62C96">
        <w:rPr>
          <w:rFonts w:ascii="Arial" w:hAnsi="Arial" w:cs="Arial"/>
        </w:rPr>
        <w:t>Confidentiality</w:t>
      </w:r>
      <w:bookmarkEnd w:id="26"/>
      <w:bookmarkEnd w:id="27"/>
      <w:bookmarkEnd w:id="28"/>
    </w:p>
    <w:p w:rsidR="008270B1" w:rsidRPr="00B62C96" w:rsidRDefault="008270B1" w:rsidP="008270B1">
      <w:pPr>
        <w:pStyle w:val="AERbodytext"/>
        <w:numPr>
          <w:ilvl w:val="0"/>
          <w:numId w:val="9"/>
        </w:numPr>
        <w:rPr>
          <w:rFonts w:ascii="Arial" w:hAnsi="Arial" w:cs="Arial"/>
        </w:rPr>
      </w:pPr>
      <w:r w:rsidRPr="00B62C96">
        <w:rPr>
          <w:rFonts w:ascii="Arial" w:hAnsi="Arial" w:cs="Arial"/>
        </w:rPr>
        <w:t xml:space="preserve">The AER’s obligations regarding confidentiality and the disclosure of information provided to it by a DNSP are governed by the </w:t>
      </w:r>
      <w:r w:rsidRPr="00B62C96">
        <w:rPr>
          <w:rStyle w:val="AERtextitalic"/>
          <w:rFonts w:ascii="Arial" w:hAnsi="Arial" w:cs="Arial"/>
        </w:rPr>
        <w:t>Competition and Consumer Act 2010</w:t>
      </w:r>
      <w:r w:rsidRPr="00B62C96">
        <w:rPr>
          <w:rFonts w:ascii="Arial" w:hAnsi="Arial" w:cs="Arial"/>
        </w:rPr>
        <w:t xml:space="preserve"> (</w:t>
      </w:r>
      <w:proofErr w:type="spellStart"/>
      <w:r w:rsidRPr="00B62C96">
        <w:rPr>
          <w:rFonts w:ascii="Arial" w:hAnsi="Arial" w:cs="Arial"/>
        </w:rPr>
        <w:t>Cth</w:t>
      </w:r>
      <w:proofErr w:type="spellEnd"/>
      <w:r w:rsidRPr="00B62C96">
        <w:rPr>
          <w:rFonts w:ascii="Arial" w:hAnsi="Arial" w:cs="Arial"/>
        </w:rPr>
        <w:t>), the National Electricity Law (NEL) and the NER.</w:t>
      </w:r>
    </w:p>
    <w:p w:rsidR="008270B1" w:rsidRPr="00B62C96" w:rsidRDefault="008270B1" w:rsidP="00B62C96">
      <w:pPr>
        <w:pStyle w:val="Heading2"/>
        <w:numPr>
          <w:ilvl w:val="2"/>
          <w:numId w:val="10"/>
        </w:numPr>
        <w:rPr>
          <w:rFonts w:ascii="Arial" w:hAnsi="Arial" w:cs="Arial"/>
        </w:rPr>
      </w:pPr>
      <w:bookmarkStart w:id="29" w:name="_Toc399339658"/>
      <w:bookmarkStart w:id="30" w:name="_Toc409709115"/>
      <w:bookmarkStart w:id="31" w:name="_Toc410224063"/>
      <w:r w:rsidRPr="00B62C96">
        <w:rPr>
          <w:rFonts w:ascii="Arial" w:hAnsi="Arial" w:cs="Arial"/>
        </w:rPr>
        <w:t>Process for revision</w:t>
      </w:r>
      <w:bookmarkEnd w:id="29"/>
      <w:bookmarkEnd w:id="30"/>
      <w:bookmarkEnd w:id="31"/>
    </w:p>
    <w:p w:rsidR="008270B1" w:rsidRPr="00B62C96" w:rsidRDefault="008270B1" w:rsidP="008270B1">
      <w:pPr>
        <w:pStyle w:val="AERbodytext"/>
        <w:numPr>
          <w:ilvl w:val="0"/>
          <w:numId w:val="9"/>
        </w:numPr>
        <w:rPr>
          <w:rFonts w:ascii="Arial" w:hAnsi="Arial" w:cs="Arial"/>
        </w:rPr>
      </w:pPr>
      <w:r w:rsidRPr="00B62C96">
        <w:rPr>
          <w:rFonts w:ascii="Arial" w:hAnsi="Arial" w:cs="Arial"/>
        </w:rPr>
        <w:t>The AER may amend or replace the PTRM from time to time in accordance with clause 6.4.1(b) of the NER and the distribution consultation procedures in clause 6.16 of the NER. The AER will publish a revised version of this handbook to accompany each new version of the PTRM it amends or replaces in the future.</w:t>
      </w:r>
    </w:p>
    <w:p w:rsidR="008270B1" w:rsidRPr="00B62C96" w:rsidRDefault="008270B1" w:rsidP="00B62C96">
      <w:pPr>
        <w:pStyle w:val="Heading2"/>
        <w:numPr>
          <w:ilvl w:val="2"/>
          <w:numId w:val="10"/>
        </w:numPr>
        <w:rPr>
          <w:rFonts w:ascii="Arial" w:hAnsi="Arial" w:cs="Arial"/>
        </w:rPr>
      </w:pPr>
      <w:bookmarkStart w:id="32" w:name="_Toc399339659"/>
      <w:bookmarkStart w:id="33" w:name="_Toc409709116"/>
      <w:bookmarkStart w:id="34" w:name="_Toc410224064"/>
      <w:r w:rsidRPr="00B62C96">
        <w:rPr>
          <w:rFonts w:ascii="Arial" w:hAnsi="Arial" w:cs="Arial"/>
        </w:rPr>
        <w:t>Version history and effective date</w:t>
      </w:r>
      <w:bookmarkEnd w:id="32"/>
      <w:bookmarkEnd w:id="33"/>
      <w:bookmarkEnd w:id="34"/>
    </w:p>
    <w:p w:rsidR="008270B1" w:rsidRPr="00B62C96" w:rsidRDefault="008270B1" w:rsidP="008270B1">
      <w:pPr>
        <w:pStyle w:val="AERbodytext"/>
        <w:numPr>
          <w:ilvl w:val="0"/>
          <w:numId w:val="9"/>
        </w:numPr>
        <w:rPr>
          <w:rFonts w:ascii="Arial" w:hAnsi="Arial" w:cs="Arial"/>
        </w:rPr>
      </w:pPr>
      <w:r w:rsidRPr="00B62C96">
        <w:rPr>
          <w:rFonts w:ascii="Arial" w:hAnsi="Arial" w:cs="Arial"/>
        </w:rPr>
        <w:t>A version number and an effective date of issue will identify each version of this handbook.</w:t>
      </w:r>
    </w:p>
    <w:p w:rsidR="008270B1" w:rsidRPr="00B62C96" w:rsidRDefault="008270B1" w:rsidP="00B62C96">
      <w:pPr>
        <w:pStyle w:val="Heading1"/>
        <w:numPr>
          <w:ilvl w:val="1"/>
          <w:numId w:val="10"/>
        </w:numPr>
        <w:rPr>
          <w:rFonts w:ascii="Arial" w:hAnsi="Arial" w:cs="Arial"/>
        </w:rPr>
      </w:pPr>
      <w:bookmarkStart w:id="35" w:name="_Toc399339660"/>
      <w:bookmarkStart w:id="36" w:name="_Toc409709117"/>
      <w:bookmarkStart w:id="37" w:name="_Toc410224065"/>
      <w:r w:rsidRPr="00B62C96">
        <w:rPr>
          <w:rFonts w:ascii="Arial" w:hAnsi="Arial" w:cs="Arial"/>
        </w:rPr>
        <w:lastRenderedPageBreak/>
        <w:t>The model</w:t>
      </w:r>
      <w:bookmarkEnd w:id="35"/>
      <w:bookmarkEnd w:id="36"/>
      <w:bookmarkEnd w:id="37"/>
    </w:p>
    <w:p w:rsidR="00E326CF" w:rsidRPr="00B62C96" w:rsidRDefault="00E326CF" w:rsidP="00B62C96">
      <w:pPr>
        <w:pStyle w:val="Heading2"/>
        <w:numPr>
          <w:ilvl w:val="2"/>
          <w:numId w:val="10"/>
        </w:numPr>
        <w:rPr>
          <w:rFonts w:ascii="Arial" w:hAnsi="Arial" w:cs="Arial"/>
        </w:rPr>
      </w:pPr>
      <w:bookmarkStart w:id="38" w:name="_Toc409709118"/>
      <w:bookmarkStart w:id="39" w:name="_Toc410224066"/>
      <w:r w:rsidRPr="00B62C96">
        <w:rPr>
          <w:rFonts w:ascii="Arial" w:hAnsi="Arial" w:cs="Arial"/>
        </w:rPr>
        <w:t>Overview of the PTRM</w:t>
      </w:r>
      <w:bookmarkEnd w:id="38"/>
      <w:bookmarkEnd w:id="39"/>
    </w:p>
    <w:p w:rsidR="00472B62" w:rsidRPr="00B62C96" w:rsidRDefault="00683756" w:rsidP="00E326CF">
      <w:pPr>
        <w:pStyle w:val="AERbodytext"/>
        <w:rPr>
          <w:rFonts w:ascii="Arial" w:hAnsi="Arial" w:cs="Arial"/>
        </w:rPr>
      </w:pPr>
      <w:r w:rsidRPr="00B62C96">
        <w:rPr>
          <w:rFonts w:ascii="Arial" w:hAnsi="Arial" w:cs="Arial"/>
        </w:rPr>
        <w:t>The PTRM is used to calculate the allowed revenue for a given regulatory control period. Specifically, the PTRM is a set of Microsoft Excel spreadsheets (combined into one file, often referred to as a singular spreadsheet) that perform iterative calculations to derive the</w:t>
      </w:r>
      <w:r w:rsidR="00030CCA" w:rsidRPr="00B62C96">
        <w:rPr>
          <w:rFonts w:ascii="Arial" w:hAnsi="Arial" w:cs="Arial"/>
        </w:rPr>
        <w:t xml:space="preserve"> </w:t>
      </w:r>
      <w:r w:rsidRPr="00B62C96">
        <w:rPr>
          <w:rFonts w:ascii="Arial" w:hAnsi="Arial" w:cs="Arial"/>
        </w:rPr>
        <w:t>ARR, expected revenue and X factors for each regulatory year of the regulatory control period from a given set of inputs.</w:t>
      </w:r>
      <w:r w:rsidRPr="00B62C96">
        <w:rPr>
          <w:rStyle w:val="FootnoteReference"/>
          <w:rFonts w:ascii="Arial" w:hAnsi="Arial" w:cs="Arial"/>
        </w:rPr>
        <w:footnoteReference w:id="1"/>
      </w:r>
      <w:r w:rsidRPr="00B62C96">
        <w:rPr>
          <w:rFonts w:ascii="Arial" w:hAnsi="Arial" w:cs="Arial"/>
        </w:rPr>
        <w:t xml:space="preserve"> </w:t>
      </w:r>
      <w:r w:rsidR="00FB291A" w:rsidRPr="00B62C96">
        <w:rPr>
          <w:rFonts w:ascii="Arial" w:hAnsi="Arial" w:cs="Arial"/>
        </w:rPr>
        <w:t xml:space="preserve">The PTRM allows the user to enter </w:t>
      </w:r>
      <w:r w:rsidR="00030CCA" w:rsidRPr="00B62C96">
        <w:rPr>
          <w:rFonts w:ascii="Arial" w:hAnsi="Arial" w:cs="Arial"/>
        </w:rPr>
        <w:t xml:space="preserve">these </w:t>
      </w:r>
      <w:r w:rsidR="00FB291A" w:rsidRPr="00B62C96">
        <w:rPr>
          <w:rFonts w:ascii="Arial" w:hAnsi="Arial" w:cs="Arial"/>
        </w:rPr>
        <w:t xml:space="preserve">inputs </w:t>
      </w:r>
      <w:r w:rsidR="00030CCA" w:rsidRPr="00B62C96">
        <w:rPr>
          <w:rFonts w:ascii="Arial" w:hAnsi="Arial" w:cs="Arial"/>
        </w:rPr>
        <w:t xml:space="preserve">and then displays the </w:t>
      </w:r>
      <w:r w:rsidR="00FB291A" w:rsidRPr="00B62C96">
        <w:rPr>
          <w:rFonts w:ascii="Arial" w:hAnsi="Arial" w:cs="Arial"/>
        </w:rPr>
        <w:t xml:space="preserve">outputs. </w:t>
      </w:r>
      <w:r w:rsidR="00FB291A" w:rsidRPr="00B62C96">
        <w:rPr>
          <w:rFonts w:ascii="Arial" w:hAnsi="Arial" w:cs="Arial"/>
        </w:rPr>
        <w:fldChar w:fldCharType="begin"/>
      </w:r>
      <w:r w:rsidR="00FB291A" w:rsidRPr="00B62C96">
        <w:rPr>
          <w:rFonts w:ascii="Arial" w:hAnsi="Arial" w:cs="Arial"/>
        </w:rPr>
        <w:instrText xml:space="preserve"> REF _Ref409709134 \h  \* MERGEFORMAT </w:instrText>
      </w:r>
      <w:r w:rsidR="00FB291A" w:rsidRPr="00B62C96">
        <w:rPr>
          <w:rFonts w:ascii="Arial" w:hAnsi="Arial" w:cs="Arial"/>
        </w:rPr>
      </w:r>
      <w:r w:rsidR="00FB291A" w:rsidRPr="00B62C96">
        <w:rPr>
          <w:rFonts w:ascii="Arial" w:hAnsi="Arial" w:cs="Arial"/>
        </w:rPr>
        <w:fldChar w:fldCharType="separate"/>
      </w:r>
      <w:r w:rsidR="006709B5" w:rsidRPr="00B62C96">
        <w:rPr>
          <w:rFonts w:ascii="Arial" w:hAnsi="Arial" w:cs="Arial"/>
        </w:rPr>
        <w:t xml:space="preserve">Figure </w:t>
      </w:r>
      <w:r w:rsidR="006709B5">
        <w:rPr>
          <w:rFonts w:ascii="Arial" w:hAnsi="Arial" w:cs="Arial"/>
          <w:noProof/>
        </w:rPr>
        <w:t>1</w:t>
      </w:r>
      <w:r w:rsidR="00FB291A" w:rsidRPr="00B62C96">
        <w:rPr>
          <w:rFonts w:ascii="Arial" w:hAnsi="Arial" w:cs="Arial"/>
        </w:rPr>
        <w:fldChar w:fldCharType="end"/>
      </w:r>
      <w:r w:rsidR="00FB291A" w:rsidRPr="00B62C96">
        <w:rPr>
          <w:rFonts w:ascii="Arial" w:hAnsi="Arial" w:cs="Arial"/>
        </w:rPr>
        <w:t xml:space="preserve"> provides an overview of this process.</w:t>
      </w:r>
    </w:p>
    <w:p w:rsidR="00E326CF" w:rsidRPr="00B62C96" w:rsidRDefault="006709B5" w:rsidP="00520443">
      <w:pPr>
        <w:pStyle w:val="Caption"/>
        <w:rPr>
          <w:rFonts w:ascii="Arial" w:hAnsi="Arial" w:cs="Arial"/>
        </w:rPr>
      </w:pPr>
      <w:bookmarkStart w:id="40" w:name="_Ref409709134"/>
      <w:r>
        <w:rPr>
          <w:rFonts w:ascii="Arial" w:hAnsi="Arial" w:cs="Arial"/>
          <w:noProof/>
          <w:lang w:eastAsia="en-AU"/>
        </w:rPr>
        <w:pict>
          <v:group id="_x0000_s1455" style="position:absolute;left:0;text-align:left;margin-left:-1pt;margin-top:17.45pt;width:448.5pt;height:482.1pt;z-index:251698176" coordorigin="1420,4808" coordsize="8970,9642">
            <v:group id="Group 22" o:spid="_x0000_s1397" style="position:absolute;left:1420;top:4808;width:8970;height:9642" coordsize="56971,63431" o:regroupid="1">
              <v:shapetype id="_x0000_t202" coordsize="21600,21600" o:spt="202" path="m,l,21600r21600,l21600,xe">
                <v:stroke joinstyle="miter"/>
                <v:path gradientshapeok="t" o:connecttype="rect"/>
              </v:shapetype>
              <v:shape id="Text Box 23" o:spid="_x0000_s1398" type="#_x0000_t202" style="position:absolute;left:16161;width:21249;height:63431;visibility:visible;mso-wrap-style:square;v-text-anchor:top" filled="f" strokecolor="#d8d8d8 [2732]" strokeweight="1.5pt">
                <v:textbox style="mso-next-textbox:#Text Box 23">
                  <w:txbxContent>
                    <w:p w:rsidR="00B46871" w:rsidRPr="00472B62" w:rsidRDefault="00B46871" w:rsidP="0054619E">
                      <w:pPr>
                        <w:spacing w:before="80"/>
                        <w:jc w:val="center"/>
                        <w:rPr>
                          <w:rFonts w:ascii="Arial" w:hAnsi="Arial" w:cs="Arial"/>
                          <w:b/>
                          <w:color w:val="808080" w:themeColor="background1" w:themeShade="80"/>
                        </w:rPr>
                      </w:pPr>
                      <w:r w:rsidRPr="00472B62">
                        <w:rPr>
                          <w:rFonts w:ascii="Arial" w:hAnsi="Arial" w:cs="Arial"/>
                          <w:b/>
                          <w:color w:val="808080" w:themeColor="background1" w:themeShade="80"/>
                        </w:rPr>
                        <w:t>CALCULATIONS</w:t>
                      </w:r>
                    </w:p>
                  </w:txbxContent>
                </v:textbox>
              </v:shape>
              <v:shape id="Text Box 24" o:spid="_x0000_s1399" type="#_x0000_t202" style="position:absolute;left:37556;width:19415;height:63431;visibility:visible;mso-wrap-style:square;v-text-anchor:top" filled="f" strokecolor="#d8d8d8 [2732]" strokeweight="1.5pt">
                <v:textbox style="mso-next-textbox:#Text Box 24">
                  <w:txbxContent>
                    <w:p w:rsidR="00B46871" w:rsidRPr="00472B62" w:rsidRDefault="00B46871" w:rsidP="0054619E">
                      <w:pPr>
                        <w:spacing w:before="80"/>
                        <w:jc w:val="center"/>
                        <w:rPr>
                          <w:rFonts w:ascii="Arial" w:hAnsi="Arial" w:cs="Arial"/>
                          <w:b/>
                          <w:color w:val="808080" w:themeColor="background1" w:themeShade="80"/>
                        </w:rPr>
                      </w:pPr>
                      <w:r w:rsidRPr="00472B62">
                        <w:rPr>
                          <w:rFonts w:ascii="Arial" w:hAnsi="Arial" w:cs="Arial"/>
                          <w:b/>
                          <w:color w:val="808080" w:themeColor="background1" w:themeShade="80"/>
                        </w:rPr>
                        <w:t>OUTPUTS</w:t>
                      </w:r>
                    </w:p>
                  </w:txbxContent>
                </v:textbox>
              </v:shape>
              <v:shape id="Text Box 25" o:spid="_x0000_s1400" type="#_x0000_t202" style="position:absolute;width:16052;height:63431;visibility:visible;mso-wrap-style:square;v-text-anchor:top" filled="f" strokecolor="#d8d8d8 [2732]" strokeweight="1.5pt">
                <v:textbox style="mso-next-textbox:#Text Box 25">
                  <w:txbxContent>
                    <w:p w:rsidR="00B46871" w:rsidRPr="00472B62" w:rsidRDefault="00B46871" w:rsidP="0054619E">
                      <w:pPr>
                        <w:spacing w:before="80"/>
                        <w:jc w:val="center"/>
                        <w:rPr>
                          <w:rFonts w:ascii="Arial" w:hAnsi="Arial" w:cs="Arial"/>
                          <w:b/>
                          <w:color w:val="808080" w:themeColor="background1" w:themeShade="80"/>
                        </w:rPr>
                      </w:pPr>
                      <w:r w:rsidRPr="00472B62">
                        <w:rPr>
                          <w:rFonts w:ascii="Arial" w:hAnsi="Arial" w:cs="Arial"/>
                          <w:b/>
                          <w:color w:val="808080" w:themeColor="background1" w:themeShade="80"/>
                        </w:rPr>
                        <w:t>INPUTS</w:t>
                      </w:r>
                    </w:p>
                  </w:txbxContent>
                </v:textbox>
              </v:shape>
            </v:group>
            <v:group id="_x0000_s1454" style="position:absolute;left:1639;top:5364;width:8466;height:8999" coordorigin="1639,5364" coordsize="8466,8999">
              <v:group id="Group 31" o:spid="_x0000_s1402" style="position:absolute;left:1639;top:5364;width:2130;height:6962" coordsize="13525,44221" o:regroupid="2">
                <v:shape id="Text Box 32" o:spid="_x0000_s1403" type="#_x0000_t202" style="position:absolute;top:3402;width:13525;height:40819;visibility:visible;mso-wrap-style:square;v-text-anchor:top" fillcolor="white [3201]" strokeweight=".5pt">
                  <v:textbox style="mso-next-textbox:#Text Box 32">
                    <w:txbxContent>
                      <w:p w:rsidR="00B46871" w:rsidRPr="00472B62" w:rsidRDefault="00B46871" w:rsidP="0054619E">
                        <w:pPr>
                          <w:spacing w:before="120" w:after="0" w:line="240" w:lineRule="auto"/>
                          <w:jc w:val="left"/>
                          <w:rPr>
                            <w:rFonts w:ascii="Arial" w:hAnsi="Arial" w:cs="Arial"/>
                            <w:sz w:val="18"/>
                            <w:szCs w:val="18"/>
                          </w:rPr>
                        </w:pPr>
                        <w:r w:rsidRPr="00472B62">
                          <w:rPr>
                            <w:rFonts w:ascii="Arial" w:hAnsi="Arial" w:cs="Arial"/>
                            <w:sz w:val="18"/>
                            <w:szCs w:val="18"/>
                          </w:rPr>
                          <w:t>User enters all data required by the PTRM on this sheet. This includes:</w:t>
                        </w:r>
                      </w:p>
                      <w:p w:rsidR="00B46871" w:rsidRPr="00472B62" w:rsidRDefault="00B46871" w:rsidP="006737A5">
                        <w:pPr>
                          <w:spacing w:before="60" w:after="0" w:line="240" w:lineRule="auto"/>
                          <w:ind w:left="142" w:hanging="142"/>
                          <w:jc w:val="left"/>
                          <w:rPr>
                            <w:rFonts w:ascii="Arial" w:hAnsi="Arial" w:cs="Arial"/>
                            <w:sz w:val="18"/>
                            <w:szCs w:val="18"/>
                          </w:rPr>
                        </w:pPr>
                        <w:r w:rsidRPr="00472B62">
                          <w:rPr>
                            <w:rFonts w:ascii="Arial" w:hAnsi="Arial" w:cs="Arial"/>
                            <w:sz w:val="18"/>
                            <w:szCs w:val="18"/>
                          </w:rPr>
                          <w:t xml:space="preserve">• </w:t>
                        </w:r>
                        <w:r>
                          <w:rPr>
                            <w:rFonts w:ascii="Arial" w:hAnsi="Arial" w:cs="Arial"/>
                            <w:sz w:val="18"/>
                            <w:szCs w:val="18"/>
                          </w:rPr>
                          <w:t xml:space="preserve">Opening </w:t>
                        </w:r>
                        <w:r w:rsidRPr="00472B62">
                          <w:rPr>
                            <w:rFonts w:ascii="Arial" w:hAnsi="Arial" w:cs="Arial"/>
                            <w:sz w:val="18"/>
                            <w:szCs w:val="18"/>
                          </w:rPr>
                          <w:t>RAB values and lives</w:t>
                        </w:r>
                      </w:p>
                      <w:p w:rsidR="00B46871" w:rsidRPr="00472B62" w:rsidRDefault="00B46871" w:rsidP="006737A5">
                        <w:pPr>
                          <w:spacing w:before="60" w:after="0" w:line="240" w:lineRule="auto"/>
                          <w:ind w:left="142" w:hanging="142"/>
                          <w:jc w:val="left"/>
                          <w:rPr>
                            <w:rFonts w:ascii="Arial" w:hAnsi="Arial" w:cs="Arial"/>
                            <w:sz w:val="18"/>
                            <w:szCs w:val="18"/>
                          </w:rPr>
                        </w:pPr>
                        <w:r w:rsidRPr="00472B62">
                          <w:rPr>
                            <w:rFonts w:ascii="Arial" w:hAnsi="Arial" w:cs="Arial"/>
                            <w:sz w:val="18"/>
                            <w:szCs w:val="18"/>
                          </w:rPr>
                          <w:t xml:space="preserve">• </w:t>
                        </w:r>
                        <w:r>
                          <w:rPr>
                            <w:rFonts w:ascii="Arial" w:hAnsi="Arial" w:cs="Arial"/>
                            <w:sz w:val="18"/>
                            <w:szCs w:val="18"/>
                          </w:rPr>
                          <w:t xml:space="preserve">Opening </w:t>
                        </w:r>
                        <w:r w:rsidRPr="00472B62">
                          <w:rPr>
                            <w:rFonts w:ascii="Arial" w:hAnsi="Arial" w:cs="Arial"/>
                            <w:sz w:val="18"/>
                            <w:szCs w:val="18"/>
                          </w:rPr>
                          <w:t>TAB values and lives</w:t>
                        </w:r>
                      </w:p>
                      <w:p w:rsidR="00B46871" w:rsidRPr="00472B62" w:rsidRDefault="00B46871" w:rsidP="006737A5">
                        <w:pPr>
                          <w:spacing w:before="60" w:after="0" w:line="240" w:lineRule="auto"/>
                          <w:ind w:left="142" w:hanging="142"/>
                          <w:jc w:val="left"/>
                          <w:rPr>
                            <w:rFonts w:ascii="Arial" w:hAnsi="Arial" w:cs="Arial"/>
                            <w:sz w:val="18"/>
                            <w:szCs w:val="18"/>
                          </w:rPr>
                        </w:pPr>
                        <w:r w:rsidRPr="00472B62">
                          <w:rPr>
                            <w:rFonts w:ascii="Arial" w:hAnsi="Arial" w:cs="Arial"/>
                            <w:sz w:val="18"/>
                            <w:szCs w:val="18"/>
                          </w:rPr>
                          <w:t xml:space="preserve">• </w:t>
                        </w:r>
                        <w:r>
                          <w:rPr>
                            <w:rFonts w:ascii="Arial" w:hAnsi="Arial" w:cs="Arial"/>
                            <w:sz w:val="18"/>
                            <w:szCs w:val="18"/>
                          </w:rPr>
                          <w:t>Forecast c</w:t>
                        </w:r>
                        <w:r w:rsidRPr="00472B62">
                          <w:rPr>
                            <w:rFonts w:ascii="Arial" w:hAnsi="Arial" w:cs="Arial"/>
                            <w:sz w:val="18"/>
                            <w:szCs w:val="18"/>
                          </w:rPr>
                          <w:t>apex</w:t>
                        </w:r>
                      </w:p>
                      <w:p w:rsidR="00B46871" w:rsidRPr="00472B62" w:rsidRDefault="00B46871" w:rsidP="006737A5">
                        <w:pPr>
                          <w:spacing w:before="60" w:after="0" w:line="240" w:lineRule="auto"/>
                          <w:ind w:left="142" w:hanging="142"/>
                          <w:jc w:val="left"/>
                          <w:rPr>
                            <w:rFonts w:ascii="Arial" w:hAnsi="Arial" w:cs="Arial"/>
                            <w:sz w:val="18"/>
                            <w:szCs w:val="18"/>
                          </w:rPr>
                        </w:pPr>
                        <w:r w:rsidRPr="00472B62">
                          <w:rPr>
                            <w:rFonts w:ascii="Arial" w:hAnsi="Arial" w:cs="Arial"/>
                            <w:sz w:val="18"/>
                            <w:szCs w:val="18"/>
                          </w:rPr>
                          <w:t xml:space="preserve">• </w:t>
                        </w:r>
                        <w:r>
                          <w:rPr>
                            <w:rFonts w:ascii="Arial" w:hAnsi="Arial" w:cs="Arial"/>
                            <w:sz w:val="18"/>
                            <w:szCs w:val="18"/>
                          </w:rPr>
                          <w:t>Forecast c</w:t>
                        </w:r>
                        <w:r w:rsidRPr="00472B62">
                          <w:rPr>
                            <w:rFonts w:ascii="Arial" w:hAnsi="Arial" w:cs="Arial"/>
                            <w:sz w:val="18"/>
                            <w:szCs w:val="18"/>
                          </w:rPr>
                          <w:t>ustomer contributions</w:t>
                        </w:r>
                        <w:r>
                          <w:rPr>
                            <w:rFonts w:ascii="Arial" w:hAnsi="Arial" w:cs="Arial"/>
                            <w:sz w:val="18"/>
                            <w:szCs w:val="18"/>
                          </w:rPr>
                          <w:t xml:space="preserve"> and a</w:t>
                        </w:r>
                        <w:r w:rsidRPr="00472B62">
                          <w:rPr>
                            <w:rFonts w:ascii="Arial" w:hAnsi="Arial" w:cs="Arial"/>
                            <w:sz w:val="18"/>
                            <w:szCs w:val="18"/>
                          </w:rPr>
                          <w:t>sset disposals</w:t>
                        </w:r>
                      </w:p>
                      <w:p w:rsidR="00B46871" w:rsidRPr="00472B62" w:rsidRDefault="00B46871" w:rsidP="006737A5">
                        <w:pPr>
                          <w:spacing w:before="60" w:after="0" w:line="240" w:lineRule="auto"/>
                          <w:ind w:left="142" w:hanging="142"/>
                          <w:jc w:val="left"/>
                          <w:rPr>
                            <w:rFonts w:ascii="Arial" w:hAnsi="Arial" w:cs="Arial"/>
                            <w:sz w:val="18"/>
                            <w:szCs w:val="18"/>
                          </w:rPr>
                        </w:pPr>
                        <w:r w:rsidRPr="00472B62">
                          <w:rPr>
                            <w:rFonts w:ascii="Arial" w:hAnsi="Arial" w:cs="Arial"/>
                            <w:sz w:val="18"/>
                            <w:szCs w:val="18"/>
                          </w:rPr>
                          <w:t xml:space="preserve">• </w:t>
                        </w:r>
                        <w:r>
                          <w:rPr>
                            <w:rFonts w:ascii="Arial" w:hAnsi="Arial" w:cs="Arial"/>
                            <w:sz w:val="18"/>
                            <w:szCs w:val="18"/>
                          </w:rPr>
                          <w:t xml:space="preserve">Forecast </w:t>
                        </w:r>
                        <w:proofErr w:type="spellStart"/>
                        <w:r w:rsidRPr="00472B62">
                          <w:rPr>
                            <w:rFonts w:ascii="Arial" w:hAnsi="Arial" w:cs="Arial"/>
                            <w:sz w:val="18"/>
                            <w:szCs w:val="18"/>
                          </w:rPr>
                          <w:t>Opex</w:t>
                        </w:r>
                        <w:proofErr w:type="spellEnd"/>
                      </w:p>
                      <w:p w:rsidR="00B46871" w:rsidRPr="00472B62" w:rsidRDefault="00B46871" w:rsidP="006737A5">
                        <w:pPr>
                          <w:spacing w:before="60" w:after="0" w:line="240" w:lineRule="auto"/>
                          <w:ind w:left="142" w:hanging="142"/>
                          <w:jc w:val="left"/>
                          <w:rPr>
                            <w:rFonts w:ascii="Arial" w:hAnsi="Arial" w:cs="Arial"/>
                            <w:sz w:val="18"/>
                            <w:szCs w:val="18"/>
                          </w:rPr>
                        </w:pPr>
                        <w:r w:rsidRPr="00472B62">
                          <w:rPr>
                            <w:rFonts w:ascii="Arial" w:hAnsi="Arial" w:cs="Arial"/>
                            <w:sz w:val="18"/>
                            <w:szCs w:val="18"/>
                          </w:rPr>
                          <w:t>• Revenue adjustments</w:t>
                        </w:r>
                      </w:p>
                      <w:p w:rsidR="00B46871" w:rsidRPr="00472B62" w:rsidRDefault="00B46871" w:rsidP="006737A5">
                        <w:pPr>
                          <w:spacing w:before="60" w:after="0" w:line="240" w:lineRule="auto"/>
                          <w:ind w:left="142" w:hanging="142"/>
                          <w:jc w:val="left"/>
                          <w:rPr>
                            <w:rFonts w:ascii="Arial" w:hAnsi="Arial" w:cs="Arial"/>
                            <w:sz w:val="18"/>
                            <w:szCs w:val="18"/>
                          </w:rPr>
                        </w:pPr>
                        <w:r w:rsidRPr="00472B62">
                          <w:rPr>
                            <w:rFonts w:ascii="Arial" w:hAnsi="Arial" w:cs="Arial"/>
                            <w:sz w:val="18"/>
                            <w:szCs w:val="18"/>
                          </w:rPr>
                          <w:t>• Tax rates</w:t>
                        </w:r>
                      </w:p>
                      <w:p w:rsidR="00B46871" w:rsidRPr="00472B62" w:rsidRDefault="00B46871" w:rsidP="006737A5">
                        <w:pPr>
                          <w:spacing w:before="60" w:after="0" w:line="240" w:lineRule="auto"/>
                          <w:ind w:left="142" w:hanging="142"/>
                          <w:jc w:val="left"/>
                          <w:rPr>
                            <w:rFonts w:ascii="Arial" w:hAnsi="Arial" w:cs="Arial"/>
                            <w:sz w:val="18"/>
                            <w:szCs w:val="18"/>
                          </w:rPr>
                        </w:pPr>
                        <w:r w:rsidRPr="00472B62">
                          <w:rPr>
                            <w:rFonts w:ascii="Arial" w:hAnsi="Arial" w:cs="Arial"/>
                            <w:sz w:val="18"/>
                            <w:szCs w:val="18"/>
                          </w:rPr>
                          <w:t>• Return on equity</w:t>
                        </w:r>
                      </w:p>
                      <w:p w:rsidR="00B46871" w:rsidRPr="00472B62" w:rsidRDefault="00B46871" w:rsidP="006737A5">
                        <w:pPr>
                          <w:spacing w:before="60" w:after="0" w:line="240" w:lineRule="auto"/>
                          <w:ind w:left="142" w:hanging="142"/>
                          <w:jc w:val="left"/>
                          <w:rPr>
                            <w:rFonts w:ascii="Arial" w:hAnsi="Arial" w:cs="Arial"/>
                            <w:sz w:val="18"/>
                            <w:szCs w:val="18"/>
                          </w:rPr>
                        </w:pPr>
                        <w:r w:rsidRPr="00472B62">
                          <w:rPr>
                            <w:rFonts w:ascii="Arial" w:hAnsi="Arial" w:cs="Arial"/>
                            <w:sz w:val="18"/>
                            <w:szCs w:val="18"/>
                          </w:rPr>
                          <w:t>• Return on debt (varies year by year)</w:t>
                        </w:r>
                      </w:p>
                      <w:p w:rsidR="00B46871" w:rsidRPr="00472B62" w:rsidRDefault="00B46871" w:rsidP="006737A5">
                        <w:pPr>
                          <w:spacing w:before="60" w:after="0" w:line="240" w:lineRule="auto"/>
                          <w:ind w:left="142" w:hanging="142"/>
                          <w:jc w:val="left"/>
                          <w:rPr>
                            <w:rFonts w:ascii="Arial" w:hAnsi="Arial" w:cs="Arial"/>
                            <w:sz w:val="18"/>
                            <w:szCs w:val="18"/>
                          </w:rPr>
                        </w:pPr>
                        <w:r w:rsidRPr="00472B62">
                          <w:rPr>
                            <w:rFonts w:ascii="Arial" w:hAnsi="Arial" w:cs="Arial"/>
                            <w:sz w:val="18"/>
                            <w:szCs w:val="18"/>
                          </w:rPr>
                          <w:t xml:space="preserve">• </w:t>
                        </w:r>
                        <w:r>
                          <w:rPr>
                            <w:rFonts w:ascii="Arial" w:hAnsi="Arial" w:cs="Arial"/>
                            <w:sz w:val="18"/>
                            <w:szCs w:val="18"/>
                          </w:rPr>
                          <w:t>Forecast i</w:t>
                        </w:r>
                        <w:r w:rsidRPr="00472B62">
                          <w:rPr>
                            <w:rFonts w:ascii="Arial" w:hAnsi="Arial" w:cs="Arial"/>
                            <w:sz w:val="18"/>
                            <w:szCs w:val="18"/>
                          </w:rPr>
                          <w:t>nflation</w:t>
                        </w:r>
                      </w:p>
                      <w:p w:rsidR="00B46871" w:rsidRPr="00472B62" w:rsidRDefault="00B46871" w:rsidP="006737A5">
                        <w:pPr>
                          <w:spacing w:before="60" w:after="0" w:line="240" w:lineRule="auto"/>
                          <w:ind w:left="142" w:hanging="142"/>
                          <w:jc w:val="left"/>
                          <w:rPr>
                            <w:rFonts w:ascii="Arial" w:hAnsi="Arial" w:cs="Arial"/>
                            <w:sz w:val="18"/>
                            <w:szCs w:val="18"/>
                          </w:rPr>
                        </w:pPr>
                        <w:r w:rsidRPr="00472B62">
                          <w:rPr>
                            <w:rFonts w:ascii="Arial" w:hAnsi="Arial" w:cs="Arial"/>
                            <w:sz w:val="18"/>
                            <w:szCs w:val="18"/>
                          </w:rPr>
                          <w:t>• Capital raising costs</w:t>
                        </w:r>
                      </w:p>
                      <w:p w:rsidR="00B46871" w:rsidRPr="00472B62" w:rsidRDefault="00B46871" w:rsidP="006737A5">
                        <w:pPr>
                          <w:spacing w:before="60" w:after="0" w:line="240" w:lineRule="auto"/>
                          <w:ind w:left="142" w:hanging="142"/>
                          <w:jc w:val="left"/>
                          <w:rPr>
                            <w:rFonts w:ascii="Arial" w:hAnsi="Arial" w:cs="Arial"/>
                            <w:sz w:val="18"/>
                            <w:szCs w:val="18"/>
                          </w:rPr>
                        </w:pPr>
                        <w:r w:rsidRPr="00472B62">
                          <w:rPr>
                            <w:rFonts w:ascii="Arial" w:hAnsi="Arial" w:cs="Arial"/>
                            <w:sz w:val="18"/>
                            <w:szCs w:val="18"/>
                          </w:rPr>
                          <w:t>• Forecast demand</w:t>
                        </w:r>
                      </w:p>
                      <w:p w:rsidR="00B46871" w:rsidRPr="00472B62" w:rsidRDefault="00B46871" w:rsidP="006737A5">
                        <w:pPr>
                          <w:spacing w:before="60" w:after="0" w:line="240" w:lineRule="auto"/>
                          <w:ind w:left="142" w:hanging="142"/>
                          <w:jc w:val="left"/>
                          <w:rPr>
                            <w:rFonts w:ascii="Arial" w:hAnsi="Arial" w:cs="Arial"/>
                            <w:sz w:val="18"/>
                            <w:szCs w:val="18"/>
                          </w:rPr>
                        </w:pPr>
                        <w:r w:rsidRPr="00472B62">
                          <w:rPr>
                            <w:rFonts w:ascii="Arial" w:hAnsi="Arial" w:cs="Arial"/>
                            <w:sz w:val="18"/>
                            <w:szCs w:val="18"/>
                          </w:rPr>
                          <w:t>• Current revenue and price</w:t>
                        </w:r>
                      </w:p>
                      <w:p w:rsidR="00B46871" w:rsidRPr="00472B62" w:rsidRDefault="00B46871" w:rsidP="006737A5">
                        <w:pPr>
                          <w:spacing w:before="60" w:after="0" w:line="240" w:lineRule="auto"/>
                          <w:ind w:left="142" w:hanging="142"/>
                          <w:jc w:val="left"/>
                          <w:rPr>
                            <w:rFonts w:ascii="Arial" w:hAnsi="Arial" w:cs="Arial"/>
                            <w:sz w:val="18"/>
                            <w:szCs w:val="18"/>
                          </w:rPr>
                        </w:pPr>
                        <w:r w:rsidRPr="00472B62">
                          <w:rPr>
                            <w:rFonts w:ascii="Arial" w:hAnsi="Arial" w:cs="Arial"/>
                            <w:sz w:val="18"/>
                            <w:szCs w:val="18"/>
                          </w:rPr>
                          <w:t>• Tariff schedule</w:t>
                        </w:r>
                      </w:p>
                    </w:txbxContent>
                  </v:textbox>
                </v:shape>
                <v:shape id="Text Box 33" o:spid="_x0000_s1404" type="#_x0000_t202" style="position:absolute;width:13525;height:3384;visibility:visible;mso-wrap-style:square;v-text-anchor:top" fillcolor="#fc9" strokeweight=".5pt">
                  <v:textbox style="mso-next-textbox:#Text Box 33">
                    <w:txbxContent>
                      <w:p w:rsidR="00B46871" w:rsidRPr="00472B62" w:rsidRDefault="00B46871" w:rsidP="0054619E">
                        <w:pPr>
                          <w:spacing w:before="80"/>
                          <w:rPr>
                            <w:rFonts w:ascii="Arial" w:hAnsi="Arial" w:cs="Arial"/>
                            <w:b/>
                            <w:sz w:val="18"/>
                            <w:szCs w:val="18"/>
                          </w:rPr>
                        </w:pPr>
                        <w:r w:rsidRPr="00472B62">
                          <w:rPr>
                            <w:rFonts w:ascii="Arial" w:hAnsi="Arial" w:cs="Arial"/>
                            <w:b/>
                            <w:sz w:val="18"/>
                            <w:szCs w:val="18"/>
                          </w:rPr>
                          <w:t>PTRM input</w:t>
                        </w:r>
                      </w:p>
                    </w:txbxContent>
                  </v:textbox>
                </v:shape>
              </v:group>
              <v:group id="Group 34" o:spid="_x0000_s1405" style="position:absolute;left:4196;top:5364;width:2869;height:1551" coordsize="13525,9864" o:regroupid="2">
                <v:shape id="Text Box 35" o:spid="_x0000_s1406" type="#_x0000_t202" style="position:absolute;top:3402;width:13525;height:6462;visibility:visible;mso-wrap-style:square;v-text-anchor:top" fillcolor="white [3201]" strokeweight=".5pt">
                  <v:textbox style="mso-next-textbox:#Text Box 35">
                    <w:txbxContent>
                      <w:p w:rsidR="00B46871" w:rsidRPr="00472B62" w:rsidRDefault="00B46871" w:rsidP="0054619E">
                        <w:pPr>
                          <w:spacing w:before="120" w:after="0" w:line="240" w:lineRule="auto"/>
                          <w:jc w:val="left"/>
                          <w:rPr>
                            <w:rFonts w:ascii="Arial" w:hAnsi="Arial" w:cs="Arial"/>
                            <w:sz w:val="18"/>
                            <w:szCs w:val="18"/>
                          </w:rPr>
                        </w:pPr>
                        <w:proofErr w:type="gramStart"/>
                        <w:r w:rsidRPr="00472B62">
                          <w:rPr>
                            <w:rFonts w:ascii="Arial" w:hAnsi="Arial" w:cs="Arial"/>
                            <w:sz w:val="18"/>
                            <w:szCs w:val="18"/>
                          </w:rPr>
                          <w:t>Calculates the weighted average cost of capital for each year of the period.</w:t>
                        </w:r>
                        <w:proofErr w:type="gramEnd"/>
                      </w:p>
                    </w:txbxContent>
                  </v:textbox>
                </v:shape>
                <v:shape id="Text Box 36" o:spid="_x0000_s1407" type="#_x0000_t202" style="position:absolute;width:13525;height:3384;visibility:visible;mso-wrap-style:square;v-text-anchor:top" fillcolor="#fc9" strokeweight=".5pt">
                  <v:textbox style="mso-next-textbox:#Text Box 36">
                    <w:txbxContent>
                      <w:p w:rsidR="00B46871" w:rsidRPr="00472B62" w:rsidRDefault="00B46871" w:rsidP="0054619E">
                        <w:pPr>
                          <w:spacing w:before="80"/>
                          <w:rPr>
                            <w:rFonts w:ascii="Arial" w:hAnsi="Arial" w:cs="Arial"/>
                            <w:b/>
                            <w:sz w:val="18"/>
                            <w:szCs w:val="18"/>
                          </w:rPr>
                        </w:pPr>
                        <w:r w:rsidRPr="00472B62">
                          <w:rPr>
                            <w:rFonts w:ascii="Arial" w:hAnsi="Arial" w:cs="Arial"/>
                            <w:b/>
                            <w:sz w:val="18"/>
                            <w:szCs w:val="18"/>
                          </w:rPr>
                          <w:t>WACC</w:t>
                        </w:r>
                      </w:p>
                    </w:txbxContent>
                  </v:textbox>
                </v:shape>
              </v:group>
              <v:group id="Group 37" o:spid="_x0000_s1408" style="position:absolute;left:4450;top:7207;width:2130;height:2242" coordsize="13525,10846" o:regroupid="2">
                <v:shape id="Text Box 38" o:spid="_x0000_s1409" type="#_x0000_t202" style="position:absolute;top:2578;width:13525;height:8268;visibility:visible;mso-wrap-style:square;v-text-anchor:top" fillcolor="white [3201]" strokeweight=".5pt">
                  <v:textbox style="mso-next-textbox:#Text Box 38">
                    <w:txbxContent>
                      <w:p w:rsidR="00B46871" w:rsidRPr="00472B62" w:rsidRDefault="00B46871" w:rsidP="0054619E">
                        <w:pPr>
                          <w:spacing w:before="120" w:after="0" w:line="240" w:lineRule="auto"/>
                          <w:jc w:val="left"/>
                          <w:rPr>
                            <w:rFonts w:ascii="Arial" w:hAnsi="Arial" w:cs="Arial"/>
                            <w:sz w:val="18"/>
                            <w:szCs w:val="18"/>
                          </w:rPr>
                        </w:pPr>
                        <w:proofErr w:type="gramStart"/>
                        <w:r w:rsidRPr="00472B62">
                          <w:rPr>
                            <w:rFonts w:ascii="Arial" w:hAnsi="Arial" w:cs="Arial"/>
                            <w:sz w:val="18"/>
                            <w:szCs w:val="18"/>
                          </w:rPr>
                          <w:t>Calculates the values of the RAB and TAB across the period, and regulatory depreciation (return of capital) for each year.</w:t>
                        </w:r>
                        <w:proofErr w:type="gramEnd"/>
                      </w:p>
                    </w:txbxContent>
                  </v:textbox>
                </v:shape>
                <v:shape id="Text Box 39" o:spid="_x0000_s1410" type="#_x0000_t202" style="position:absolute;width:13525;height:2578;visibility:visible;mso-wrap-style:square;v-text-anchor:top" fillcolor="#fc9" strokeweight=".5pt">
                  <v:textbox style="mso-next-textbox:#Text Box 39">
                    <w:txbxContent>
                      <w:p w:rsidR="00B46871" w:rsidRPr="00472B62" w:rsidRDefault="00B46871" w:rsidP="0054619E">
                        <w:pPr>
                          <w:spacing w:before="80"/>
                          <w:rPr>
                            <w:rFonts w:ascii="Arial" w:hAnsi="Arial" w:cs="Arial"/>
                            <w:b/>
                            <w:sz w:val="18"/>
                            <w:szCs w:val="18"/>
                          </w:rPr>
                        </w:pPr>
                        <w:r w:rsidRPr="00472B62">
                          <w:rPr>
                            <w:rFonts w:ascii="Arial" w:hAnsi="Arial" w:cs="Arial"/>
                            <w:b/>
                            <w:sz w:val="18"/>
                            <w:szCs w:val="18"/>
                          </w:rPr>
                          <w:t>Assets</w:t>
                        </w:r>
                      </w:p>
                    </w:txbxContent>
                  </v:textbox>
                </v:shape>
              </v:group>
              <v:group id="Group 41" o:spid="_x0000_s1411" style="position:absolute;left:4680;top:9741;width:2384;height:1942" coordsize="13525,12352" o:regroupid="2">
                <v:shape id="Text Box 42" o:spid="_x0000_s1412" type="#_x0000_t202" style="position:absolute;top:3402;width:13525;height:8950;visibility:visible;mso-wrap-style:square;v-text-anchor:top" fillcolor="white [3201]" strokeweight=".5pt">
                  <v:textbox style="mso-next-textbox:#Text Box 42">
                    <w:txbxContent>
                      <w:p w:rsidR="00B46871" w:rsidRPr="00472B62" w:rsidRDefault="00B46871" w:rsidP="0054619E">
                        <w:pPr>
                          <w:spacing w:before="120" w:after="0" w:line="240" w:lineRule="auto"/>
                          <w:jc w:val="left"/>
                          <w:rPr>
                            <w:rFonts w:ascii="Arial" w:hAnsi="Arial" w:cs="Arial"/>
                            <w:sz w:val="18"/>
                            <w:szCs w:val="18"/>
                          </w:rPr>
                        </w:pPr>
                        <w:r w:rsidRPr="00472B62">
                          <w:rPr>
                            <w:rFonts w:ascii="Arial" w:hAnsi="Arial" w:cs="Arial"/>
                            <w:sz w:val="18"/>
                            <w:szCs w:val="18"/>
                          </w:rPr>
                          <w:t xml:space="preserve">Cash flow analysis for each year of the </w:t>
                        </w:r>
                        <w:proofErr w:type="gramStart"/>
                        <w:r w:rsidRPr="00472B62">
                          <w:rPr>
                            <w:rFonts w:ascii="Arial" w:hAnsi="Arial" w:cs="Arial"/>
                            <w:sz w:val="18"/>
                            <w:szCs w:val="18"/>
                          </w:rPr>
                          <w:t>period,</w:t>
                        </w:r>
                        <w:proofErr w:type="gramEnd"/>
                        <w:r w:rsidRPr="00472B62">
                          <w:rPr>
                            <w:rFonts w:ascii="Arial" w:hAnsi="Arial" w:cs="Arial"/>
                            <w:sz w:val="18"/>
                            <w:szCs w:val="18"/>
                          </w:rPr>
                          <w:t xml:space="preserve"> shows all building blocks and calculates tax payable.</w:t>
                        </w:r>
                      </w:p>
                    </w:txbxContent>
                  </v:textbox>
                </v:shape>
                <v:shape id="Text Box 43" o:spid="_x0000_s1413" type="#_x0000_t202" style="position:absolute;width:13525;height:3384;visibility:visible;mso-wrap-style:square;v-text-anchor:top" fillcolor="#fc9" strokeweight=".5pt">
                  <v:textbox style="mso-next-textbox:#Text Box 43">
                    <w:txbxContent>
                      <w:p w:rsidR="00B46871" w:rsidRPr="00472B62" w:rsidRDefault="00B46871" w:rsidP="0054619E">
                        <w:pPr>
                          <w:spacing w:before="80"/>
                          <w:rPr>
                            <w:rFonts w:ascii="Arial" w:hAnsi="Arial" w:cs="Arial"/>
                            <w:b/>
                            <w:sz w:val="18"/>
                            <w:szCs w:val="18"/>
                          </w:rPr>
                        </w:pPr>
                        <w:r w:rsidRPr="00472B62">
                          <w:rPr>
                            <w:rFonts w:ascii="Arial" w:hAnsi="Arial" w:cs="Arial"/>
                            <w:b/>
                            <w:sz w:val="18"/>
                            <w:szCs w:val="18"/>
                          </w:rPr>
                          <w:t>Analysis</w:t>
                        </w:r>
                      </w:p>
                    </w:txbxContent>
                  </v:textbox>
                </v:shape>
              </v:group>
              <v:group id="Group 50" o:spid="_x0000_s1420" style="position:absolute;left:7710;top:7138;width:2391;height:2111" coordsize="13525,13424" o:regroupid="2">
                <v:shape id="Text Box 51" o:spid="_x0000_s1421" type="#_x0000_t202" style="position:absolute;top:3402;width:13525;height:10022;visibility:visible;mso-wrap-style:square;v-text-anchor:top" fillcolor="white [3201]" strokeweight=".5pt">
                  <v:textbox style="mso-next-textbox:#Text Box 51">
                    <w:txbxContent>
                      <w:p w:rsidR="00B46871" w:rsidRPr="00472B62" w:rsidRDefault="00B46871" w:rsidP="0054619E">
                        <w:pPr>
                          <w:spacing w:before="120" w:after="0" w:line="240" w:lineRule="auto"/>
                          <w:jc w:val="left"/>
                          <w:rPr>
                            <w:rFonts w:ascii="Arial" w:hAnsi="Arial" w:cs="Arial"/>
                            <w:sz w:val="18"/>
                            <w:szCs w:val="18"/>
                          </w:rPr>
                        </w:pPr>
                        <w:r w:rsidRPr="00472B62">
                          <w:rPr>
                            <w:rFonts w:ascii="Arial" w:hAnsi="Arial" w:cs="Arial"/>
                            <w:sz w:val="18"/>
                            <w:szCs w:val="18"/>
                          </w:rPr>
                          <w:t>Tables showing building blocks, unsmoothed revenue, smoothed revenue, X factors, demand and indicative price paths.</w:t>
                        </w:r>
                      </w:p>
                    </w:txbxContent>
                  </v:textbox>
                </v:shape>
                <v:shape id="Text Box 52" o:spid="_x0000_s1422" type="#_x0000_t202" style="position:absolute;width:13525;height:3384;visibility:visible;mso-wrap-style:square;v-text-anchor:top" fillcolor="#fc9" strokeweight=".5pt">
                  <v:textbox style="mso-next-textbox:#Text Box 52">
                    <w:txbxContent>
                      <w:p w:rsidR="00B46871" w:rsidRPr="00472B62" w:rsidRDefault="00B46871" w:rsidP="0054619E">
                        <w:pPr>
                          <w:spacing w:before="80"/>
                          <w:rPr>
                            <w:rFonts w:ascii="Arial" w:hAnsi="Arial" w:cs="Arial"/>
                            <w:b/>
                            <w:sz w:val="18"/>
                            <w:szCs w:val="18"/>
                          </w:rPr>
                        </w:pPr>
                        <w:r w:rsidRPr="00472B62">
                          <w:rPr>
                            <w:rFonts w:ascii="Arial" w:hAnsi="Arial" w:cs="Arial"/>
                            <w:b/>
                            <w:sz w:val="18"/>
                            <w:szCs w:val="18"/>
                          </w:rPr>
                          <w:t>Revenue summary</w:t>
                        </w:r>
                      </w:p>
                    </w:txbxContent>
                  </v:textbox>
                </v:shape>
              </v:group>
              <v:group id="Group 53" o:spid="_x0000_s1423" style="position:absolute;left:7975;top:5364;width:2130;height:1542" coordsize="13525,9810" o:regroupid="2">
                <v:shape id="Text Box 54" o:spid="_x0000_s1424" type="#_x0000_t202" style="position:absolute;top:3402;width:13525;height:6408;visibility:visible;mso-wrap-style:square;v-text-anchor:top" fillcolor="white [3201]" strokeweight=".5pt">
                  <v:textbox style="mso-next-textbox:#Text Box 54">
                    <w:txbxContent>
                      <w:p w:rsidR="00B46871" w:rsidRPr="00472B62" w:rsidRDefault="00B46871" w:rsidP="0054619E">
                        <w:pPr>
                          <w:spacing w:before="120" w:after="0" w:line="240" w:lineRule="auto"/>
                          <w:jc w:val="left"/>
                          <w:rPr>
                            <w:rFonts w:ascii="Arial" w:hAnsi="Arial" w:cs="Arial"/>
                            <w:sz w:val="18"/>
                            <w:szCs w:val="18"/>
                          </w:rPr>
                        </w:pPr>
                        <w:proofErr w:type="gramStart"/>
                        <w:r w:rsidRPr="00472B62">
                          <w:rPr>
                            <w:rFonts w:ascii="Arial" w:hAnsi="Arial" w:cs="Arial"/>
                            <w:sz w:val="18"/>
                            <w:szCs w:val="18"/>
                          </w:rPr>
                          <w:t xml:space="preserve">Graphs of key data </w:t>
                        </w:r>
                        <w:r>
                          <w:rPr>
                            <w:rFonts w:ascii="Arial" w:hAnsi="Arial" w:cs="Arial"/>
                            <w:sz w:val="18"/>
                            <w:szCs w:val="18"/>
                          </w:rPr>
                          <w:t>including revenue and price path</w:t>
                        </w:r>
                        <w:r w:rsidRPr="00472B62">
                          <w:rPr>
                            <w:rFonts w:ascii="Arial" w:hAnsi="Arial" w:cs="Arial"/>
                            <w:sz w:val="18"/>
                            <w:szCs w:val="18"/>
                          </w:rPr>
                          <w:t>.</w:t>
                        </w:r>
                        <w:proofErr w:type="gramEnd"/>
                      </w:p>
                    </w:txbxContent>
                  </v:textbox>
                </v:shape>
                <v:shape id="Text Box 55" o:spid="_x0000_s1425" type="#_x0000_t202" style="position:absolute;width:13525;height:3384;visibility:visible;mso-wrap-style:square;v-text-anchor:top" fillcolor="#fc9" strokeweight=".5pt">
                  <v:textbox style="mso-next-textbox:#Text Box 55">
                    <w:txbxContent>
                      <w:p w:rsidR="00B46871" w:rsidRPr="00472B62" w:rsidRDefault="00B46871" w:rsidP="0054619E">
                        <w:pPr>
                          <w:spacing w:before="80"/>
                          <w:rPr>
                            <w:rFonts w:ascii="Arial" w:hAnsi="Arial" w:cs="Arial"/>
                            <w:b/>
                            <w:sz w:val="18"/>
                            <w:szCs w:val="18"/>
                          </w:rPr>
                        </w:pPr>
                        <w:r w:rsidRPr="00472B62">
                          <w:rPr>
                            <w:rFonts w:ascii="Arial" w:hAnsi="Arial" w:cs="Arial"/>
                            <w:b/>
                            <w:sz w:val="18"/>
                            <w:szCs w:val="18"/>
                          </w:rPr>
                          <w:t>Graphs</w:t>
                        </w:r>
                      </w:p>
                    </w:txbxContent>
                  </v:textbox>
                </v:shape>
              </v:group>
              <v:group id="Group 56" o:spid="_x0000_s1426" style="position:absolute;left:4438;top:11965;width:2629;height:1650" coordsize="13525,10503" o:regroupid="2">
                <v:shape id="Text Box 57" o:spid="_x0000_s1427" type="#_x0000_t202" style="position:absolute;top:3402;width:13525;height:7101;visibility:visible;mso-wrap-style:square;v-text-anchor:top" fillcolor="white [3201]" strokeweight=".5pt">
                  <v:textbox style="mso-next-textbox:#Text Box 57">
                    <w:txbxContent>
                      <w:p w:rsidR="00B46871" w:rsidRPr="00472B62" w:rsidRDefault="00B46871" w:rsidP="0054619E">
                        <w:pPr>
                          <w:spacing w:before="120" w:after="0" w:line="240" w:lineRule="auto"/>
                          <w:jc w:val="left"/>
                          <w:rPr>
                            <w:rFonts w:ascii="Arial" w:hAnsi="Arial" w:cs="Arial"/>
                            <w:sz w:val="18"/>
                            <w:szCs w:val="18"/>
                          </w:rPr>
                        </w:pPr>
                        <w:proofErr w:type="gramStart"/>
                        <w:r w:rsidRPr="00472B62">
                          <w:rPr>
                            <w:rFonts w:ascii="Arial" w:hAnsi="Arial" w:cs="Arial"/>
                            <w:sz w:val="18"/>
                            <w:szCs w:val="18"/>
                          </w:rPr>
                          <w:t>Calculates benchmark equity raising costs, from building blocks and smoothed revenue.</w:t>
                        </w:r>
                        <w:proofErr w:type="gramEnd"/>
                      </w:p>
                    </w:txbxContent>
                  </v:textbox>
                </v:shape>
                <v:shape id="Text Box 58" o:spid="_x0000_s1428" type="#_x0000_t202" style="position:absolute;width:13525;height:3384;visibility:visible;mso-wrap-style:square;v-text-anchor:top" fillcolor="#fc9" strokeweight=".5pt">
                  <v:textbox style="mso-next-textbox:#Text Box 58">
                    <w:txbxContent>
                      <w:p w:rsidR="00B46871" w:rsidRPr="00472B62" w:rsidRDefault="00B46871" w:rsidP="0054619E">
                        <w:pPr>
                          <w:spacing w:before="80"/>
                          <w:rPr>
                            <w:rFonts w:ascii="Arial" w:hAnsi="Arial" w:cs="Arial"/>
                            <w:b/>
                            <w:sz w:val="18"/>
                            <w:szCs w:val="18"/>
                          </w:rPr>
                        </w:pPr>
                        <w:r w:rsidRPr="00472B62">
                          <w:rPr>
                            <w:rFonts w:ascii="Arial" w:hAnsi="Arial" w:cs="Arial"/>
                            <w:b/>
                            <w:sz w:val="18"/>
                            <w:szCs w:val="18"/>
                          </w:rPr>
                          <w:t>Equity raising costs</w:t>
                        </w:r>
                      </w:p>
                    </w:txbxContent>
                  </v:textbox>
                </v:shape>
              </v:group>
              <v:group id="Group 59" o:spid="_x0000_s1429" style="position:absolute;left:1639;top:12656;width:2130;height:1707" coordsize="13525,10846" o:regroupid="2">
                <v:shape id="Text Box 60" o:spid="_x0000_s1430" type="#_x0000_t202" style="position:absolute;top:3402;width:13525;height:7444;visibility:visible;mso-wrap-style:square;v-text-anchor:top" fillcolor="white [3201]" strokeweight=".5pt">
                  <v:textbox style="mso-next-textbox:#Text Box 60">
                    <w:txbxContent>
                      <w:p w:rsidR="00B46871" w:rsidRPr="00472B62" w:rsidRDefault="00B46871" w:rsidP="0054619E">
                        <w:pPr>
                          <w:spacing w:before="120" w:after="0" w:line="240" w:lineRule="auto"/>
                          <w:jc w:val="left"/>
                          <w:rPr>
                            <w:rFonts w:ascii="Arial" w:hAnsi="Arial" w:cs="Arial"/>
                            <w:sz w:val="18"/>
                            <w:szCs w:val="18"/>
                          </w:rPr>
                        </w:pPr>
                        <w:proofErr w:type="gramStart"/>
                        <w:r w:rsidRPr="00472B62">
                          <w:rPr>
                            <w:rFonts w:ascii="Arial" w:hAnsi="Arial" w:cs="Arial"/>
                            <w:sz w:val="18"/>
                            <w:szCs w:val="18"/>
                          </w:rPr>
                          <w:t>Metadata that controls the automatic import of the PTRM into the AER system.</w:t>
                        </w:r>
                        <w:proofErr w:type="gramEnd"/>
                      </w:p>
                    </w:txbxContent>
                  </v:textbox>
                </v:shape>
                <v:shape id="Text Box 61" o:spid="_x0000_s1431" type="#_x0000_t202" style="position:absolute;width:13525;height:3384;visibility:visible;mso-wrap-style:square;v-text-anchor:top" fillcolor="#fc9" strokeweight=".5pt">
                  <v:textbox style="mso-next-textbox:#Text Box 61">
                    <w:txbxContent>
                      <w:p w:rsidR="00B46871" w:rsidRPr="00472B62" w:rsidRDefault="00B46871" w:rsidP="0054619E">
                        <w:pPr>
                          <w:spacing w:before="80"/>
                          <w:rPr>
                            <w:rFonts w:ascii="Arial" w:hAnsi="Arial" w:cs="Arial"/>
                            <w:b/>
                            <w:sz w:val="18"/>
                            <w:szCs w:val="18"/>
                          </w:rPr>
                        </w:pPr>
                        <w:r w:rsidRPr="00472B62">
                          <w:rPr>
                            <w:rFonts w:ascii="Arial" w:hAnsi="Arial" w:cs="Arial"/>
                            <w:b/>
                            <w:sz w:val="18"/>
                            <w:szCs w:val="18"/>
                          </w:rPr>
                          <w:t>DMS input</w:t>
                        </w:r>
                      </w:p>
                    </w:txbxContent>
                  </v:textbox>
                </v:shape>
              </v:group>
              <v:group id="_x0000_s1451" style="position:absolute;left:7503;top:9488;width:2154;height:2725" coordorigin="7503,9488" coordsize="2154,2725">
                <v:shape id="Text Box 48" o:spid="_x0000_s1418" type="#_x0000_t202" style="position:absolute;left:7503;top:10023;width:2154;height:2190;visibility:visible;mso-wrap-style:square;v-text-anchor:top" o:regroupid="3" fillcolor="white [3201]" strokeweight=".5pt">
                  <v:textbox style="mso-next-textbox:#Text Box 48">
                    <w:txbxContent>
                      <w:p w:rsidR="00B46871" w:rsidRPr="00472B62" w:rsidRDefault="00B46871" w:rsidP="0054619E">
                        <w:pPr>
                          <w:spacing w:before="120" w:after="0" w:line="240" w:lineRule="auto"/>
                          <w:jc w:val="left"/>
                          <w:rPr>
                            <w:rFonts w:ascii="Arial" w:hAnsi="Arial" w:cs="Arial"/>
                            <w:sz w:val="18"/>
                            <w:szCs w:val="18"/>
                          </w:rPr>
                        </w:pPr>
                        <w:r w:rsidRPr="00472B62">
                          <w:rPr>
                            <w:rFonts w:ascii="Arial" w:hAnsi="Arial" w:cs="Arial"/>
                            <w:sz w:val="18"/>
                            <w:szCs w:val="18"/>
                          </w:rPr>
                          <w:t>Converts unsmoothed revenue</w:t>
                        </w:r>
                        <w:r>
                          <w:rPr>
                            <w:rFonts w:ascii="Arial" w:hAnsi="Arial" w:cs="Arial"/>
                            <w:sz w:val="18"/>
                            <w:szCs w:val="18"/>
                          </w:rPr>
                          <w:t>s</w:t>
                        </w:r>
                        <w:r w:rsidRPr="00472B62">
                          <w:rPr>
                            <w:rFonts w:ascii="Arial" w:hAnsi="Arial" w:cs="Arial"/>
                            <w:sz w:val="18"/>
                            <w:szCs w:val="18"/>
                          </w:rPr>
                          <w:t xml:space="preserve"> to smoothed</w:t>
                        </w:r>
                        <w:r>
                          <w:rPr>
                            <w:rFonts w:ascii="Arial" w:hAnsi="Arial" w:cs="Arial"/>
                            <w:sz w:val="18"/>
                            <w:szCs w:val="18"/>
                          </w:rPr>
                          <w:t xml:space="preserve"> </w:t>
                        </w:r>
                        <w:r w:rsidRPr="00472B62">
                          <w:rPr>
                            <w:rFonts w:ascii="Arial" w:hAnsi="Arial" w:cs="Arial"/>
                            <w:sz w:val="18"/>
                            <w:szCs w:val="18"/>
                          </w:rPr>
                          <w:t>revenue</w:t>
                        </w:r>
                        <w:r>
                          <w:rPr>
                            <w:rFonts w:ascii="Arial" w:hAnsi="Arial" w:cs="Arial"/>
                            <w:sz w:val="18"/>
                            <w:szCs w:val="18"/>
                          </w:rPr>
                          <w:t>s</w:t>
                        </w:r>
                        <w:r w:rsidRPr="00472B62">
                          <w:rPr>
                            <w:rFonts w:ascii="Arial" w:hAnsi="Arial" w:cs="Arial"/>
                            <w:sz w:val="18"/>
                            <w:szCs w:val="18"/>
                          </w:rPr>
                          <w:t xml:space="preserve">, using the relevant form of control. User </w:t>
                        </w:r>
                        <w:r>
                          <w:rPr>
                            <w:rFonts w:ascii="Arial" w:hAnsi="Arial" w:cs="Arial"/>
                            <w:sz w:val="18"/>
                            <w:szCs w:val="18"/>
                          </w:rPr>
                          <w:t>sets</w:t>
                        </w:r>
                        <w:r w:rsidRPr="00472B62">
                          <w:rPr>
                            <w:rFonts w:ascii="Arial" w:hAnsi="Arial" w:cs="Arial"/>
                            <w:sz w:val="18"/>
                            <w:szCs w:val="18"/>
                          </w:rPr>
                          <w:t xml:space="preserve"> the </w:t>
                        </w:r>
                        <w:r>
                          <w:rPr>
                            <w:rFonts w:ascii="Arial" w:hAnsi="Arial" w:cs="Arial"/>
                            <w:sz w:val="18"/>
                            <w:szCs w:val="18"/>
                          </w:rPr>
                          <w:t>profile</w:t>
                        </w:r>
                        <w:r w:rsidRPr="00472B62">
                          <w:rPr>
                            <w:rFonts w:ascii="Arial" w:hAnsi="Arial" w:cs="Arial"/>
                            <w:sz w:val="18"/>
                            <w:szCs w:val="18"/>
                          </w:rPr>
                          <w:t xml:space="preserve"> of the X factors via an iterative smoothing process.</w:t>
                        </w:r>
                      </w:p>
                    </w:txbxContent>
                  </v:textbox>
                </v:shape>
                <v:shape id="Text Box 49" o:spid="_x0000_s1419" type="#_x0000_t202" style="position:absolute;left:7503;top:9488;width:2154;height:532;visibility:visible;mso-wrap-style:square;v-text-anchor:top" o:regroupid="3" fillcolor="#fc9" strokeweight=".5pt">
                  <v:textbox style="mso-next-textbox:#Text Box 49">
                    <w:txbxContent>
                      <w:p w:rsidR="00B46871" w:rsidRPr="00472B62" w:rsidRDefault="00B46871" w:rsidP="0054619E">
                        <w:pPr>
                          <w:spacing w:before="80"/>
                          <w:rPr>
                            <w:rFonts w:ascii="Arial" w:hAnsi="Arial" w:cs="Arial"/>
                            <w:b/>
                            <w:sz w:val="18"/>
                            <w:szCs w:val="18"/>
                          </w:rPr>
                        </w:pPr>
                        <w:r w:rsidRPr="00472B62">
                          <w:rPr>
                            <w:rFonts w:ascii="Arial" w:hAnsi="Arial" w:cs="Arial"/>
                            <w:b/>
                            <w:sz w:val="18"/>
                            <w:szCs w:val="18"/>
                          </w:rPr>
                          <w:t>X factors</w:t>
                        </w:r>
                      </w:p>
                    </w:txbxContent>
                  </v:textbox>
                </v:shape>
              </v:group>
              <v:group id="_x0000_s1452" style="position:absolute;left:7664;top:12474;width:2441;height:1889" coordorigin="7664,12474" coordsize="2441,1889">
                <v:shape id="Text Box 45" o:spid="_x0000_s1415" type="#_x0000_t202" style="position:absolute;left:7664;top:13008;width:2441;height:1355;visibility:visible;mso-wrap-style:square;v-text-anchor:top" o:regroupid="5" fillcolor="white [3201]" strokeweight=".5pt">
                  <v:textbox style="mso-next-textbox:#Text Box 45">
                    <w:txbxContent>
                      <w:p w:rsidR="00B46871" w:rsidRPr="00472B62" w:rsidRDefault="00B46871" w:rsidP="0054619E">
                        <w:pPr>
                          <w:spacing w:before="120" w:after="0" w:line="240" w:lineRule="auto"/>
                          <w:jc w:val="left"/>
                          <w:rPr>
                            <w:rFonts w:ascii="Arial" w:hAnsi="Arial" w:cs="Arial"/>
                            <w:sz w:val="18"/>
                            <w:szCs w:val="18"/>
                          </w:rPr>
                        </w:pPr>
                        <w:r w:rsidRPr="00472B62">
                          <w:rPr>
                            <w:rFonts w:ascii="Arial" w:hAnsi="Arial" w:cs="Arial"/>
                            <w:sz w:val="18"/>
                            <w:szCs w:val="18"/>
                          </w:rPr>
                          <w:t xml:space="preserve">Under a weighted average price cap, calculates </w:t>
                        </w:r>
                        <w:r>
                          <w:rPr>
                            <w:rFonts w:ascii="Arial" w:hAnsi="Arial" w:cs="Arial"/>
                            <w:sz w:val="18"/>
                            <w:szCs w:val="18"/>
                          </w:rPr>
                          <w:t>smoothed</w:t>
                        </w:r>
                        <w:r w:rsidRPr="00472B62">
                          <w:rPr>
                            <w:rFonts w:ascii="Arial" w:hAnsi="Arial" w:cs="Arial"/>
                            <w:sz w:val="18"/>
                            <w:szCs w:val="18"/>
                          </w:rPr>
                          <w:t xml:space="preserve"> revenue</w:t>
                        </w:r>
                        <w:r>
                          <w:rPr>
                            <w:rFonts w:ascii="Arial" w:hAnsi="Arial" w:cs="Arial"/>
                            <w:sz w:val="18"/>
                            <w:szCs w:val="18"/>
                          </w:rPr>
                          <w:t>s</w:t>
                        </w:r>
                        <w:r w:rsidRPr="00472B62">
                          <w:rPr>
                            <w:rFonts w:ascii="Arial" w:hAnsi="Arial" w:cs="Arial"/>
                            <w:sz w:val="18"/>
                            <w:szCs w:val="18"/>
                          </w:rPr>
                          <w:t xml:space="preserve"> from tariff schedule and X</w:t>
                        </w:r>
                        <w:r>
                          <w:rPr>
                            <w:rFonts w:ascii="Arial" w:hAnsi="Arial" w:cs="Arial"/>
                            <w:sz w:val="18"/>
                            <w:szCs w:val="18"/>
                          </w:rPr>
                          <w:t> </w:t>
                        </w:r>
                        <w:r w:rsidRPr="00472B62">
                          <w:rPr>
                            <w:rFonts w:ascii="Arial" w:hAnsi="Arial" w:cs="Arial"/>
                            <w:sz w:val="18"/>
                            <w:szCs w:val="18"/>
                          </w:rPr>
                          <w:t>factors.</w:t>
                        </w:r>
                      </w:p>
                    </w:txbxContent>
                  </v:textbox>
                </v:shape>
                <v:shape id="Text Box 46" o:spid="_x0000_s1416" type="#_x0000_t202" style="position:absolute;left:7664;top:12474;width:2441;height:531;visibility:visible;mso-wrap-style:square;v-text-anchor:top" o:regroupid="5" fillcolor="#fc9" strokeweight=".5pt">
                  <v:textbox style="mso-next-textbox:#Text Box 46">
                    <w:txbxContent>
                      <w:p w:rsidR="00B46871" w:rsidRPr="00472B62" w:rsidRDefault="00B46871" w:rsidP="0054619E">
                        <w:pPr>
                          <w:spacing w:before="80"/>
                          <w:rPr>
                            <w:rFonts w:ascii="Arial" w:hAnsi="Arial" w:cs="Arial"/>
                            <w:b/>
                            <w:sz w:val="18"/>
                            <w:szCs w:val="18"/>
                          </w:rPr>
                        </w:pPr>
                        <w:r w:rsidRPr="00472B62">
                          <w:rPr>
                            <w:rFonts w:ascii="Arial" w:hAnsi="Arial" w:cs="Arial"/>
                            <w:b/>
                            <w:sz w:val="18"/>
                            <w:szCs w:val="18"/>
                          </w:rPr>
                          <w:t>Forecast revenues</w:t>
                        </w:r>
                      </w:p>
                    </w:txbxContent>
                  </v:textbox>
                </v:shape>
              </v:group>
            </v:group>
            <v:group id="_x0000_s1453" style="position:absolute;left:3747;top:6228;width:4858;height:6284" coordorigin="3747,6228" coordsize="4858,6284">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3" o:spid="_x0000_s1433" type="#_x0000_t13" style="position:absolute;left:3747;top:6228;width:476;height:179;visibility:visible;mso-wrap-style:square;v-text-anchor:middle" o:regroupid="4" adj="17535" fillcolor="#bfbfbf [2412]" strokecolor="#a5a5a5 [2092]" strokeweight="2pt"/>
              <v:shape id="Right Arrow 64" o:spid="_x0000_s1434" type="#_x0000_t13" style="position:absolute;left:3747;top:8394;width:709;height:179;visibility:visible;mso-wrap-style:square;v-text-anchor:middle" o:regroupid="4" adj="18873" fillcolor="#bfbfbf [2412]" strokecolor="#a5a5a5 [2092]" strokeweight="2pt"/>
              <v:shape id="Right Arrow 65" o:spid="_x0000_s1435" type="#_x0000_t13" style="position:absolute;left:4646;top:6988;width:340;height:179;rotation:90;visibility:visible;mso-wrap-style:square;v-text-anchor:middle" o:regroupid="4" adj="15915" fillcolor="#bfbfbf [2412]" strokecolor="#a5a5a5 [2092]" strokeweight="2pt"/>
              <v:shape id="Right Arrow 66" o:spid="_x0000_s1436" type="#_x0000_t13" style="position:absolute;left:3758;top:10732;width:947;height:179;visibility:visible;mso-wrap-style:square;v-text-anchor:middle" o:regroupid="4" adj="19559" fillcolor="#bfbfbf [2412]" strokecolor="#a5a5a5 [2092]" strokeweight="2pt"/>
              <v:shape id="Right Arrow 67" o:spid="_x0000_s1437" type="#_x0000_t13" style="position:absolute;left:4922;top:9500;width:317;height:182;rotation:90;visibility:visible;mso-wrap-style:square;v-text-anchor:middle" o:regroupid="4" adj="15426" fillcolor="#bfbfbf [2412]" strokecolor="#a5a5a5 [2092]" strokeweight="2pt"/>
              <v:shape id="Right Arrow 68" o:spid="_x0000_s1438" type="#_x0000_t13" style="position:absolute;left:5464;top:11723;width:311;height:179;rotation:90;flip:y;visibility:visible;mso-wrap-style:square;v-text-anchor:middle" o:regroupid="4" adj="15398" fillcolor="#bfbfbf [2412]" strokecolor="#a5a5a5 [2092]" strokeweight="2pt"/>
              <v:shape id="Right Arrow 69" o:spid="_x0000_s1439" type="#_x0000_t13" style="position:absolute;left:8207;top:6930;width:260;height:179;rotation:90;flip:y;visibility:visible;mso-wrap-style:square;v-text-anchor:middle" o:regroupid="4" adj="14187" fillcolor="#bfbfbf [2412]" strokecolor="#a5a5a5 [2092]" strokeweight="2pt"/>
              <v:shape id="Right Arrow 71" o:spid="_x0000_s1441" type="#_x0000_t13" style="position:absolute;left:7883;top:9269;width:283;height:179;rotation:90;flip:y;visibility:visible;mso-wrap-style:square;v-text-anchor:middle" o:regroupid="4" adj="14780" fillcolor="#bfbfbf [2412]" strokecolor="#a5a5a5 [2092]" strokeweight="2pt"/>
              <v:shape id="Right Arrow 72" o:spid="_x0000_s1442" type="#_x0000_t13" style="position:absolute;left:7065;top:12034;width:442;height:179;rotation:180;visibility:visible;mso-wrap-style:square;v-text-anchor:middle" o:regroupid="4" adj="17229" fillcolor="#bfbfbf [2412]" strokecolor="#a5a5a5 [2092]" strokeweight="2pt"/>
              <v:shape id="Right Arrow 73" o:spid="_x0000_s1443" type="#_x0000_t13" style="position:absolute;left:5107;top:11734;width:312;height:179;rotation:90;visibility:visible;mso-wrap-style:square;v-text-anchor:middle" o:regroupid="4" adj="15398" fillcolor="#bfbfbf [2412]" strokecolor="#a5a5a5 [2092]" strokeweight="2pt"/>
              <v:shape id="Right Arrow 75" o:spid="_x0000_s1445" type="#_x0000_t13" style="position:absolute;left:3758;top:12034;width:702;height:179;visibility:visible;mso-wrap-style:square;v-text-anchor:middle" o:regroupid="4" adj="18843" fillcolor="#bfbfbf [2412]" strokecolor="#a5a5a5 [2092]" strokeweight="2pt"/>
              <v:shape id="Right Arrow 76" o:spid="_x0000_s1446" type="#_x0000_t13" style="position:absolute;left:7065;top:10375;width:441;height:179;visibility:visible;mso-wrap-style:square;v-text-anchor:middle" o:regroupid="4" adj="17218" fillcolor="#bfbfbf [2412]" strokecolor="#a5a5a5 [2092]" strokeweight="2pt"/>
              <v:shape id="Right Arrow 77" o:spid="_x0000_s1447" type="#_x0000_t13" style="position:absolute;left:5418;top:8221;width:2851;height:179;rotation:-90;flip:y;visibility:visible;mso-wrap-style:square;v-text-anchor:middle" o:regroupid="4" adj="20922" fillcolor="#bfbfbf [2412]" strokecolor="#a5a5a5 [2092]" strokeweight="2pt"/>
              <v:shape id="Right Arrow 70" o:spid="_x0000_s1450" type="#_x0000_t13" style="position:absolute;left:8360;top:12256;width:312;height:179;rotation:90;flip:y;visibility:visible;mso-wrap-style:square;v-text-anchor:middle" adj="15398" fillcolor="#bfbfbf [2412]" strokecolor="#a5a5a5 [2092]" strokeweight="2pt"/>
              <v:shape id="Right Arrow 70" o:spid="_x0000_s1440" type="#_x0000_t13" style="position:absolute;left:8010;top:12266;width:312;height:179;rotation:90;visibility:visible;mso-wrap-style:square;v-text-anchor:middle" o:regroupid="4" adj="15398" fillcolor="#bfbfbf [2412]" strokecolor="#a5a5a5 [2092]" strokeweight="2pt"/>
            </v:group>
          </v:group>
        </w:pict>
      </w:r>
      <w:r w:rsidR="00520443" w:rsidRPr="00B62C96">
        <w:rPr>
          <w:rFonts w:ascii="Arial" w:hAnsi="Arial" w:cs="Arial"/>
        </w:rPr>
        <w:t xml:space="preserve">Figure </w:t>
      </w:r>
      <w:r w:rsidR="00520443" w:rsidRPr="00B62C96">
        <w:rPr>
          <w:rFonts w:ascii="Arial" w:hAnsi="Arial" w:cs="Arial"/>
        </w:rPr>
        <w:fldChar w:fldCharType="begin"/>
      </w:r>
      <w:r w:rsidR="00520443" w:rsidRPr="00B62C96">
        <w:rPr>
          <w:rFonts w:ascii="Arial" w:hAnsi="Arial" w:cs="Arial"/>
        </w:rPr>
        <w:instrText xml:space="preserve"> SEQ Figure \* ARABIC </w:instrText>
      </w:r>
      <w:r w:rsidR="00520443" w:rsidRPr="00B62C96">
        <w:rPr>
          <w:rFonts w:ascii="Arial" w:hAnsi="Arial" w:cs="Arial"/>
        </w:rPr>
        <w:fldChar w:fldCharType="separate"/>
      </w:r>
      <w:r>
        <w:rPr>
          <w:rFonts w:ascii="Arial" w:hAnsi="Arial" w:cs="Arial"/>
          <w:noProof/>
        </w:rPr>
        <w:t>1</w:t>
      </w:r>
      <w:r w:rsidR="00520443" w:rsidRPr="00B62C96">
        <w:rPr>
          <w:rFonts w:ascii="Arial" w:hAnsi="Arial" w:cs="Arial"/>
        </w:rPr>
        <w:fldChar w:fldCharType="end"/>
      </w:r>
      <w:bookmarkEnd w:id="40"/>
      <w:r w:rsidR="00520443" w:rsidRPr="00B62C96">
        <w:rPr>
          <w:rFonts w:ascii="Arial" w:hAnsi="Arial" w:cs="Arial"/>
        </w:rPr>
        <w:tab/>
      </w:r>
      <w:r w:rsidR="008D15CA" w:rsidRPr="00B62C96">
        <w:rPr>
          <w:rFonts w:ascii="Arial" w:hAnsi="Arial" w:cs="Arial"/>
        </w:rPr>
        <w:t>O</w:t>
      </w:r>
      <w:r w:rsidR="00E326CF" w:rsidRPr="00B62C96">
        <w:rPr>
          <w:rFonts w:ascii="Arial" w:hAnsi="Arial" w:cs="Arial"/>
        </w:rPr>
        <w:t>verview of the PTRM spreadsheets</w:t>
      </w:r>
    </w:p>
    <w:p w:rsidR="0054619E" w:rsidRPr="00B62C96" w:rsidRDefault="0054619E">
      <w:pPr>
        <w:spacing w:after="0" w:line="240" w:lineRule="auto"/>
        <w:jc w:val="left"/>
        <w:rPr>
          <w:rStyle w:val="AERtexthighlight"/>
          <w:rFonts w:ascii="Arial" w:eastAsia="Times New Roman" w:hAnsi="Arial" w:cs="Arial"/>
          <w:szCs w:val="24"/>
          <w:shd w:val="clear" w:color="auto" w:fill="auto"/>
        </w:rPr>
      </w:pPr>
      <w:r w:rsidRPr="00B62C96">
        <w:rPr>
          <w:rStyle w:val="AERtexthighlight"/>
          <w:rFonts w:ascii="Arial" w:hAnsi="Arial" w:cs="Arial"/>
          <w:shd w:val="clear" w:color="auto" w:fill="auto"/>
        </w:rPr>
        <w:br w:type="page"/>
      </w:r>
    </w:p>
    <w:p w:rsidR="00E326CF" w:rsidRPr="00B62C96" w:rsidRDefault="0054619E" w:rsidP="00E326CF">
      <w:pPr>
        <w:pStyle w:val="AERbodytext"/>
        <w:rPr>
          <w:rStyle w:val="AERtexthighlight"/>
          <w:rFonts w:ascii="Arial" w:hAnsi="Arial" w:cs="Arial"/>
          <w:shd w:val="clear" w:color="auto" w:fill="auto"/>
        </w:rPr>
      </w:pPr>
      <w:r w:rsidRPr="00B62C96">
        <w:rPr>
          <w:rStyle w:val="AERtexthighlight"/>
          <w:rFonts w:ascii="Arial" w:hAnsi="Arial" w:cs="Arial"/>
          <w:shd w:val="clear" w:color="auto" w:fill="auto"/>
        </w:rPr>
        <w:lastRenderedPageBreak/>
        <w:br/>
      </w:r>
      <w:r w:rsidR="00E326CF" w:rsidRPr="00B62C96">
        <w:rPr>
          <w:rStyle w:val="AERtexthighlight"/>
          <w:rFonts w:ascii="Arial" w:hAnsi="Arial" w:cs="Arial"/>
          <w:shd w:val="clear" w:color="auto" w:fill="auto"/>
        </w:rPr>
        <w:t>In</w:t>
      </w:r>
      <w:r w:rsidR="00520443" w:rsidRPr="00B62C96">
        <w:rPr>
          <w:rStyle w:val="AERtexthighlight"/>
          <w:rFonts w:ascii="Arial" w:hAnsi="Arial" w:cs="Arial"/>
          <w:shd w:val="clear" w:color="auto" w:fill="auto"/>
        </w:rPr>
        <w:t xml:space="preserve"> </w:t>
      </w:r>
      <w:r w:rsidR="00520443" w:rsidRPr="00B62C96">
        <w:rPr>
          <w:rStyle w:val="AERtexthighlight"/>
          <w:rFonts w:ascii="Arial" w:hAnsi="Arial" w:cs="Arial"/>
          <w:shd w:val="clear" w:color="auto" w:fill="auto"/>
        </w:rPr>
        <w:fldChar w:fldCharType="begin"/>
      </w:r>
      <w:r w:rsidR="00520443" w:rsidRPr="00B62C96">
        <w:rPr>
          <w:rStyle w:val="AERtexthighlight"/>
          <w:rFonts w:ascii="Arial" w:hAnsi="Arial" w:cs="Arial"/>
          <w:shd w:val="clear" w:color="auto" w:fill="auto"/>
        </w:rPr>
        <w:instrText xml:space="preserve"> REF _Ref409709134 \h  \* MERGEFORMAT </w:instrText>
      </w:r>
      <w:r w:rsidR="00520443" w:rsidRPr="00B62C96">
        <w:rPr>
          <w:rStyle w:val="AERtexthighlight"/>
          <w:rFonts w:ascii="Arial" w:hAnsi="Arial" w:cs="Arial"/>
          <w:shd w:val="clear" w:color="auto" w:fill="auto"/>
        </w:rPr>
      </w:r>
      <w:r w:rsidR="00520443" w:rsidRPr="00B62C96">
        <w:rPr>
          <w:rStyle w:val="AERtexthighlight"/>
          <w:rFonts w:ascii="Arial" w:hAnsi="Arial" w:cs="Arial"/>
          <w:shd w:val="clear" w:color="auto" w:fill="auto"/>
        </w:rPr>
        <w:fldChar w:fldCharType="separate"/>
      </w:r>
      <w:r w:rsidR="006709B5" w:rsidRPr="00B62C96">
        <w:rPr>
          <w:rFonts w:ascii="Arial" w:hAnsi="Arial" w:cs="Arial"/>
        </w:rPr>
        <w:t xml:space="preserve">Figure </w:t>
      </w:r>
      <w:r w:rsidR="006709B5">
        <w:rPr>
          <w:rFonts w:ascii="Arial" w:hAnsi="Arial" w:cs="Arial"/>
          <w:noProof/>
        </w:rPr>
        <w:t>1</w:t>
      </w:r>
      <w:r w:rsidR="00520443" w:rsidRPr="00B62C96">
        <w:rPr>
          <w:rStyle w:val="AERtexthighlight"/>
          <w:rFonts w:ascii="Arial" w:hAnsi="Arial" w:cs="Arial"/>
          <w:shd w:val="clear" w:color="auto" w:fill="auto"/>
        </w:rPr>
        <w:fldChar w:fldCharType="end"/>
      </w:r>
      <w:r w:rsidR="00E326CF" w:rsidRPr="00B62C96">
        <w:rPr>
          <w:rStyle w:val="AERtexthighlight"/>
          <w:rFonts w:ascii="Arial" w:hAnsi="Arial" w:cs="Arial"/>
          <w:shd w:val="clear" w:color="auto" w:fill="auto"/>
        </w:rPr>
        <w:t>, each box represents a spreadsheet within the PTRM. Sheets are classified as primarily about inputs (left column), calculations (centre column) or outputs (right column). The flow of data is therefore from left to right, and simplified links between the sheets are shown with grey arrows.</w:t>
      </w:r>
    </w:p>
    <w:p w:rsidR="00E326CF" w:rsidRPr="00B62C96" w:rsidRDefault="00E326CF" w:rsidP="00E326CF">
      <w:pPr>
        <w:pStyle w:val="AERbodytext"/>
        <w:rPr>
          <w:rStyle w:val="AERtexthighlight"/>
          <w:rFonts w:ascii="Arial" w:hAnsi="Arial" w:cs="Arial"/>
          <w:shd w:val="clear" w:color="auto" w:fill="auto"/>
        </w:rPr>
      </w:pPr>
      <w:r w:rsidRPr="00B62C96">
        <w:rPr>
          <w:rStyle w:val="AERtexthighlight"/>
          <w:rFonts w:ascii="Arial" w:hAnsi="Arial" w:cs="Arial"/>
          <w:shd w:val="clear" w:color="auto" w:fill="auto"/>
        </w:rPr>
        <w:t xml:space="preserve">To operate the PTRM, the user enters all the required data on the </w:t>
      </w:r>
      <w:r w:rsidRPr="00B62C96">
        <w:rPr>
          <w:rStyle w:val="AERtexthighlight"/>
          <w:rFonts w:ascii="Arial" w:hAnsi="Arial" w:cs="Arial"/>
          <w:b/>
          <w:shd w:val="clear" w:color="auto" w:fill="auto"/>
        </w:rPr>
        <w:t>PTRM input</w:t>
      </w:r>
      <w:r w:rsidRPr="00B62C96">
        <w:rPr>
          <w:rStyle w:val="AERtexthighlight"/>
          <w:rFonts w:ascii="Arial" w:hAnsi="Arial" w:cs="Arial"/>
          <w:shd w:val="clear" w:color="auto" w:fill="auto"/>
        </w:rPr>
        <w:t xml:space="preserve"> sheet—for example, forecast capital expenditure </w:t>
      </w:r>
      <w:r w:rsidR="006737A5" w:rsidRPr="00B62C96">
        <w:rPr>
          <w:rStyle w:val="AERtexthighlight"/>
          <w:rFonts w:ascii="Arial" w:hAnsi="Arial" w:cs="Arial"/>
          <w:shd w:val="clear" w:color="auto" w:fill="auto"/>
        </w:rPr>
        <w:t xml:space="preserve">(capex) </w:t>
      </w:r>
      <w:r w:rsidRPr="00B62C96">
        <w:rPr>
          <w:rStyle w:val="AERtexthighlight"/>
          <w:rFonts w:ascii="Arial" w:hAnsi="Arial" w:cs="Arial"/>
          <w:shd w:val="clear" w:color="auto" w:fill="auto"/>
        </w:rPr>
        <w:t>across the regulatory control period, or the rate of return on equity. Determination of these inputs often requires considerable analysis, but this occurs outside the PTRM. In this sense, the input to the PTRM will be the output from all the other parts of the regulatory proposal (or final decision).</w:t>
      </w:r>
    </w:p>
    <w:p w:rsidR="00E326CF" w:rsidRPr="00B62C96" w:rsidRDefault="00E326CF" w:rsidP="00E326CF">
      <w:pPr>
        <w:pStyle w:val="AERbodytext"/>
        <w:rPr>
          <w:rStyle w:val="AERtexthighlight"/>
          <w:rFonts w:ascii="Arial" w:hAnsi="Arial" w:cs="Arial"/>
          <w:shd w:val="clear" w:color="auto" w:fill="auto"/>
        </w:rPr>
      </w:pPr>
      <w:r w:rsidRPr="00B62C96">
        <w:rPr>
          <w:rStyle w:val="AERtexthighlight"/>
          <w:rFonts w:ascii="Arial" w:hAnsi="Arial" w:cs="Arial"/>
          <w:shd w:val="clear" w:color="auto" w:fill="auto"/>
        </w:rPr>
        <w:t xml:space="preserve">The PTRM then uses this data to undertake the building block derivation of total revenue, consistent with the requirements of the NER. Under this approach, total revenue is set to equal the total costs of the benchmark network service provider. Total costs are derived by adding up a number of different types of costs, labelled building blocks. The </w:t>
      </w:r>
      <w:r w:rsidRPr="00B62C96">
        <w:rPr>
          <w:rStyle w:val="AERtexthighlight"/>
          <w:rFonts w:ascii="Arial" w:hAnsi="Arial" w:cs="Arial"/>
          <w:b/>
          <w:shd w:val="clear" w:color="auto" w:fill="auto"/>
        </w:rPr>
        <w:t>Analysis</w:t>
      </w:r>
      <w:r w:rsidRPr="00B62C96">
        <w:rPr>
          <w:rStyle w:val="AERtexthighlight"/>
          <w:rFonts w:ascii="Arial" w:hAnsi="Arial" w:cs="Arial"/>
          <w:shd w:val="clear" w:color="auto" w:fill="auto"/>
        </w:rPr>
        <w:t xml:space="preserve"> sheet sets out each of these building blocks, and calculates the tax building block (since the PTRM explicitly models the effect of corporate taxes). This gives total unsmoothed revenue </w:t>
      </w:r>
      <w:r w:rsidR="0054619E" w:rsidRPr="00B62C96">
        <w:rPr>
          <w:rStyle w:val="AERtexthighlight"/>
          <w:rFonts w:ascii="Arial" w:hAnsi="Arial" w:cs="Arial"/>
          <w:shd w:val="clear" w:color="auto" w:fill="auto"/>
        </w:rPr>
        <w:t xml:space="preserve">(the ARR) </w:t>
      </w:r>
      <w:r w:rsidRPr="00B62C96">
        <w:rPr>
          <w:rStyle w:val="AERtexthighlight"/>
          <w:rFonts w:ascii="Arial" w:hAnsi="Arial" w:cs="Arial"/>
          <w:shd w:val="clear" w:color="auto" w:fill="auto"/>
        </w:rPr>
        <w:t>for the service provider.</w:t>
      </w:r>
    </w:p>
    <w:p w:rsidR="00E326CF" w:rsidRPr="00B62C96" w:rsidRDefault="00D96688" w:rsidP="00E326CF">
      <w:pPr>
        <w:pStyle w:val="AERbodytext"/>
        <w:rPr>
          <w:rStyle w:val="AERtexthighlight"/>
          <w:rFonts w:ascii="Arial" w:hAnsi="Arial" w:cs="Arial"/>
          <w:shd w:val="clear" w:color="auto" w:fill="auto"/>
        </w:rPr>
      </w:pPr>
      <w:r w:rsidRPr="00B62C96">
        <w:rPr>
          <w:rStyle w:val="AERtexthighlight"/>
          <w:rFonts w:ascii="Arial" w:hAnsi="Arial" w:cs="Arial"/>
          <w:shd w:val="clear" w:color="auto" w:fill="auto"/>
        </w:rPr>
        <w:t xml:space="preserve">The </w:t>
      </w:r>
      <w:r w:rsidRPr="00B62C96">
        <w:rPr>
          <w:rStyle w:val="AERtexthighlight"/>
          <w:rFonts w:ascii="Arial" w:hAnsi="Arial" w:cs="Arial"/>
          <w:b/>
          <w:shd w:val="clear" w:color="auto" w:fill="auto"/>
        </w:rPr>
        <w:t>X </w:t>
      </w:r>
      <w:r w:rsidR="00E326CF" w:rsidRPr="00B62C96">
        <w:rPr>
          <w:rStyle w:val="AERtexthighlight"/>
          <w:rFonts w:ascii="Arial" w:hAnsi="Arial" w:cs="Arial"/>
          <w:b/>
          <w:shd w:val="clear" w:color="auto" w:fill="auto"/>
        </w:rPr>
        <w:t>factors</w:t>
      </w:r>
      <w:r w:rsidR="00E326CF" w:rsidRPr="00B62C96">
        <w:rPr>
          <w:rStyle w:val="AERtexthighlight"/>
          <w:rFonts w:ascii="Arial" w:hAnsi="Arial" w:cs="Arial"/>
          <w:shd w:val="clear" w:color="auto" w:fill="auto"/>
        </w:rPr>
        <w:t xml:space="preserve"> sheet is where smoothed revenue </w:t>
      </w:r>
      <w:r w:rsidR="007D4296" w:rsidRPr="00B62C96">
        <w:rPr>
          <w:rStyle w:val="AERtexthighlight"/>
          <w:rFonts w:ascii="Arial" w:hAnsi="Arial" w:cs="Arial"/>
          <w:shd w:val="clear" w:color="auto" w:fill="auto"/>
        </w:rPr>
        <w:t>(</w:t>
      </w:r>
      <w:r w:rsidR="00D346A2" w:rsidRPr="00B62C96">
        <w:rPr>
          <w:rStyle w:val="AERtexthighlight"/>
          <w:rFonts w:ascii="Arial" w:hAnsi="Arial" w:cs="Arial"/>
          <w:shd w:val="clear" w:color="auto" w:fill="auto"/>
        </w:rPr>
        <w:t>expected revenue)</w:t>
      </w:r>
      <w:r w:rsidR="007D4296" w:rsidRPr="00B62C96">
        <w:rPr>
          <w:rStyle w:val="AERtexthighlight"/>
          <w:rFonts w:ascii="Arial" w:hAnsi="Arial" w:cs="Arial"/>
          <w:shd w:val="clear" w:color="auto" w:fill="auto"/>
        </w:rPr>
        <w:t xml:space="preserve"> </w:t>
      </w:r>
      <w:r w:rsidR="00E326CF" w:rsidRPr="00B62C96">
        <w:rPr>
          <w:rStyle w:val="AERtexthighlight"/>
          <w:rFonts w:ascii="Arial" w:hAnsi="Arial" w:cs="Arial"/>
          <w:shd w:val="clear" w:color="auto" w:fill="auto"/>
        </w:rPr>
        <w:t>is derived from unsmoothed revenue. This process will require user input, as they choose the relevant form of control (weighted average price cap, revenue cap or revenue yield cap) and numerically define the percentage change from year to year within the period (these values are labelled ‘X factors’).</w:t>
      </w:r>
      <w:r w:rsidR="00D346A2" w:rsidRPr="00B62C96">
        <w:rPr>
          <w:rStyle w:val="FootnoteReference"/>
          <w:rFonts w:ascii="Arial" w:hAnsi="Arial" w:cs="Arial"/>
        </w:rPr>
        <w:footnoteReference w:id="2"/>
      </w:r>
      <w:r w:rsidR="00E326CF" w:rsidRPr="00B62C96">
        <w:rPr>
          <w:rStyle w:val="AERtexthighlight"/>
          <w:rFonts w:ascii="Arial" w:hAnsi="Arial" w:cs="Arial"/>
          <w:shd w:val="clear" w:color="auto" w:fill="auto"/>
        </w:rPr>
        <w:t xml:space="preserve"> This process is known as ‘smoothing’ and makes use of the inbuilt Excel programming language (</w:t>
      </w:r>
      <w:r w:rsidRPr="00B62C96">
        <w:rPr>
          <w:rStyle w:val="AERtexthighlight"/>
          <w:rFonts w:ascii="Arial" w:hAnsi="Arial" w:cs="Arial"/>
          <w:shd w:val="clear" w:color="auto" w:fill="auto"/>
        </w:rPr>
        <w:t>macros</w:t>
      </w:r>
      <w:r w:rsidR="00E326CF" w:rsidRPr="00B62C96">
        <w:rPr>
          <w:rStyle w:val="AERtexthighlight"/>
          <w:rFonts w:ascii="Arial" w:hAnsi="Arial" w:cs="Arial"/>
          <w:shd w:val="clear" w:color="auto" w:fill="auto"/>
        </w:rPr>
        <w:t>).</w:t>
      </w:r>
      <w:r w:rsidR="00E326CF" w:rsidRPr="00B62C96">
        <w:rPr>
          <w:rStyle w:val="FootnoteReference"/>
          <w:rFonts w:ascii="Arial" w:hAnsi="Arial" w:cs="Arial"/>
        </w:rPr>
        <w:footnoteReference w:id="3"/>
      </w:r>
    </w:p>
    <w:p w:rsidR="00E326CF" w:rsidRPr="00B62C96" w:rsidRDefault="00E326CF" w:rsidP="00E326CF">
      <w:pPr>
        <w:pStyle w:val="AERbodytext"/>
        <w:rPr>
          <w:rStyle w:val="AERtexthighlight"/>
          <w:rFonts w:ascii="Arial" w:hAnsi="Arial" w:cs="Arial"/>
          <w:shd w:val="clear" w:color="auto" w:fill="auto"/>
        </w:rPr>
      </w:pPr>
      <w:r w:rsidRPr="00B62C96">
        <w:rPr>
          <w:rStyle w:val="AERtexthighlight"/>
          <w:rFonts w:ascii="Arial" w:hAnsi="Arial" w:cs="Arial"/>
          <w:shd w:val="clear" w:color="auto" w:fill="auto"/>
        </w:rPr>
        <w:t>Finally, there are a number of presentation sheets which include summary output tables and graphs.</w:t>
      </w:r>
    </w:p>
    <w:p w:rsidR="008270B1" w:rsidRPr="00B62C96" w:rsidRDefault="008270B1" w:rsidP="008270B1">
      <w:pPr>
        <w:pStyle w:val="AERbodytext"/>
        <w:numPr>
          <w:ilvl w:val="0"/>
          <w:numId w:val="9"/>
        </w:numPr>
        <w:rPr>
          <w:rStyle w:val="AERtexthighlight"/>
          <w:rFonts w:ascii="Arial" w:hAnsi="Arial" w:cs="Arial"/>
          <w:shd w:val="clear" w:color="auto" w:fill="auto"/>
        </w:rPr>
      </w:pPr>
      <w:r w:rsidRPr="00B62C96">
        <w:rPr>
          <w:rStyle w:val="AERtexthighlight"/>
          <w:rFonts w:ascii="Arial" w:hAnsi="Arial" w:cs="Arial"/>
          <w:shd w:val="clear" w:color="auto" w:fill="auto"/>
        </w:rPr>
        <w:t>The PTRM is configured:</w:t>
      </w:r>
    </w:p>
    <w:p w:rsidR="008270B1" w:rsidRPr="00B62C96" w:rsidRDefault="008270B1" w:rsidP="005C3CBC">
      <w:pPr>
        <w:pStyle w:val="AERbulletlistfirststyle"/>
        <w:tabs>
          <w:tab w:val="clear" w:pos="357"/>
          <w:tab w:val="left" w:pos="426"/>
        </w:tabs>
        <w:ind w:left="426" w:hanging="426"/>
        <w:rPr>
          <w:rFonts w:ascii="Arial" w:hAnsi="Arial" w:cs="Arial"/>
        </w:rPr>
      </w:pPr>
      <w:r w:rsidRPr="00B62C96">
        <w:rPr>
          <w:rFonts w:ascii="Arial" w:hAnsi="Arial" w:cs="Arial"/>
        </w:rPr>
        <w:t>to perform the interim calculations automatically whenever an input is recorded</w:t>
      </w:r>
    </w:p>
    <w:p w:rsidR="008270B1" w:rsidRPr="00B62C96" w:rsidRDefault="008270B1" w:rsidP="005C3CBC">
      <w:pPr>
        <w:pStyle w:val="AERbulletlistfirststyle"/>
        <w:tabs>
          <w:tab w:val="clear" w:pos="357"/>
          <w:tab w:val="left" w:pos="426"/>
        </w:tabs>
        <w:ind w:left="426" w:hanging="426"/>
        <w:rPr>
          <w:rFonts w:ascii="Arial" w:hAnsi="Arial" w:cs="Arial"/>
        </w:rPr>
      </w:pPr>
      <w:proofErr w:type="gramStart"/>
      <w:r w:rsidRPr="00B62C96">
        <w:rPr>
          <w:rFonts w:ascii="Arial" w:hAnsi="Arial" w:cs="Arial"/>
        </w:rPr>
        <w:t>to</w:t>
      </w:r>
      <w:proofErr w:type="gramEnd"/>
      <w:r w:rsidRPr="00B62C96">
        <w:rPr>
          <w:rFonts w:ascii="Arial" w:hAnsi="Arial" w:cs="Arial"/>
        </w:rPr>
        <w:t xml:space="preserve"> perform revenue smoothing calculations and equity raising cost updates manually via buttons that will trigger built in macros.</w:t>
      </w:r>
    </w:p>
    <w:p w:rsidR="00A325F7" w:rsidRPr="00B62C96" w:rsidRDefault="00955F62" w:rsidP="00A325F7">
      <w:pPr>
        <w:pStyle w:val="AERbodytext"/>
        <w:numPr>
          <w:ilvl w:val="0"/>
          <w:numId w:val="9"/>
        </w:numPr>
        <w:rPr>
          <w:rStyle w:val="AERtexthighlight"/>
          <w:rFonts w:ascii="Arial" w:hAnsi="Arial" w:cs="Arial"/>
          <w:shd w:val="clear" w:color="auto" w:fill="auto"/>
        </w:rPr>
      </w:pPr>
      <w:r w:rsidRPr="00B62C96">
        <w:rPr>
          <w:rStyle w:val="AERtexthighlight"/>
          <w:rFonts w:ascii="Arial" w:hAnsi="Arial" w:cs="Arial"/>
          <w:shd w:val="clear" w:color="auto" w:fill="auto"/>
        </w:rPr>
        <w:t>The user should not alter the names of any sheets or defined name ranges within the PTRM. These PTRM components are used by macros and when automatically importing into the AER’s data management system (DMS). If these elements are changed, errors may occur.</w:t>
      </w:r>
    </w:p>
    <w:p w:rsidR="007B00F3" w:rsidRPr="00B62C96" w:rsidRDefault="007B00F3" w:rsidP="00B62C96">
      <w:pPr>
        <w:pStyle w:val="Heading2"/>
        <w:numPr>
          <w:ilvl w:val="2"/>
          <w:numId w:val="10"/>
        </w:numPr>
        <w:rPr>
          <w:rFonts w:ascii="Arial" w:hAnsi="Arial" w:cs="Arial"/>
        </w:rPr>
      </w:pPr>
      <w:bookmarkStart w:id="41" w:name="_Toc409709119"/>
      <w:bookmarkStart w:id="42" w:name="_Toc410224067"/>
      <w:bookmarkStart w:id="43" w:name="_Toc399339661"/>
      <w:r w:rsidRPr="00B62C96">
        <w:rPr>
          <w:rFonts w:ascii="Arial" w:hAnsi="Arial" w:cs="Arial"/>
        </w:rPr>
        <w:t>DMS input sheet</w:t>
      </w:r>
      <w:bookmarkEnd w:id="41"/>
      <w:bookmarkEnd w:id="42"/>
    </w:p>
    <w:p w:rsidR="007B00F3" w:rsidRPr="00B62C96" w:rsidRDefault="007B00F3" w:rsidP="00155755">
      <w:pPr>
        <w:pStyle w:val="AERbodytext"/>
        <w:rPr>
          <w:rFonts w:ascii="Arial" w:hAnsi="Arial" w:cs="Arial"/>
        </w:rPr>
      </w:pPr>
      <w:r w:rsidRPr="00B62C96">
        <w:rPr>
          <w:rFonts w:ascii="Arial" w:hAnsi="Arial" w:cs="Arial"/>
        </w:rPr>
        <w:t xml:space="preserve">The </w:t>
      </w:r>
      <w:r w:rsidRPr="00B62C96">
        <w:rPr>
          <w:rFonts w:ascii="Arial" w:hAnsi="Arial" w:cs="Arial"/>
          <w:b/>
        </w:rPr>
        <w:t>DMS input</w:t>
      </w:r>
      <w:r w:rsidRPr="00B62C96">
        <w:rPr>
          <w:rFonts w:ascii="Arial" w:hAnsi="Arial" w:cs="Arial"/>
        </w:rPr>
        <w:t xml:space="preserve"> sheet captures business specific, non-financial information that is required for the AER to import the PTRM into its DMS. </w:t>
      </w:r>
      <w:r w:rsidR="00955F62" w:rsidRPr="00B62C96">
        <w:rPr>
          <w:rFonts w:ascii="Arial" w:hAnsi="Arial" w:cs="Arial"/>
        </w:rPr>
        <w:t>To allow this automatic import to take place, this sheet has been locked (using the Excel ‘Protect sheet’ command) so that the layout of this sheet cannot be changed.</w:t>
      </w:r>
    </w:p>
    <w:p w:rsidR="00E70C4C" w:rsidRPr="00B62C96" w:rsidRDefault="00955F62" w:rsidP="00155755">
      <w:pPr>
        <w:pStyle w:val="AERbodytext"/>
        <w:rPr>
          <w:rFonts w:ascii="Arial" w:hAnsi="Arial" w:cs="Arial"/>
        </w:rPr>
      </w:pPr>
      <w:r w:rsidRPr="00B62C96">
        <w:rPr>
          <w:rFonts w:ascii="Arial" w:hAnsi="Arial" w:cs="Arial"/>
        </w:rPr>
        <w:t>C</w:t>
      </w:r>
      <w:r w:rsidR="00E70C4C" w:rsidRPr="00B62C96">
        <w:rPr>
          <w:rFonts w:ascii="Arial" w:hAnsi="Arial" w:cs="Arial"/>
        </w:rPr>
        <w:t xml:space="preserve">ontact details </w:t>
      </w:r>
      <w:r w:rsidRPr="00B62C96">
        <w:rPr>
          <w:rFonts w:ascii="Arial" w:hAnsi="Arial" w:cs="Arial"/>
        </w:rPr>
        <w:t>for those responsible for preparing and submitting the PTRM are recorded in rows 14:31. These will be stored in the DMS</w:t>
      </w:r>
      <w:r w:rsidR="000257BC" w:rsidRPr="00B62C96">
        <w:rPr>
          <w:rFonts w:ascii="Arial" w:hAnsi="Arial" w:cs="Arial"/>
        </w:rPr>
        <w:t xml:space="preserve">. These inputs </w:t>
      </w:r>
      <w:r w:rsidRPr="00B62C96">
        <w:rPr>
          <w:rFonts w:ascii="Arial" w:hAnsi="Arial" w:cs="Arial"/>
        </w:rPr>
        <w:t>also control the headings displayed at the top of other sheets in the PTRM.</w:t>
      </w:r>
    </w:p>
    <w:p w:rsidR="00955F62" w:rsidRPr="00B62C96" w:rsidRDefault="00955F62" w:rsidP="00155755">
      <w:pPr>
        <w:pStyle w:val="AERbodytext"/>
        <w:rPr>
          <w:rFonts w:ascii="Arial" w:hAnsi="Arial" w:cs="Arial"/>
        </w:rPr>
      </w:pPr>
      <w:r w:rsidRPr="00B62C96">
        <w:rPr>
          <w:rFonts w:ascii="Arial" w:hAnsi="Arial" w:cs="Arial"/>
        </w:rPr>
        <w:lastRenderedPageBreak/>
        <w:t xml:space="preserve">Context details for the PTRM are recorded in the lower section. Many of these details (such as the dates of the regulatory control period) are automatically populated from the </w:t>
      </w:r>
      <w:r w:rsidRPr="00B62C96">
        <w:rPr>
          <w:rFonts w:ascii="Arial" w:hAnsi="Arial" w:cs="Arial"/>
          <w:b/>
        </w:rPr>
        <w:t>PTRM input</w:t>
      </w:r>
      <w:r w:rsidRPr="00B62C96">
        <w:rPr>
          <w:rFonts w:ascii="Arial" w:hAnsi="Arial" w:cs="Arial"/>
        </w:rPr>
        <w:t xml:space="preserve"> sheet and so the cells here are hidden. The stage of the regulatory process is set in cell D46 using a drop down menu.</w:t>
      </w:r>
      <w:r w:rsidRPr="00B62C96">
        <w:rPr>
          <w:rStyle w:val="FootnoteReference"/>
          <w:rFonts w:ascii="Arial" w:hAnsi="Arial" w:cs="Arial"/>
        </w:rPr>
        <w:footnoteReference w:id="4"/>
      </w:r>
      <w:r w:rsidRPr="00B62C96">
        <w:rPr>
          <w:rFonts w:ascii="Arial" w:hAnsi="Arial" w:cs="Arial"/>
        </w:rPr>
        <w:t xml:space="preserve"> If this is not enough</w:t>
      </w:r>
      <w:r w:rsidR="000A694E" w:rsidRPr="00B62C96">
        <w:rPr>
          <w:rFonts w:ascii="Arial" w:hAnsi="Arial" w:cs="Arial"/>
        </w:rPr>
        <w:t xml:space="preserve"> description</w:t>
      </w:r>
      <w:r w:rsidRPr="00B62C96">
        <w:rPr>
          <w:rFonts w:ascii="Arial" w:hAnsi="Arial" w:cs="Arial"/>
        </w:rPr>
        <w:t xml:space="preserve"> to uniquely identify the PTRM submission, a description should be placed in cell C53 (for example, a resubmission of the Regulatory proposal PTRM with revised data values after an error was corrected).</w:t>
      </w:r>
    </w:p>
    <w:p w:rsidR="00DB5F73" w:rsidRPr="00B62C96" w:rsidRDefault="00DB5F73" w:rsidP="00155755">
      <w:pPr>
        <w:pStyle w:val="AERbodytext"/>
        <w:rPr>
          <w:rFonts w:ascii="Arial" w:hAnsi="Arial" w:cs="Arial"/>
        </w:rPr>
      </w:pPr>
      <w:r w:rsidRPr="00B62C96">
        <w:rPr>
          <w:rFonts w:ascii="Arial" w:hAnsi="Arial" w:cs="Arial"/>
        </w:rPr>
        <w:t xml:space="preserve">The form of control (weighted average price cap, revenue cap, revenue yield cap) is also specified here in cell C56. This determines which smoothed revenue </w:t>
      </w:r>
      <w:r w:rsidR="00E73E0D" w:rsidRPr="00B62C96">
        <w:rPr>
          <w:rFonts w:ascii="Arial" w:hAnsi="Arial" w:cs="Arial"/>
        </w:rPr>
        <w:t>amounts</w:t>
      </w:r>
      <w:r w:rsidRPr="00B62C96">
        <w:rPr>
          <w:rFonts w:ascii="Arial" w:hAnsi="Arial" w:cs="Arial"/>
        </w:rPr>
        <w:t xml:space="preserve"> are imported into the DMS from the </w:t>
      </w:r>
      <w:r w:rsidRPr="00B62C96">
        <w:rPr>
          <w:rFonts w:ascii="Arial" w:hAnsi="Arial" w:cs="Arial"/>
          <w:b/>
        </w:rPr>
        <w:t>X factors</w:t>
      </w:r>
      <w:r w:rsidRPr="00B62C96">
        <w:rPr>
          <w:rFonts w:ascii="Arial" w:hAnsi="Arial" w:cs="Arial"/>
        </w:rPr>
        <w:t xml:space="preserve"> and </w:t>
      </w:r>
      <w:r w:rsidRPr="00B62C96">
        <w:rPr>
          <w:rFonts w:ascii="Arial" w:hAnsi="Arial" w:cs="Arial"/>
          <w:b/>
        </w:rPr>
        <w:t>Revenue Summary</w:t>
      </w:r>
      <w:r w:rsidRPr="00B62C96">
        <w:rPr>
          <w:rFonts w:ascii="Arial" w:hAnsi="Arial" w:cs="Arial"/>
        </w:rPr>
        <w:t xml:space="preserve"> sheets. Note that the user will still have to </w:t>
      </w:r>
      <w:r w:rsidR="000A694E" w:rsidRPr="00B62C96">
        <w:rPr>
          <w:rFonts w:ascii="Arial" w:hAnsi="Arial" w:cs="Arial"/>
        </w:rPr>
        <w:t>select</w:t>
      </w:r>
      <w:r w:rsidRPr="00B62C96">
        <w:rPr>
          <w:rFonts w:ascii="Arial" w:hAnsi="Arial" w:cs="Arial"/>
        </w:rPr>
        <w:t xml:space="preserve"> the relevant smoothing operation (using the macro buttons provided) on those sheets.</w:t>
      </w:r>
    </w:p>
    <w:p w:rsidR="007B00F3" w:rsidRPr="00B62C96" w:rsidRDefault="007B00F3" w:rsidP="00155755">
      <w:pPr>
        <w:pStyle w:val="AERbodytext"/>
        <w:rPr>
          <w:rFonts w:ascii="Arial" w:hAnsi="Arial" w:cs="Arial"/>
        </w:rPr>
      </w:pPr>
      <w:r w:rsidRPr="00B62C96">
        <w:rPr>
          <w:rFonts w:ascii="Arial" w:hAnsi="Arial" w:cs="Arial"/>
        </w:rPr>
        <w:fldChar w:fldCharType="begin"/>
      </w:r>
      <w:r w:rsidRPr="00B62C96">
        <w:rPr>
          <w:rFonts w:ascii="Arial" w:hAnsi="Arial" w:cs="Arial"/>
        </w:rPr>
        <w:instrText xml:space="preserve"> REF _Ref408472059 \h </w:instrText>
      </w:r>
      <w:r w:rsidR="00BB7D64" w:rsidRPr="00B62C96">
        <w:rPr>
          <w:rFonts w:ascii="Arial" w:hAnsi="Arial" w:cs="Arial"/>
        </w:rPr>
        <w:instrText xml:space="preserve"> \* MERGEFORMAT </w:instrText>
      </w:r>
      <w:r w:rsidRPr="00B62C96">
        <w:rPr>
          <w:rFonts w:ascii="Arial" w:hAnsi="Arial" w:cs="Arial"/>
        </w:rPr>
      </w:r>
      <w:r w:rsidRPr="00B62C96">
        <w:rPr>
          <w:rFonts w:ascii="Arial" w:hAnsi="Arial" w:cs="Arial"/>
        </w:rPr>
        <w:fldChar w:fldCharType="separate"/>
      </w:r>
      <w:r w:rsidR="006709B5" w:rsidRPr="00B62C96">
        <w:rPr>
          <w:rFonts w:ascii="Arial" w:hAnsi="Arial" w:cs="Arial"/>
        </w:rPr>
        <w:t xml:space="preserve">Figure </w:t>
      </w:r>
      <w:r w:rsidR="006709B5">
        <w:rPr>
          <w:rFonts w:ascii="Arial" w:hAnsi="Arial" w:cs="Arial"/>
          <w:noProof/>
        </w:rPr>
        <w:t>2</w:t>
      </w:r>
      <w:r w:rsidRPr="00B62C96">
        <w:rPr>
          <w:rFonts w:ascii="Arial" w:hAnsi="Arial" w:cs="Arial"/>
        </w:rPr>
        <w:fldChar w:fldCharType="end"/>
      </w:r>
      <w:r w:rsidRPr="00B62C96">
        <w:rPr>
          <w:rFonts w:ascii="Arial" w:hAnsi="Arial" w:cs="Arial"/>
        </w:rPr>
        <w:t xml:space="preserve"> provides an example of the </w:t>
      </w:r>
      <w:r w:rsidRPr="00B62C96">
        <w:rPr>
          <w:rFonts w:ascii="Arial" w:hAnsi="Arial" w:cs="Arial"/>
          <w:b/>
        </w:rPr>
        <w:t>DMS input</w:t>
      </w:r>
      <w:r w:rsidRPr="00B62C96">
        <w:rPr>
          <w:rFonts w:ascii="Arial" w:hAnsi="Arial" w:cs="Arial"/>
        </w:rPr>
        <w:t xml:space="preserve"> sheet.</w:t>
      </w:r>
    </w:p>
    <w:p w:rsidR="007B00F3" w:rsidRPr="00B62C96" w:rsidRDefault="007B00F3" w:rsidP="00155755">
      <w:pPr>
        <w:pStyle w:val="Caption"/>
        <w:rPr>
          <w:rFonts w:ascii="Arial" w:hAnsi="Arial" w:cs="Arial"/>
        </w:rPr>
      </w:pPr>
      <w:bookmarkStart w:id="44" w:name="_Ref408472059"/>
      <w:r w:rsidRPr="00B62C96">
        <w:rPr>
          <w:rFonts w:ascii="Arial" w:hAnsi="Arial" w:cs="Arial"/>
        </w:rPr>
        <w:t xml:space="preserve">Figure </w:t>
      </w:r>
      <w:r w:rsidRPr="00B62C96">
        <w:rPr>
          <w:rFonts w:ascii="Arial" w:hAnsi="Arial" w:cs="Arial"/>
        </w:rPr>
        <w:fldChar w:fldCharType="begin"/>
      </w:r>
      <w:r w:rsidRPr="00B62C96">
        <w:rPr>
          <w:rFonts w:ascii="Arial" w:hAnsi="Arial" w:cs="Arial"/>
        </w:rPr>
        <w:instrText xml:space="preserve"> SEQ Figure \* ARABIC </w:instrText>
      </w:r>
      <w:r w:rsidRPr="00B62C96">
        <w:rPr>
          <w:rFonts w:ascii="Arial" w:hAnsi="Arial" w:cs="Arial"/>
        </w:rPr>
        <w:fldChar w:fldCharType="separate"/>
      </w:r>
      <w:r w:rsidR="006709B5">
        <w:rPr>
          <w:rFonts w:ascii="Arial" w:hAnsi="Arial" w:cs="Arial"/>
          <w:noProof/>
        </w:rPr>
        <w:t>2</w:t>
      </w:r>
      <w:r w:rsidRPr="00B62C96">
        <w:rPr>
          <w:rFonts w:ascii="Arial" w:hAnsi="Arial" w:cs="Arial"/>
        </w:rPr>
        <w:fldChar w:fldCharType="end"/>
      </w:r>
      <w:bookmarkEnd w:id="44"/>
      <w:r w:rsidRPr="00B62C96">
        <w:rPr>
          <w:rFonts w:ascii="Arial" w:hAnsi="Arial" w:cs="Arial"/>
        </w:rPr>
        <w:t xml:space="preserve"> </w:t>
      </w:r>
      <w:r w:rsidRPr="00B62C96">
        <w:rPr>
          <w:rFonts w:ascii="Arial" w:hAnsi="Arial" w:cs="Arial"/>
        </w:rPr>
        <w:tab/>
        <w:t>DMS input sheet</w:t>
      </w:r>
    </w:p>
    <w:p w:rsidR="007B00F3" w:rsidRPr="00B62C96" w:rsidRDefault="00952A0F" w:rsidP="00155755">
      <w:pPr>
        <w:pStyle w:val="AERbodytext"/>
        <w:rPr>
          <w:rFonts w:ascii="Arial" w:hAnsi="Arial" w:cs="Arial"/>
        </w:rPr>
      </w:pPr>
      <w:r>
        <w:rPr>
          <w:noProof/>
          <w:lang w:eastAsia="en-AU"/>
        </w:rPr>
        <w:drawing>
          <wp:inline distT="0" distB="0" distL="0" distR="0" wp14:anchorId="2959613D" wp14:editId="64F41708">
            <wp:extent cx="5731510" cy="417126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4171266"/>
                    </a:xfrm>
                    <a:prstGeom prst="rect">
                      <a:avLst/>
                    </a:prstGeom>
                  </pic:spPr>
                </pic:pic>
              </a:graphicData>
            </a:graphic>
          </wp:inline>
        </w:drawing>
      </w:r>
    </w:p>
    <w:p w:rsidR="008270B1" w:rsidRPr="00B62C96" w:rsidRDefault="007B00F3" w:rsidP="00B62C96">
      <w:pPr>
        <w:pStyle w:val="Heading2"/>
        <w:numPr>
          <w:ilvl w:val="2"/>
          <w:numId w:val="10"/>
        </w:numPr>
        <w:rPr>
          <w:rFonts w:ascii="Arial" w:hAnsi="Arial" w:cs="Arial"/>
        </w:rPr>
      </w:pPr>
      <w:bookmarkStart w:id="45" w:name="_Toc409709120"/>
      <w:bookmarkStart w:id="46" w:name="_Toc410224068"/>
      <w:r w:rsidRPr="00B62C96">
        <w:rPr>
          <w:rFonts w:ascii="Arial" w:hAnsi="Arial" w:cs="Arial"/>
        </w:rPr>
        <w:t xml:space="preserve">PTRM </w:t>
      </w:r>
      <w:r w:rsidR="00E73E0D" w:rsidRPr="00B62C96">
        <w:rPr>
          <w:rFonts w:ascii="Arial" w:hAnsi="Arial" w:cs="Arial"/>
        </w:rPr>
        <w:t>i</w:t>
      </w:r>
      <w:r w:rsidR="008270B1" w:rsidRPr="00B62C96">
        <w:rPr>
          <w:rFonts w:ascii="Arial" w:hAnsi="Arial" w:cs="Arial"/>
        </w:rPr>
        <w:t>nput sheet</w:t>
      </w:r>
      <w:bookmarkEnd w:id="43"/>
      <w:bookmarkEnd w:id="45"/>
      <w:bookmarkEnd w:id="46"/>
    </w:p>
    <w:p w:rsidR="008270B1" w:rsidRPr="00B62C96" w:rsidRDefault="008270B1" w:rsidP="008270B1">
      <w:pPr>
        <w:pStyle w:val="AERbodytext"/>
        <w:numPr>
          <w:ilvl w:val="0"/>
          <w:numId w:val="9"/>
        </w:numPr>
        <w:rPr>
          <w:rFonts w:ascii="Arial" w:hAnsi="Arial" w:cs="Arial"/>
        </w:rPr>
      </w:pPr>
      <w:r w:rsidRPr="00B62C96">
        <w:rPr>
          <w:rFonts w:ascii="Arial" w:hAnsi="Arial" w:cs="Arial"/>
        </w:rPr>
        <w:t xml:space="preserve">The </w:t>
      </w:r>
      <w:r w:rsidR="007B00F3" w:rsidRPr="00B62C96">
        <w:rPr>
          <w:rFonts w:ascii="Arial" w:hAnsi="Arial" w:cs="Arial"/>
          <w:b/>
        </w:rPr>
        <w:t>PTRM</w:t>
      </w:r>
      <w:r w:rsidR="007B00F3" w:rsidRPr="00B62C96">
        <w:rPr>
          <w:rFonts w:ascii="Arial" w:hAnsi="Arial" w:cs="Arial"/>
        </w:rPr>
        <w:t xml:space="preserve"> </w:t>
      </w:r>
      <w:r w:rsidR="007B00F3" w:rsidRPr="00B62C96">
        <w:rPr>
          <w:rStyle w:val="AERtextbold"/>
          <w:rFonts w:ascii="Arial" w:hAnsi="Arial" w:cs="Arial"/>
        </w:rPr>
        <w:t>i</w:t>
      </w:r>
      <w:r w:rsidRPr="00B62C96">
        <w:rPr>
          <w:rStyle w:val="AERtextbold"/>
          <w:rFonts w:ascii="Arial" w:hAnsi="Arial" w:cs="Arial"/>
        </w:rPr>
        <w:t xml:space="preserve">nput </w:t>
      </w:r>
      <w:r w:rsidRPr="00B62C96">
        <w:rPr>
          <w:rFonts w:ascii="Arial" w:hAnsi="Arial" w:cs="Arial"/>
        </w:rPr>
        <w:t>sheet provides for key input variables to be entered in the PTRM. These are automatically linked to corresponding cells in the relevant sheets. Values should be entered into each cell that has light blue shading. This sheet comprises of the following sections:</w:t>
      </w:r>
    </w:p>
    <w:p w:rsidR="008270B1" w:rsidRPr="00B62C96" w:rsidRDefault="008270B1" w:rsidP="005C3CBC">
      <w:pPr>
        <w:pStyle w:val="AERbulletlistfirststyle"/>
        <w:ind w:left="426" w:hanging="426"/>
        <w:rPr>
          <w:rFonts w:ascii="Arial" w:hAnsi="Arial" w:cs="Arial"/>
        </w:rPr>
      </w:pPr>
      <w:r w:rsidRPr="00B62C96">
        <w:rPr>
          <w:rFonts w:ascii="Arial" w:hAnsi="Arial" w:cs="Arial"/>
        </w:rPr>
        <w:t>opening regulatory asset base (RAB) and opening tax asset base (TAB)</w:t>
      </w:r>
    </w:p>
    <w:p w:rsidR="008270B1" w:rsidRPr="00B62C96" w:rsidRDefault="008270B1" w:rsidP="005C3CBC">
      <w:pPr>
        <w:pStyle w:val="AERbulletlistfirststyle"/>
        <w:ind w:left="426" w:hanging="426"/>
        <w:rPr>
          <w:rFonts w:ascii="Arial" w:hAnsi="Arial" w:cs="Arial"/>
        </w:rPr>
      </w:pPr>
      <w:r w:rsidRPr="00B62C96">
        <w:rPr>
          <w:rFonts w:ascii="Arial" w:hAnsi="Arial" w:cs="Arial"/>
        </w:rPr>
        <w:lastRenderedPageBreak/>
        <w:t>forecast real capex—as incurred</w:t>
      </w:r>
    </w:p>
    <w:p w:rsidR="008270B1" w:rsidRPr="00B62C96" w:rsidRDefault="008270B1" w:rsidP="005C3CBC">
      <w:pPr>
        <w:pStyle w:val="AERbulletlistfirststyle"/>
        <w:ind w:left="426" w:hanging="426"/>
        <w:rPr>
          <w:rFonts w:ascii="Arial" w:hAnsi="Arial" w:cs="Arial"/>
        </w:rPr>
      </w:pPr>
      <w:r w:rsidRPr="00B62C96">
        <w:rPr>
          <w:rFonts w:ascii="Arial" w:hAnsi="Arial" w:cs="Arial"/>
        </w:rPr>
        <w:t>forecast real asset disposals—as-incurred</w:t>
      </w:r>
    </w:p>
    <w:p w:rsidR="008270B1" w:rsidRPr="00B62C96" w:rsidRDefault="008270B1" w:rsidP="005C3CBC">
      <w:pPr>
        <w:pStyle w:val="AERbulletlistfirststyle"/>
        <w:ind w:left="426" w:hanging="426"/>
        <w:rPr>
          <w:rFonts w:ascii="Arial" w:hAnsi="Arial" w:cs="Arial"/>
        </w:rPr>
      </w:pPr>
      <w:r w:rsidRPr="00B62C96">
        <w:rPr>
          <w:rFonts w:ascii="Arial" w:hAnsi="Arial" w:cs="Arial"/>
        </w:rPr>
        <w:t>forecast real customer contributions—as incurred</w:t>
      </w:r>
    </w:p>
    <w:p w:rsidR="008270B1" w:rsidRPr="00B62C96" w:rsidRDefault="008270B1" w:rsidP="005C3CBC">
      <w:pPr>
        <w:pStyle w:val="AERbulletlistfirststyle"/>
        <w:ind w:left="426" w:hanging="426"/>
        <w:rPr>
          <w:rFonts w:ascii="Arial" w:hAnsi="Arial" w:cs="Arial"/>
        </w:rPr>
      </w:pPr>
      <w:r w:rsidRPr="00B62C96">
        <w:rPr>
          <w:rFonts w:ascii="Arial" w:hAnsi="Arial" w:cs="Arial"/>
        </w:rPr>
        <w:t>forecast real net capex—as incurred</w:t>
      </w:r>
    </w:p>
    <w:p w:rsidR="008270B1" w:rsidRPr="00B62C96" w:rsidRDefault="008270B1" w:rsidP="005C3CBC">
      <w:pPr>
        <w:pStyle w:val="AERbulletlistfirststyle"/>
        <w:ind w:left="426" w:hanging="426"/>
        <w:rPr>
          <w:rFonts w:ascii="Arial" w:hAnsi="Arial" w:cs="Arial"/>
        </w:rPr>
      </w:pPr>
      <w:r w:rsidRPr="00B62C96">
        <w:rPr>
          <w:rFonts w:ascii="Arial" w:hAnsi="Arial" w:cs="Arial"/>
        </w:rPr>
        <w:t>forecast operating expenditure (</w:t>
      </w:r>
      <w:proofErr w:type="spellStart"/>
      <w:r w:rsidRPr="00B62C96">
        <w:rPr>
          <w:rFonts w:ascii="Arial" w:hAnsi="Arial" w:cs="Arial"/>
        </w:rPr>
        <w:t>opex</w:t>
      </w:r>
      <w:proofErr w:type="spellEnd"/>
      <w:r w:rsidRPr="00B62C96">
        <w:rPr>
          <w:rFonts w:ascii="Arial" w:hAnsi="Arial" w:cs="Arial"/>
        </w:rPr>
        <w:t>)</w:t>
      </w:r>
    </w:p>
    <w:p w:rsidR="008270B1" w:rsidRPr="00B62C96" w:rsidRDefault="008270B1" w:rsidP="005C3CBC">
      <w:pPr>
        <w:pStyle w:val="AERbulletlistfirststyle"/>
        <w:ind w:left="426" w:hanging="426"/>
        <w:rPr>
          <w:rFonts w:ascii="Arial" w:hAnsi="Arial" w:cs="Arial"/>
        </w:rPr>
      </w:pPr>
      <w:r w:rsidRPr="00B62C96">
        <w:rPr>
          <w:rFonts w:ascii="Arial" w:hAnsi="Arial" w:cs="Arial"/>
        </w:rPr>
        <w:t>revenue adjustments from previous regulatory control period</w:t>
      </w:r>
    </w:p>
    <w:p w:rsidR="008270B1" w:rsidRPr="00B62C96" w:rsidRDefault="008270B1" w:rsidP="005C3CBC">
      <w:pPr>
        <w:pStyle w:val="AERbulletlistfirststyle"/>
        <w:ind w:left="426" w:hanging="426"/>
        <w:rPr>
          <w:rFonts w:ascii="Arial" w:hAnsi="Arial" w:cs="Arial"/>
        </w:rPr>
      </w:pPr>
      <w:r w:rsidRPr="00B62C96">
        <w:rPr>
          <w:rFonts w:ascii="Arial" w:hAnsi="Arial" w:cs="Arial"/>
        </w:rPr>
        <w:t>revenue adjustments from other use of standard control services assets</w:t>
      </w:r>
    </w:p>
    <w:p w:rsidR="008270B1" w:rsidRPr="00B62C96" w:rsidRDefault="008270B1" w:rsidP="005C3CBC">
      <w:pPr>
        <w:pStyle w:val="AERbulletlistfirststyle"/>
        <w:ind w:left="426" w:hanging="426"/>
        <w:rPr>
          <w:rFonts w:ascii="Arial" w:hAnsi="Arial" w:cs="Arial"/>
        </w:rPr>
      </w:pPr>
      <w:r w:rsidRPr="00B62C96">
        <w:rPr>
          <w:rFonts w:ascii="Arial" w:hAnsi="Arial" w:cs="Arial"/>
        </w:rPr>
        <w:t>expected taxation rate</w:t>
      </w:r>
    </w:p>
    <w:p w:rsidR="008270B1" w:rsidRPr="00B62C96" w:rsidRDefault="008270B1" w:rsidP="005C3CBC">
      <w:pPr>
        <w:pStyle w:val="AERbulletlistfirststyle"/>
        <w:ind w:left="426" w:hanging="426"/>
        <w:rPr>
          <w:rFonts w:ascii="Arial" w:hAnsi="Arial" w:cs="Arial"/>
        </w:rPr>
      </w:pPr>
      <w:r w:rsidRPr="00B62C96">
        <w:rPr>
          <w:rFonts w:ascii="Arial" w:hAnsi="Arial" w:cs="Arial"/>
        </w:rPr>
        <w:t>cost of capital</w:t>
      </w:r>
    </w:p>
    <w:p w:rsidR="008270B1" w:rsidRPr="00B62C96" w:rsidRDefault="008270B1" w:rsidP="005C3CBC">
      <w:pPr>
        <w:pStyle w:val="AERbulletlistfirststyle"/>
        <w:ind w:left="426" w:hanging="426"/>
        <w:rPr>
          <w:rFonts w:ascii="Arial" w:hAnsi="Arial" w:cs="Arial"/>
        </w:rPr>
      </w:pPr>
      <w:r w:rsidRPr="00B62C96">
        <w:rPr>
          <w:rFonts w:ascii="Arial" w:hAnsi="Arial" w:cs="Arial"/>
        </w:rPr>
        <w:t>debt and equity raising costs—transaction costs</w:t>
      </w:r>
    </w:p>
    <w:p w:rsidR="008270B1" w:rsidRPr="00B62C96" w:rsidRDefault="008270B1" w:rsidP="005C3CBC">
      <w:pPr>
        <w:pStyle w:val="AERbulletlistfirststyle"/>
        <w:ind w:left="426" w:hanging="426"/>
        <w:rPr>
          <w:rFonts w:ascii="Arial" w:hAnsi="Arial" w:cs="Arial"/>
        </w:rPr>
      </w:pPr>
      <w:r w:rsidRPr="00B62C96">
        <w:rPr>
          <w:rFonts w:ascii="Arial" w:hAnsi="Arial" w:cs="Arial"/>
        </w:rPr>
        <w:t>price/revenue constraint for the current year</w:t>
      </w:r>
    </w:p>
    <w:p w:rsidR="008270B1" w:rsidRPr="00B62C96" w:rsidRDefault="008270B1" w:rsidP="005C3CBC">
      <w:pPr>
        <w:pStyle w:val="AERbulletlistfirststyle"/>
        <w:ind w:left="426" w:hanging="426"/>
        <w:rPr>
          <w:rFonts w:ascii="Arial" w:hAnsi="Arial" w:cs="Arial"/>
        </w:rPr>
      </w:pPr>
      <w:r w:rsidRPr="00B62C96">
        <w:rPr>
          <w:rFonts w:ascii="Arial" w:hAnsi="Arial" w:cs="Arial"/>
        </w:rPr>
        <w:t>energy delivered forecast</w:t>
      </w:r>
    </w:p>
    <w:p w:rsidR="008270B1" w:rsidRPr="00B62C96" w:rsidRDefault="008270B1" w:rsidP="005C3CBC">
      <w:pPr>
        <w:pStyle w:val="AERbulletlistfirststyle"/>
        <w:ind w:left="426" w:hanging="426"/>
        <w:rPr>
          <w:rFonts w:ascii="Arial" w:hAnsi="Arial" w:cs="Arial"/>
        </w:rPr>
      </w:pPr>
      <w:r w:rsidRPr="00B62C96">
        <w:rPr>
          <w:rFonts w:ascii="Arial" w:hAnsi="Arial" w:cs="Arial"/>
        </w:rPr>
        <w:t>current prices by tariff component</w:t>
      </w:r>
    </w:p>
    <w:p w:rsidR="008270B1" w:rsidRPr="00B62C96" w:rsidRDefault="008270B1" w:rsidP="005C3CBC">
      <w:pPr>
        <w:pStyle w:val="AERbulletlistfirststyle"/>
        <w:ind w:left="426" w:hanging="426"/>
        <w:rPr>
          <w:rFonts w:ascii="Arial" w:hAnsi="Arial" w:cs="Arial"/>
        </w:rPr>
      </w:pPr>
      <w:proofErr w:type="gramStart"/>
      <w:r w:rsidRPr="00B62C96">
        <w:rPr>
          <w:rFonts w:ascii="Arial" w:hAnsi="Arial" w:cs="Arial"/>
        </w:rPr>
        <w:t>current</w:t>
      </w:r>
      <w:proofErr w:type="gramEnd"/>
      <w:r w:rsidRPr="00B62C96">
        <w:rPr>
          <w:rFonts w:ascii="Arial" w:hAnsi="Arial" w:cs="Arial"/>
        </w:rPr>
        <w:t xml:space="preserve"> and forecast quantities by tariff component.</w:t>
      </w:r>
    </w:p>
    <w:p w:rsidR="000257BC" w:rsidRPr="00B62C96" w:rsidRDefault="000257BC" w:rsidP="00B62C96">
      <w:pPr>
        <w:pStyle w:val="AERbodytext"/>
        <w:rPr>
          <w:rFonts w:ascii="Arial" w:hAnsi="Arial" w:cs="Arial"/>
        </w:rPr>
      </w:pPr>
      <w:r w:rsidRPr="00B62C96">
        <w:rPr>
          <w:rFonts w:ascii="Arial" w:hAnsi="Arial" w:cs="Arial"/>
        </w:rPr>
        <w:t xml:space="preserve">The only inputs specified outside of the </w:t>
      </w:r>
      <w:r w:rsidRPr="009B70E8">
        <w:rPr>
          <w:rFonts w:ascii="Arial" w:hAnsi="Arial" w:cs="Arial"/>
          <w:b/>
        </w:rPr>
        <w:t>PTRM input</w:t>
      </w:r>
      <w:r w:rsidRPr="00B62C96">
        <w:rPr>
          <w:rFonts w:ascii="Arial" w:hAnsi="Arial" w:cs="Arial"/>
        </w:rPr>
        <w:t xml:space="preserve"> sheet are:</w:t>
      </w:r>
    </w:p>
    <w:p w:rsidR="000257BC" w:rsidRPr="00B62C96" w:rsidRDefault="000257BC" w:rsidP="005C3CBC">
      <w:pPr>
        <w:pStyle w:val="AERbulletlistfirststyle"/>
        <w:ind w:left="426" w:hanging="426"/>
        <w:rPr>
          <w:rFonts w:ascii="Arial" w:hAnsi="Arial" w:cs="Arial"/>
        </w:rPr>
      </w:pPr>
      <w:r w:rsidRPr="00B62C96">
        <w:rPr>
          <w:rFonts w:ascii="Arial" w:hAnsi="Arial" w:cs="Arial"/>
        </w:rPr>
        <w:t xml:space="preserve">inputs related to the automatic import into the DMS (on the </w:t>
      </w:r>
      <w:r w:rsidR="00E73E0D" w:rsidRPr="00B62C96">
        <w:rPr>
          <w:rFonts w:ascii="Arial" w:hAnsi="Arial" w:cs="Arial"/>
          <w:b/>
        </w:rPr>
        <w:t>DMS i</w:t>
      </w:r>
      <w:r w:rsidRPr="00B62C96">
        <w:rPr>
          <w:rFonts w:ascii="Arial" w:hAnsi="Arial" w:cs="Arial"/>
          <w:b/>
        </w:rPr>
        <w:t>nput</w:t>
      </w:r>
      <w:r w:rsidRPr="00B62C96">
        <w:rPr>
          <w:rFonts w:ascii="Arial" w:hAnsi="Arial" w:cs="Arial"/>
        </w:rPr>
        <w:t xml:space="preserve"> sheet)</w:t>
      </w:r>
    </w:p>
    <w:p w:rsidR="000257BC" w:rsidRPr="00B62C96" w:rsidRDefault="000257BC" w:rsidP="005C3CBC">
      <w:pPr>
        <w:pStyle w:val="AERbulletlistfirststyle"/>
        <w:ind w:left="426" w:hanging="426"/>
        <w:rPr>
          <w:rFonts w:ascii="Arial" w:hAnsi="Arial" w:cs="Arial"/>
        </w:rPr>
      </w:pPr>
      <w:r w:rsidRPr="00B62C96">
        <w:rPr>
          <w:rFonts w:ascii="Arial" w:hAnsi="Arial" w:cs="Arial"/>
        </w:rPr>
        <w:t xml:space="preserve">inputs used when deriving smoothed revenue (on the </w:t>
      </w:r>
      <w:r w:rsidRPr="00B62C96">
        <w:rPr>
          <w:rFonts w:ascii="Arial" w:hAnsi="Arial" w:cs="Arial"/>
          <w:b/>
        </w:rPr>
        <w:t>X factors</w:t>
      </w:r>
      <w:r w:rsidRPr="00B62C96">
        <w:rPr>
          <w:rFonts w:ascii="Arial" w:hAnsi="Arial" w:cs="Arial"/>
        </w:rPr>
        <w:t xml:space="preserve"> sheet)</w:t>
      </w:r>
    </w:p>
    <w:p w:rsidR="000257BC" w:rsidRPr="00B62C96" w:rsidRDefault="000257BC" w:rsidP="005C3CBC">
      <w:pPr>
        <w:pStyle w:val="AERbulletlistfirststyle"/>
        <w:ind w:left="426" w:hanging="426"/>
        <w:rPr>
          <w:rFonts w:ascii="Arial" w:hAnsi="Arial" w:cs="Arial"/>
        </w:rPr>
      </w:pPr>
      <w:proofErr w:type="gramStart"/>
      <w:r w:rsidRPr="00B62C96">
        <w:rPr>
          <w:rFonts w:ascii="Arial" w:hAnsi="Arial" w:cs="Arial"/>
        </w:rPr>
        <w:t>input</w:t>
      </w:r>
      <w:proofErr w:type="gramEnd"/>
      <w:r w:rsidRPr="00B62C96">
        <w:rPr>
          <w:rFonts w:ascii="Arial" w:hAnsi="Arial" w:cs="Arial"/>
        </w:rPr>
        <w:t xml:space="preserve"> of the form of control for </w:t>
      </w:r>
      <w:r w:rsidR="00E73E0D" w:rsidRPr="00B62C96">
        <w:rPr>
          <w:rFonts w:ascii="Arial" w:hAnsi="Arial" w:cs="Arial"/>
        </w:rPr>
        <w:t xml:space="preserve">equity raising costs </w:t>
      </w:r>
      <w:r w:rsidRPr="00B62C96">
        <w:rPr>
          <w:rFonts w:ascii="Arial" w:hAnsi="Arial" w:cs="Arial"/>
        </w:rPr>
        <w:t xml:space="preserve">purposes (on the </w:t>
      </w:r>
      <w:r w:rsidRPr="00B62C96">
        <w:rPr>
          <w:rFonts w:ascii="Arial" w:hAnsi="Arial" w:cs="Arial"/>
          <w:b/>
        </w:rPr>
        <w:t>Equity raising costs</w:t>
      </w:r>
      <w:r w:rsidRPr="00B62C96">
        <w:rPr>
          <w:rFonts w:ascii="Arial" w:hAnsi="Arial" w:cs="Arial"/>
        </w:rPr>
        <w:t xml:space="preserve"> sheet).</w:t>
      </w:r>
    </w:p>
    <w:p w:rsidR="008270B1" w:rsidRPr="00B62C96" w:rsidRDefault="008270B1" w:rsidP="008270B1">
      <w:pPr>
        <w:pStyle w:val="AERbodytext"/>
        <w:numPr>
          <w:ilvl w:val="0"/>
          <w:numId w:val="9"/>
        </w:numPr>
        <w:rPr>
          <w:rFonts w:ascii="Arial" w:hAnsi="Arial" w:cs="Arial"/>
        </w:rPr>
      </w:pPr>
      <w:r w:rsidRPr="00B62C96">
        <w:rPr>
          <w:rFonts w:ascii="Arial" w:hAnsi="Arial" w:cs="Arial"/>
        </w:rPr>
        <w:t>These cells are also marked with light blue shading and are addressed when they arise.</w:t>
      </w:r>
    </w:p>
    <w:p w:rsidR="008270B1" w:rsidRPr="00B62C96" w:rsidRDefault="008270B1" w:rsidP="008270B1">
      <w:pPr>
        <w:pStyle w:val="AERbodytext"/>
        <w:numPr>
          <w:ilvl w:val="0"/>
          <w:numId w:val="9"/>
        </w:numPr>
        <w:rPr>
          <w:rFonts w:ascii="Arial" w:hAnsi="Arial" w:cs="Arial"/>
        </w:rPr>
      </w:pPr>
      <w:r w:rsidRPr="00B62C96">
        <w:rPr>
          <w:rFonts w:ascii="Arial" w:hAnsi="Arial" w:cs="Arial"/>
        </w:rPr>
        <w:fldChar w:fldCharType="begin"/>
      </w:r>
      <w:r w:rsidRPr="00B62C96">
        <w:rPr>
          <w:rFonts w:ascii="Arial" w:hAnsi="Arial" w:cs="Arial"/>
        </w:rPr>
        <w:instrText xml:space="preserve"> REF _Ref397601221 \h  \* MERGEFORMAT </w:instrText>
      </w:r>
      <w:r w:rsidRPr="00B62C96">
        <w:rPr>
          <w:rFonts w:ascii="Arial" w:hAnsi="Arial" w:cs="Arial"/>
        </w:rPr>
      </w:r>
      <w:r w:rsidRPr="00B62C96">
        <w:rPr>
          <w:rFonts w:ascii="Arial" w:hAnsi="Arial" w:cs="Arial"/>
        </w:rPr>
        <w:fldChar w:fldCharType="separate"/>
      </w:r>
      <w:r w:rsidR="006709B5" w:rsidRPr="00B62C96">
        <w:rPr>
          <w:rFonts w:ascii="Arial" w:hAnsi="Arial" w:cs="Arial"/>
        </w:rPr>
        <w:t xml:space="preserve">Figure </w:t>
      </w:r>
      <w:r w:rsidR="006709B5">
        <w:rPr>
          <w:rFonts w:ascii="Arial" w:hAnsi="Arial" w:cs="Arial"/>
          <w:noProof/>
        </w:rPr>
        <w:t>3</w:t>
      </w:r>
      <w:r w:rsidRPr="00B62C96">
        <w:rPr>
          <w:rFonts w:ascii="Arial" w:hAnsi="Arial" w:cs="Arial"/>
        </w:rPr>
        <w:fldChar w:fldCharType="end"/>
      </w:r>
      <w:r w:rsidRPr="00B62C96">
        <w:rPr>
          <w:rFonts w:ascii="Arial" w:hAnsi="Arial" w:cs="Arial"/>
        </w:rPr>
        <w:t xml:space="preserve">, </w:t>
      </w:r>
      <w:r w:rsidRPr="00B62C96">
        <w:rPr>
          <w:rFonts w:ascii="Arial" w:hAnsi="Arial" w:cs="Arial"/>
        </w:rPr>
        <w:fldChar w:fldCharType="begin"/>
      </w:r>
      <w:r w:rsidRPr="00B62C96">
        <w:rPr>
          <w:rFonts w:ascii="Arial" w:hAnsi="Arial" w:cs="Arial"/>
        </w:rPr>
        <w:instrText xml:space="preserve"> REF _Ref397601227 \h  \* MERGEFORMAT </w:instrText>
      </w:r>
      <w:r w:rsidRPr="00B62C96">
        <w:rPr>
          <w:rFonts w:ascii="Arial" w:hAnsi="Arial" w:cs="Arial"/>
        </w:rPr>
      </w:r>
      <w:r w:rsidRPr="00B62C96">
        <w:rPr>
          <w:rFonts w:ascii="Arial" w:hAnsi="Arial" w:cs="Arial"/>
        </w:rPr>
        <w:fldChar w:fldCharType="separate"/>
      </w:r>
      <w:r w:rsidR="006709B5" w:rsidRPr="00B62C96">
        <w:rPr>
          <w:rFonts w:ascii="Arial" w:hAnsi="Arial" w:cs="Arial"/>
        </w:rPr>
        <w:t xml:space="preserve">Figure </w:t>
      </w:r>
      <w:r w:rsidR="006709B5">
        <w:rPr>
          <w:rFonts w:ascii="Arial" w:hAnsi="Arial" w:cs="Arial"/>
          <w:noProof/>
        </w:rPr>
        <w:t>4</w:t>
      </w:r>
      <w:r w:rsidRPr="00B62C96">
        <w:rPr>
          <w:rFonts w:ascii="Arial" w:hAnsi="Arial" w:cs="Arial"/>
        </w:rPr>
        <w:fldChar w:fldCharType="end"/>
      </w:r>
      <w:r w:rsidRPr="00B62C96">
        <w:rPr>
          <w:rFonts w:ascii="Arial" w:hAnsi="Arial" w:cs="Arial"/>
        </w:rPr>
        <w:t xml:space="preserve"> and </w:t>
      </w:r>
      <w:r w:rsidRPr="00B62C96">
        <w:rPr>
          <w:rFonts w:ascii="Arial" w:hAnsi="Arial" w:cs="Arial"/>
        </w:rPr>
        <w:fldChar w:fldCharType="begin"/>
      </w:r>
      <w:r w:rsidRPr="00B62C96">
        <w:rPr>
          <w:rFonts w:ascii="Arial" w:hAnsi="Arial" w:cs="Arial"/>
        </w:rPr>
        <w:instrText xml:space="preserve"> REF _Ref398279328 \h  \* MERGEFORMAT </w:instrText>
      </w:r>
      <w:r w:rsidRPr="00B62C96">
        <w:rPr>
          <w:rFonts w:ascii="Arial" w:hAnsi="Arial" w:cs="Arial"/>
        </w:rPr>
      </w:r>
      <w:r w:rsidRPr="00B62C96">
        <w:rPr>
          <w:rFonts w:ascii="Arial" w:hAnsi="Arial" w:cs="Arial"/>
        </w:rPr>
        <w:fldChar w:fldCharType="separate"/>
      </w:r>
      <w:r w:rsidR="006709B5" w:rsidRPr="00B62C96">
        <w:rPr>
          <w:rFonts w:ascii="Arial" w:hAnsi="Arial" w:cs="Arial"/>
        </w:rPr>
        <w:t xml:space="preserve">Figure </w:t>
      </w:r>
      <w:r w:rsidR="006709B5">
        <w:rPr>
          <w:rFonts w:ascii="Arial" w:hAnsi="Arial" w:cs="Arial"/>
          <w:noProof/>
        </w:rPr>
        <w:t>5</w:t>
      </w:r>
      <w:r w:rsidRPr="00B62C96">
        <w:rPr>
          <w:rFonts w:ascii="Arial" w:hAnsi="Arial" w:cs="Arial"/>
        </w:rPr>
        <w:fldChar w:fldCharType="end"/>
      </w:r>
      <w:r w:rsidRPr="00B62C96">
        <w:rPr>
          <w:rFonts w:ascii="Arial" w:hAnsi="Arial" w:cs="Arial"/>
        </w:rPr>
        <w:t xml:space="preserve"> provide examples of the </w:t>
      </w:r>
      <w:r w:rsidR="00E47B17" w:rsidRPr="00B62C96">
        <w:rPr>
          <w:rFonts w:ascii="Arial" w:hAnsi="Arial" w:cs="Arial"/>
          <w:b/>
        </w:rPr>
        <w:t>PTRM</w:t>
      </w:r>
      <w:r w:rsidR="00E47B17" w:rsidRPr="00B62C96">
        <w:rPr>
          <w:rFonts w:ascii="Arial" w:hAnsi="Arial" w:cs="Arial"/>
        </w:rPr>
        <w:t xml:space="preserve"> </w:t>
      </w:r>
      <w:r w:rsidR="00E47B17" w:rsidRPr="00B62C96">
        <w:rPr>
          <w:rStyle w:val="AERtextbold"/>
          <w:rFonts w:ascii="Arial" w:hAnsi="Arial" w:cs="Arial"/>
        </w:rPr>
        <w:t>i</w:t>
      </w:r>
      <w:r w:rsidRPr="00B62C96">
        <w:rPr>
          <w:rStyle w:val="AERtextbold"/>
          <w:rFonts w:ascii="Arial" w:hAnsi="Arial" w:cs="Arial"/>
        </w:rPr>
        <w:t>nput</w:t>
      </w:r>
      <w:r w:rsidRPr="00B62C96">
        <w:rPr>
          <w:rFonts w:ascii="Arial" w:hAnsi="Arial" w:cs="Arial"/>
        </w:rPr>
        <w:t xml:space="preserve"> sheet.</w:t>
      </w:r>
    </w:p>
    <w:p w:rsidR="008270B1" w:rsidRPr="00B62C96" w:rsidRDefault="008270B1" w:rsidP="008270B1">
      <w:pPr>
        <w:pStyle w:val="Caption"/>
        <w:rPr>
          <w:rFonts w:ascii="Arial" w:hAnsi="Arial" w:cs="Arial"/>
        </w:rPr>
      </w:pPr>
      <w:bookmarkStart w:id="47" w:name="_Ref397601221"/>
      <w:r w:rsidRPr="00B62C96">
        <w:rPr>
          <w:rFonts w:ascii="Arial" w:hAnsi="Arial" w:cs="Arial"/>
        </w:rPr>
        <w:lastRenderedPageBreak/>
        <w:t xml:space="preserve">Figure </w:t>
      </w:r>
      <w:r w:rsidRPr="00B62C96">
        <w:rPr>
          <w:rFonts w:ascii="Arial" w:hAnsi="Arial" w:cs="Arial"/>
        </w:rPr>
        <w:fldChar w:fldCharType="begin"/>
      </w:r>
      <w:r w:rsidRPr="00B62C96">
        <w:rPr>
          <w:rFonts w:ascii="Arial" w:hAnsi="Arial" w:cs="Arial"/>
        </w:rPr>
        <w:instrText xml:space="preserve"> SEQ Figure \* ARABIC </w:instrText>
      </w:r>
      <w:r w:rsidRPr="00B62C96">
        <w:rPr>
          <w:rFonts w:ascii="Arial" w:hAnsi="Arial" w:cs="Arial"/>
        </w:rPr>
        <w:fldChar w:fldCharType="separate"/>
      </w:r>
      <w:r w:rsidR="006709B5">
        <w:rPr>
          <w:rFonts w:ascii="Arial" w:hAnsi="Arial" w:cs="Arial"/>
          <w:noProof/>
        </w:rPr>
        <w:t>3</w:t>
      </w:r>
      <w:r w:rsidRPr="00B62C96">
        <w:rPr>
          <w:rFonts w:ascii="Arial" w:hAnsi="Arial" w:cs="Arial"/>
          <w:noProof/>
        </w:rPr>
        <w:fldChar w:fldCharType="end"/>
      </w:r>
      <w:bookmarkEnd w:id="47"/>
      <w:r w:rsidRPr="00B62C96">
        <w:rPr>
          <w:rFonts w:ascii="Arial" w:hAnsi="Arial" w:cs="Arial"/>
        </w:rPr>
        <w:tab/>
      </w:r>
      <w:r w:rsidR="00D804FF" w:rsidRPr="00B62C96">
        <w:rPr>
          <w:rFonts w:ascii="Arial" w:hAnsi="Arial" w:cs="Arial"/>
        </w:rPr>
        <w:t xml:space="preserve">PTRM </w:t>
      </w:r>
      <w:r w:rsidR="00E47B17" w:rsidRPr="00B62C96">
        <w:rPr>
          <w:rFonts w:ascii="Arial" w:hAnsi="Arial" w:cs="Arial"/>
        </w:rPr>
        <w:t>i</w:t>
      </w:r>
      <w:r w:rsidRPr="00B62C96">
        <w:rPr>
          <w:rFonts w:ascii="Arial" w:hAnsi="Arial" w:cs="Arial"/>
        </w:rPr>
        <w:t xml:space="preserve">nput sheet–first screenshot </w:t>
      </w:r>
    </w:p>
    <w:p w:rsidR="008270B1" w:rsidRPr="00B62C96" w:rsidRDefault="00952A0F" w:rsidP="008270B1">
      <w:pPr>
        <w:pStyle w:val="AERbodytext"/>
        <w:numPr>
          <w:ilvl w:val="0"/>
          <w:numId w:val="9"/>
        </w:numPr>
        <w:rPr>
          <w:rFonts w:ascii="Arial" w:hAnsi="Arial" w:cs="Arial"/>
        </w:rPr>
      </w:pPr>
      <w:r>
        <w:rPr>
          <w:noProof/>
          <w:lang w:eastAsia="en-AU"/>
        </w:rPr>
        <w:drawing>
          <wp:inline distT="0" distB="0" distL="0" distR="0" wp14:anchorId="03247EC1" wp14:editId="2A1F545B">
            <wp:extent cx="5731510" cy="39153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3915307"/>
                    </a:xfrm>
                    <a:prstGeom prst="rect">
                      <a:avLst/>
                    </a:prstGeom>
                  </pic:spPr>
                </pic:pic>
              </a:graphicData>
            </a:graphic>
          </wp:inline>
        </w:drawing>
      </w:r>
    </w:p>
    <w:p w:rsidR="008270B1" w:rsidRPr="00B62C96" w:rsidRDefault="008270B1" w:rsidP="008270B1">
      <w:pPr>
        <w:pStyle w:val="Caption"/>
        <w:rPr>
          <w:rFonts w:ascii="Arial" w:hAnsi="Arial" w:cs="Arial"/>
        </w:rPr>
      </w:pPr>
      <w:bookmarkStart w:id="48" w:name="_Ref397601227"/>
      <w:r w:rsidRPr="00B62C96">
        <w:rPr>
          <w:rFonts w:ascii="Arial" w:hAnsi="Arial" w:cs="Arial"/>
        </w:rPr>
        <w:t xml:space="preserve">Figure </w:t>
      </w:r>
      <w:r w:rsidRPr="00B62C96">
        <w:rPr>
          <w:rFonts w:ascii="Arial" w:hAnsi="Arial" w:cs="Arial"/>
        </w:rPr>
        <w:fldChar w:fldCharType="begin"/>
      </w:r>
      <w:r w:rsidRPr="00B62C96">
        <w:rPr>
          <w:rFonts w:ascii="Arial" w:hAnsi="Arial" w:cs="Arial"/>
        </w:rPr>
        <w:instrText xml:space="preserve"> SEQ Figure \* ARABIC </w:instrText>
      </w:r>
      <w:r w:rsidRPr="00B62C96">
        <w:rPr>
          <w:rFonts w:ascii="Arial" w:hAnsi="Arial" w:cs="Arial"/>
        </w:rPr>
        <w:fldChar w:fldCharType="separate"/>
      </w:r>
      <w:r w:rsidR="006709B5">
        <w:rPr>
          <w:rFonts w:ascii="Arial" w:hAnsi="Arial" w:cs="Arial"/>
          <w:noProof/>
        </w:rPr>
        <w:t>4</w:t>
      </w:r>
      <w:r w:rsidRPr="00B62C96">
        <w:rPr>
          <w:rFonts w:ascii="Arial" w:hAnsi="Arial" w:cs="Arial"/>
          <w:noProof/>
        </w:rPr>
        <w:fldChar w:fldCharType="end"/>
      </w:r>
      <w:bookmarkEnd w:id="48"/>
      <w:r w:rsidRPr="00B62C96">
        <w:rPr>
          <w:rFonts w:ascii="Arial" w:hAnsi="Arial" w:cs="Arial"/>
        </w:rPr>
        <w:tab/>
      </w:r>
      <w:r w:rsidR="00D804FF" w:rsidRPr="00B62C96">
        <w:rPr>
          <w:rFonts w:ascii="Arial" w:hAnsi="Arial" w:cs="Arial"/>
        </w:rPr>
        <w:t xml:space="preserve">PTRM </w:t>
      </w:r>
      <w:r w:rsidR="00E47B17" w:rsidRPr="00B62C96">
        <w:rPr>
          <w:rFonts w:ascii="Arial" w:hAnsi="Arial" w:cs="Arial"/>
        </w:rPr>
        <w:t>i</w:t>
      </w:r>
      <w:r w:rsidRPr="00B62C96">
        <w:rPr>
          <w:rFonts w:ascii="Arial" w:hAnsi="Arial" w:cs="Arial"/>
        </w:rPr>
        <w:t>nput sheet–second screenshot</w:t>
      </w:r>
    </w:p>
    <w:p w:rsidR="008270B1" w:rsidRPr="00B62C96" w:rsidRDefault="00952A0F" w:rsidP="008270B1">
      <w:pPr>
        <w:pStyle w:val="AERbodytext"/>
        <w:numPr>
          <w:ilvl w:val="0"/>
          <w:numId w:val="9"/>
        </w:numPr>
        <w:rPr>
          <w:rFonts w:ascii="Arial" w:hAnsi="Arial" w:cs="Arial"/>
        </w:rPr>
      </w:pPr>
      <w:r>
        <w:rPr>
          <w:noProof/>
          <w:lang w:eastAsia="en-AU"/>
        </w:rPr>
        <w:drawing>
          <wp:inline distT="0" distB="0" distL="0" distR="0" wp14:anchorId="0EF40147" wp14:editId="41E1BF95">
            <wp:extent cx="5731510" cy="315294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3152943"/>
                    </a:xfrm>
                    <a:prstGeom prst="rect">
                      <a:avLst/>
                    </a:prstGeom>
                  </pic:spPr>
                </pic:pic>
              </a:graphicData>
            </a:graphic>
          </wp:inline>
        </w:drawing>
      </w:r>
    </w:p>
    <w:p w:rsidR="008270B1" w:rsidRPr="00B62C96" w:rsidRDefault="008270B1" w:rsidP="008270B1">
      <w:pPr>
        <w:pStyle w:val="Caption"/>
        <w:rPr>
          <w:rFonts w:ascii="Arial" w:hAnsi="Arial" w:cs="Arial"/>
        </w:rPr>
      </w:pPr>
      <w:bookmarkStart w:id="49" w:name="_Ref398279328"/>
      <w:r w:rsidRPr="00B62C96">
        <w:rPr>
          <w:rFonts w:ascii="Arial" w:hAnsi="Arial" w:cs="Arial"/>
        </w:rPr>
        <w:lastRenderedPageBreak/>
        <w:t xml:space="preserve">Figure </w:t>
      </w:r>
      <w:r w:rsidRPr="00B62C96">
        <w:rPr>
          <w:rFonts w:ascii="Arial" w:hAnsi="Arial" w:cs="Arial"/>
        </w:rPr>
        <w:fldChar w:fldCharType="begin"/>
      </w:r>
      <w:r w:rsidRPr="00B62C96">
        <w:rPr>
          <w:rFonts w:ascii="Arial" w:hAnsi="Arial" w:cs="Arial"/>
        </w:rPr>
        <w:instrText xml:space="preserve"> SEQ Figure \* ARABIC </w:instrText>
      </w:r>
      <w:r w:rsidRPr="00B62C96">
        <w:rPr>
          <w:rFonts w:ascii="Arial" w:hAnsi="Arial" w:cs="Arial"/>
        </w:rPr>
        <w:fldChar w:fldCharType="separate"/>
      </w:r>
      <w:r w:rsidR="006709B5">
        <w:rPr>
          <w:rFonts w:ascii="Arial" w:hAnsi="Arial" w:cs="Arial"/>
          <w:noProof/>
        </w:rPr>
        <w:t>5</w:t>
      </w:r>
      <w:r w:rsidRPr="00B62C96">
        <w:rPr>
          <w:rFonts w:ascii="Arial" w:hAnsi="Arial" w:cs="Arial"/>
          <w:noProof/>
        </w:rPr>
        <w:fldChar w:fldCharType="end"/>
      </w:r>
      <w:bookmarkEnd w:id="49"/>
      <w:r w:rsidRPr="00B62C96">
        <w:rPr>
          <w:rFonts w:ascii="Arial" w:hAnsi="Arial" w:cs="Arial"/>
        </w:rPr>
        <w:tab/>
      </w:r>
      <w:r w:rsidR="00D804FF" w:rsidRPr="00B62C96">
        <w:rPr>
          <w:rFonts w:ascii="Arial" w:hAnsi="Arial" w:cs="Arial"/>
        </w:rPr>
        <w:t xml:space="preserve">PTRM </w:t>
      </w:r>
      <w:r w:rsidR="00E47B17" w:rsidRPr="00B62C96">
        <w:rPr>
          <w:rFonts w:ascii="Arial" w:hAnsi="Arial" w:cs="Arial"/>
        </w:rPr>
        <w:t>i</w:t>
      </w:r>
      <w:r w:rsidRPr="00B62C96">
        <w:rPr>
          <w:rFonts w:ascii="Arial" w:hAnsi="Arial" w:cs="Arial"/>
        </w:rPr>
        <w:t>nput sheet–third screenshot</w:t>
      </w:r>
    </w:p>
    <w:p w:rsidR="008270B1" w:rsidRPr="00B62C96" w:rsidRDefault="00F92CE7" w:rsidP="008270B1">
      <w:pPr>
        <w:pStyle w:val="AERbodytext"/>
        <w:numPr>
          <w:ilvl w:val="0"/>
          <w:numId w:val="9"/>
        </w:numPr>
        <w:rPr>
          <w:rFonts w:ascii="Arial" w:hAnsi="Arial" w:cs="Arial"/>
        </w:rPr>
      </w:pPr>
      <w:r>
        <w:rPr>
          <w:noProof/>
          <w:lang w:eastAsia="en-AU"/>
        </w:rPr>
        <w:drawing>
          <wp:inline distT="0" distB="0" distL="0" distR="0" wp14:anchorId="0C7F9937" wp14:editId="16257D8B">
            <wp:extent cx="5731510" cy="378304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3783042"/>
                    </a:xfrm>
                    <a:prstGeom prst="rect">
                      <a:avLst/>
                    </a:prstGeom>
                  </pic:spPr>
                </pic:pic>
              </a:graphicData>
            </a:graphic>
          </wp:inline>
        </w:drawing>
      </w:r>
    </w:p>
    <w:p w:rsidR="008270B1" w:rsidRPr="00B62C96" w:rsidRDefault="008270B1" w:rsidP="008270B1">
      <w:pPr>
        <w:pStyle w:val="AERbodytext"/>
        <w:numPr>
          <w:ilvl w:val="0"/>
          <w:numId w:val="9"/>
        </w:numPr>
        <w:rPr>
          <w:rFonts w:ascii="Arial" w:hAnsi="Arial" w:cs="Arial"/>
        </w:rPr>
      </w:pPr>
      <w:r w:rsidRPr="00B62C96">
        <w:rPr>
          <w:rFonts w:ascii="Arial" w:hAnsi="Arial" w:cs="Arial"/>
        </w:rPr>
        <w:t>The PTRM can accommodate input data for up to a 10-year regulatory control period. Input cells outside of the relevant regulatory control period should be left blank.</w:t>
      </w:r>
    </w:p>
    <w:p w:rsidR="008270B1" w:rsidRPr="00B62C96" w:rsidRDefault="008270B1" w:rsidP="008270B1">
      <w:pPr>
        <w:pStyle w:val="AERbodytext"/>
        <w:numPr>
          <w:ilvl w:val="0"/>
          <w:numId w:val="9"/>
        </w:numPr>
        <w:rPr>
          <w:rFonts w:ascii="Arial" w:hAnsi="Arial" w:cs="Arial"/>
        </w:rPr>
      </w:pPr>
      <w:r w:rsidRPr="00B62C96">
        <w:rPr>
          <w:rFonts w:ascii="Arial" w:hAnsi="Arial" w:cs="Arial"/>
        </w:rPr>
        <w:t xml:space="preserve">The PTRM is configured to use the straight-line method as the default position for calculating depreciation for regulatory and tax purposes. </w:t>
      </w:r>
      <w:r w:rsidR="00892E97" w:rsidRPr="00B62C96">
        <w:rPr>
          <w:rFonts w:ascii="Arial" w:hAnsi="Arial" w:cs="Arial"/>
        </w:rPr>
        <w:t>If</w:t>
      </w:r>
      <w:r w:rsidRPr="00B62C96">
        <w:rPr>
          <w:rFonts w:ascii="Arial" w:hAnsi="Arial" w:cs="Arial"/>
        </w:rPr>
        <w:t xml:space="preserve"> DNSPs </w:t>
      </w:r>
      <w:r w:rsidR="00A45C92" w:rsidRPr="00B62C96">
        <w:rPr>
          <w:rFonts w:ascii="Arial" w:hAnsi="Arial" w:cs="Arial"/>
        </w:rPr>
        <w:t>intend</w:t>
      </w:r>
      <w:r w:rsidR="00892E97" w:rsidRPr="00B62C96">
        <w:rPr>
          <w:rFonts w:ascii="Arial" w:hAnsi="Arial" w:cs="Arial"/>
        </w:rPr>
        <w:t xml:space="preserve"> to</w:t>
      </w:r>
      <w:r w:rsidRPr="00B62C96">
        <w:rPr>
          <w:rFonts w:ascii="Arial" w:hAnsi="Arial" w:cs="Arial"/>
        </w:rPr>
        <w:t xml:space="preserve"> propose </w:t>
      </w:r>
      <w:r w:rsidR="00892E97" w:rsidRPr="00B62C96">
        <w:rPr>
          <w:rFonts w:ascii="Arial" w:hAnsi="Arial" w:cs="Arial"/>
        </w:rPr>
        <w:t>using</w:t>
      </w:r>
      <w:r w:rsidR="00A45C92" w:rsidRPr="00B62C96">
        <w:rPr>
          <w:rFonts w:ascii="Arial" w:hAnsi="Arial" w:cs="Arial"/>
        </w:rPr>
        <w:t xml:space="preserve"> other</w:t>
      </w:r>
      <w:r w:rsidRPr="00B62C96">
        <w:rPr>
          <w:rFonts w:ascii="Arial" w:hAnsi="Arial" w:cs="Arial"/>
        </w:rPr>
        <w:t xml:space="preserve"> depreciation profiles</w:t>
      </w:r>
      <w:r w:rsidR="00892E97" w:rsidRPr="00B62C96">
        <w:rPr>
          <w:rFonts w:ascii="Arial" w:hAnsi="Arial" w:cs="Arial"/>
        </w:rPr>
        <w:t>, it is recommended that they raise this</w:t>
      </w:r>
      <w:r w:rsidRPr="00B62C96">
        <w:rPr>
          <w:rFonts w:ascii="Arial" w:hAnsi="Arial" w:cs="Arial"/>
        </w:rPr>
        <w:t xml:space="preserve"> as part of pre-lodgement discussions</w:t>
      </w:r>
      <w:r w:rsidR="00A45C92" w:rsidRPr="00B62C96">
        <w:rPr>
          <w:rFonts w:ascii="Arial" w:hAnsi="Arial" w:cs="Arial"/>
        </w:rPr>
        <w:t>.</w:t>
      </w:r>
      <w:r w:rsidR="00DD5533" w:rsidRPr="00323FEB">
        <w:rPr>
          <w:rFonts w:ascii="Arial" w:hAnsi="Arial" w:cs="Arial"/>
          <w:vertAlign w:val="superscript"/>
        </w:rPr>
        <w:footnoteReference w:id="5"/>
      </w:r>
      <w:r w:rsidR="00A45C92" w:rsidRPr="00B62C96">
        <w:rPr>
          <w:rFonts w:ascii="Arial" w:hAnsi="Arial" w:cs="Arial"/>
        </w:rPr>
        <w:t xml:space="preserve"> </w:t>
      </w:r>
      <w:r w:rsidR="00DD5533" w:rsidRPr="00B62C96">
        <w:rPr>
          <w:rFonts w:ascii="Arial" w:hAnsi="Arial" w:cs="Arial"/>
        </w:rPr>
        <w:t>For example,</w:t>
      </w:r>
      <w:r w:rsidR="00892E97" w:rsidRPr="00B62C96">
        <w:rPr>
          <w:rFonts w:ascii="Arial" w:hAnsi="Arial" w:cs="Arial"/>
        </w:rPr>
        <w:t xml:space="preserve"> </w:t>
      </w:r>
      <w:r w:rsidR="00DD5533" w:rsidRPr="00B62C96">
        <w:rPr>
          <w:rFonts w:ascii="Arial" w:hAnsi="Arial" w:cs="Arial"/>
        </w:rPr>
        <w:t>this could take place during</w:t>
      </w:r>
      <w:r w:rsidR="00892E97" w:rsidRPr="00B62C96">
        <w:rPr>
          <w:rFonts w:ascii="Arial" w:hAnsi="Arial" w:cs="Arial"/>
        </w:rPr>
        <w:t xml:space="preserve"> the framework and approach process </w:t>
      </w:r>
      <w:r w:rsidR="00DD5533" w:rsidRPr="00B62C96">
        <w:rPr>
          <w:rFonts w:ascii="Arial" w:hAnsi="Arial" w:cs="Arial"/>
        </w:rPr>
        <w:t>for a determination</w:t>
      </w:r>
      <w:r w:rsidR="00892E97" w:rsidRPr="00B62C96">
        <w:rPr>
          <w:rFonts w:ascii="Arial" w:hAnsi="Arial" w:cs="Arial"/>
        </w:rPr>
        <w:t>.</w:t>
      </w:r>
      <w:r w:rsidR="00DD5533" w:rsidRPr="00B62C96">
        <w:rPr>
          <w:rFonts w:ascii="Arial" w:hAnsi="Arial" w:cs="Arial"/>
        </w:rPr>
        <w:footnoteReference w:id="6"/>
      </w:r>
      <w:r w:rsidRPr="00B62C96">
        <w:rPr>
          <w:rFonts w:ascii="Arial" w:hAnsi="Arial" w:cs="Arial"/>
        </w:rPr>
        <w:t xml:space="preserve"> </w:t>
      </w:r>
    </w:p>
    <w:p w:rsidR="008270B1" w:rsidRPr="00B62C96" w:rsidRDefault="008270B1" w:rsidP="00B62C96">
      <w:pPr>
        <w:pStyle w:val="Heading3"/>
        <w:numPr>
          <w:ilvl w:val="3"/>
          <w:numId w:val="10"/>
        </w:numPr>
        <w:rPr>
          <w:rFonts w:ascii="Arial" w:hAnsi="Arial" w:cs="Arial"/>
        </w:rPr>
      </w:pPr>
      <w:bookmarkStart w:id="50" w:name="_Toc399339662"/>
      <w:bookmarkStart w:id="51" w:name="_Toc410224069"/>
      <w:r w:rsidRPr="00B62C96">
        <w:rPr>
          <w:rFonts w:ascii="Arial" w:hAnsi="Arial" w:cs="Arial"/>
        </w:rPr>
        <w:t>Opening regulatory asset base and opening tax asset base</w:t>
      </w:r>
      <w:bookmarkEnd w:id="50"/>
      <w:bookmarkEnd w:id="51"/>
    </w:p>
    <w:p w:rsidR="008270B1" w:rsidRPr="00B62C96" w:rsidRDefault="008270B1" w:rsidP="008270B1">
      <w:pPr>
        <w:pStyle w:val="AERbodytext"/>
        <w:numPr>
          <w:ilvl w:val="0"/>
          <w:numId w:val="9"/>
        </w:numPr>
        <w:rPr>
          <w:rFonts w:ascii="Arial" w:hAnsi="Arial" w:cs="Arial"/>
        </w:rPr>
      </w:pPr>
      <w:r w:rsidRPr="00B62C96">
        <w:rPr>
          <w:rFonts w:ascii="Arial" w:hAnsi="Arial" w:cs="Arial"/>
        </w:rPr>
        <w:t xml:space="preserve">The opening RAB is the value of assets on which a return will be earned. The opening TAB is used to calculate depreciation for tax purposes. The </w:t>
      </w:r>
      <w:r w:rsidR="00D804FF" w:rsidRPr="00B62C96">
        <w:rPr>
          <w:rFonts w:ascii="Arial" w:hAnsi="Arial" w:cs="Arial"/>
          <w:b/>
        </w:rPr>
        <w:t>PTRM</w:t>
      </w:r>
      <w:r w:rsidR="00D804FF" w:rsidRPr="00B62C96">
        <w:rPr>
          <w:rFonts w:ascii="Arial" w:hAnsi="Arial" w:cs="Arial"/>
        </w:rPr>
        <w:t xml:space="preserve"> </w:t>
      </w:r>
      <w:r w:rsidR="00E47B17" w:rsidRPr="00B62C96">
        <w:rPr>
          <w:rStyle w:val="AERtextbold"/>
          <w:rFonts w:ascii="Arial" w:hAnsi="Arial" w:cs="Arial"/>
        </w:rPr>
        <w:t>i</w:t>
      </w:r>
      <w:r w:rsidRPr="00B62C96">
        <w:rPr>
          <w:rStyle w:val="AERtextbold"/>
          <w:rFonts w:ascii="Arial" w:hAnsi="Arial" w:cs="Arial"/>
        </w:rPr>
        <w:t>nput</w:t>
      </w:r>
      <w:r w:rsidRPr="00B62C96">
        <w:rPr>
          <w:rFonts w:ascii="Arial" w:hAnsi="Arial" w:cs="Arial"/>
        </w:rPr>
        <w:t xml:space="preserve"> sheet requires a value for the opening RAB (broken into asset classes in rows 7 to 36) and opening TAB at the start of the first regulatory year of the next regulatory control period. The RAB and TAB will differ each regulatory year to reflect forecast capex, asset disposals, customer contributions and regulatory depreciation (for the RAB) or tax depreciation (for the TAB). </w:t>
      </w:r>
    </w:p>
    <w:p w:rsidR="008270B1" w:rsidRPr="00B62C96" w:rsidRDefault="008270B1" w:rsidP="008270B1">
      <w:pPr>
        <w:pStyle w:val="AERbodytext"/>
        <w:numPr>
          <w:ilvl w:val="0"/>
          <w:numId w:val="9"/>
        </w:numPr>
        <w:rPr>
          <w:rFonts w:ascii="Arial" w:hAnsi="Arial" w:cs="Arial"/>
        </w:rPr>
      </w:pPr>
      <w:r w:rsidRPr="00B62C96">
        <w:rPr>
          <w:rFonts w:ascii="Arial" w:hAnsi="Arial" w:cs="Arial"/>
        </w:rPr>
        <w:t xml:space="preserve">The recorded input values are linked to the </w:t>
      </w:r>
      <w:r w:rsidRPr="00B62C96">
        <w:rPr>
          <w:rStyle w:val="AERtextbold"/>
          <w:rFonts w:ascii="Arial" w:hAnsi="Arial" w:cs="Arial"/>
        </w:rPr>
        <w:t>Assets</w:t>
      </w:r>
      <w:r w:rsidRPr="00B62C96">
        <w:rPr>
          <w:rFonts w:ascii="Arial" w:hAnsi="Arial" w:cs="Arial"/>
        </w:rPr>
        <w:t xml:space="preserve"> sheet, which also calculates depreciation for the next regulatory control period. Notes have also been included for various cells with specific comments and explanations about the relevance of the inputs.</w:t>
      </w:r>
    </w:p>
    <w:p w:rsidR="008270B1" w:rsidRPr="00B62C96" w:rsidRDefault="008270B1" w:rsidP="008270B1">
      <w:pPr>
        <w:pStyle w:val="HeadingBoldBlue"/>
        <w:numPr>
          <w:ilvl w:val="0"/>
          <w:numId w:val="9"/>
        </w:numPr>
        <w:rPr>
          <w:rFonts w:ascii="Arial" w:hAnsi="Arial" w:cs="Arial"/>
        </w:rPr>
      </w:pPr>
      <w:r w:rsidRPr="00B62C96">
        <w:rPr>
          <w:rFonts w:ascii="Arial" w:hAnsi="Arial" w:cs="Arial"/>
        </w:rPr>
        <w:lastRenderedPageBreak/>
        <w:t>Asset class name</w:t>
      </w:r>
    </w:p>
    <w:p w:rsidR="008270B1" w:rsidRPr="00B62C96" w:rsidRDefault="008270B1" w:rsidP="008270B1">
      <w:pPr>
        <w:pStyle w:val="AERbodytext"/>
        <w:numPr>
          <w:ilvl w:val="0"/>
          <w:numId w:val="9"/>
        </w:numPr>
        <w:rPr>
          <w:rFonts w:ascii="Arial" w:hAnsi="Arial" w:cs="Arial"/>
        </w:rPr>
      </w:pPr>
      <w:r w:rsidRPr="00B62C96">
        <w:rPr>
          <w:rFonts w:ascii="Arial" w:hAnsi="Arial" w:cs="Arial"/>
        </w:rPr>
        <w:t>The asset classes/names are recorded in column G. It is important that the asset classes recorded in the RAB section match the asset classes for which capex, disposals and capital contributions are reported in other input sections. This allows the PTRM to model depreciation consistently across the asset classes.</w:t>
      </w:r>
    </w:p>
    <w:p w:rsidR="008270B1" w:rsidRPr="00B62C96" w:rsidRDefault="008270B1" w:rsidP="008270B1">
      <w:pPr>
        <w:pStyle w:val="AERbodytext"/>
        <w:numPr>
          <w:ilvl w:val="0"/>
          <w:numId w:val="9"/>
        </w:numPr>
        <w:rPr>
          <w:rFonts w:ascii="Arial" w:hAnsi="Arial" w:cs="Arial"/>
        </w:rPr>
      </w:pPr>
      <w:r w:rsidRPr="00B62C96">
        <w:rPr>
          <w:rFonts w:ascii="Arial" w:hAnsi="Arial" w:cs="Arial"/>
        </w:rPr>
        <w:t>The PTRM is configured to accommodate up to 30 asset classes.</w:t>
      </w:r>
      <w:r w:rsidRPr="00B62C96">
        <w:rPr>
          <w:rStyle w:val="FootnoteReference"/>
          <w:rFonts w:ascii="Arial" w:hAnsi="Arial" w:cs="Arial"/>
        </w:rPr>
        <w:footnoteReference w:id="7"/>
      </w:r>
      <w:r w:rsidRPr="00B62C96">
        <w:rPr>
          <w:rFonts w:ascii="Arial" w:hAnsi="Arial" w:cs="Arial"/>
        </w:rPr>
        <w:t xml:space="preserve"> The number of asset classes used in the PTRM will vary between businesses.</w:t>
      </w:r>
      <w:r w:rsidRPr="00B62C96">
        <w:rPr>
          <w:rStyle w:val="FootnoteReference"/>
          <w:rFonts w:ascii="Arial" w:hAnsi="Arial" w:cs="Arial"/>
        </w:rPr>
        <w:footnoteReference w:id="8"/>
      </w:r>
      <w:r w:rsidRPr="00B62C96">
        <w:rPr>
          <w:rFonts w:ascii="Arial" w:hAnsi="Arial" w:cs="Arial"/>
        </w:rPr>
        <w:t xml:space="preserve"> However, for each business the asset classes used in the PTRM must be consistent with that used in the AER’s roll forward model (RFM). This allows the closing RAB values determined in the RFM to be used as inputs to the opening RAB values in the PTRM. RAB values by asset class derived from the RFM may be aggregated or disaggregated when forming inputs for the PTRM where this demonstrably improves the accuracy or administrative convenience of asset calculations.</w:t>
      </w:r>
    </w:p>
    <w:p w:rsidR="008270B1" w:rsidRPr="00B62C96" w:rsidRDefault="008270B1" w:rsidP="008270B1">
      <w:pPr>
        <w:pStyle w:val="HeadingBoldBlue"/>
        <w:numPr>
          <w:ilvl w:val="0"/>
          <w:numId w:val="9"/>
        </w:numPr>
        <w:rPr>
          <w:rFonts w:ascii="Arial" w:hAnsi="Arial" w:cs="Arial"/>
        </w:rPr>
      </w:pPr>
      <w:r w:rsidRPr="00B62C96">
        <w:rPr>
          <w:rFonts w:ascii="Arial" w:hAnsi="Arial" w:cs="Arial"/>
        </w:rPr>
        <w:t>Opening asset value</w:t>
      </w:r>
    </w:p>
    <w:p w:rsidR="008270B1" w:rsidRPr="00B62C96" w:rsidRDefault="008270B1" w:rsidP="008270B1">
      <w:pPr>
        <w:pStyle w:val="AERbodytext"/>
        <w:numPr>
          <w:ilvl w:val="0"/>
          <w:numId w:val="9"/>
        </w:numPr>
        <w:rPr>
          <w:rFonts w:ascii="Arial" w:hAnsi="Arial" w:cs="Arial"/>
        </w:rPr>
      </w:pPr>
      <w:r w:rsidRPr="00B62C96">
        <w:rPr>
          <w:rFonts w:ascii="Arial" w:hAnsi="Arial" w:cs="Arial"/>
        </w:rPr>
        <w:t>The opening asset values for each asset class are recorded in column J and are manually sourced from the closing asset value for each asset class as determined in the RFM.</w:t>
      </w:r>
    </w:p>
    <w:p w:rsidR="008270B1" w:rsidRPr="00B62C96" w:rsidRDefault="008270B1" w:rsidP="008270B1">
      <w:pPr>
        <w:pStyle w:val="HeadingBoldBlue"/>
        <w:numPr>
          <w:ilvl w:val="0"/>
          <w:numId w:val="9"/>
        </w:numPr>
        <w:rPr>
          <w:rFonts w:ascii="Arial" w:hAnsi="Arial" w:cs="Arial"/>
        </w:rPr>
      </w:pPr>
      <w:r w:rsidRPr="00B62C96">
        <w:rPr>
          <w:rFonts w:ascii="Arial" w:hAnsi="Arial" w:cs="Arial"/>
        </w:rPr>
        <w:t>Assets under construction</w:t>
      </w:r>
    </w:p>
    <w:p w:rsidR="008270B1" w:rsidRPr="00B62C96" w:rsidRDefault="008270B1" w:rsidP="008270B1">
      <w:pPr>
        <w:pStyle w:val="AERbodytext"/>
        <w:numPr>
          <w:ilvl w:val="0"/>
          <w:numId w:val="9"/>
        </w:numPr>
        <w:rPr>
          <w:rFonts w:ascii="Arial" w:hAnsi="Arial" w:cs="Arial"/>
        </w:rPr>
      </w:pPr>
      <w:r w:rsidRPr="00B62C96">
        <w:rPr>
          <w:rFonts w:ascii="Arial" w:hAnsi="Arial" w:cs="Arial"/>
        </w:rPr>
        <w:t>The value of assets under construction for each asset class, where relevant, is recorded in column K.</w:t>
      </w:r>
      <w:r w:rsidRPr="00B62C96">
        <w:rPr>
          <w:rStyle w:val="FootnoteReference"/>
          <w:rFonts w:ascii="Arial" w:hAnsi="Arial" w:cs="Arial"/>
        </w:rPr>
        <w:footnoteReference w:id="9"/>
      </w:r>
      <w:r w:rsidRPr="00B62C96">
        <w:rPr>
          <w:rFonts w:ascii="Arial" w:hAnsi="Arial" w:cs="Arial"/>
        </w:rPr>
        <w:t xml:space="preserve"> The total value of assets under construction as at the start of the first regulatory year of the next regulatory control period (cell K37) is rolled into the opening RAB value (cell J37).</w:t>
      </w:r>
    </w:p>
    <w:p w:rsidR="008270B1" w:rsidRPr="00B62C96" w:rsidRDefault="008270B1" w:rsidP="008270B1">
      <w:pPr>
        <w:pStyle w:val="HeadingBoldBlue"/>
        <w:numPr>
          <w:ilvl w:val="0"/>
          <w:numId w:val="9"/>
        </w:numPr>
        <w:rPr>
          <w:rFonts w:ascii="Arial" w:hAnsi="Arial" w:cs="Arial"/>
        </w:rPr>
      </w:pPr>
      <w:r w:rsidRPr="00B62C96">
        <w:rPr>
          <w:rFonts w:ascii="Arial" w:hAnsi="Arial" w:cs="Arial"/>
        </w:rPr>
        <w:t>Average remaining life</w:t>
      </w:r>
    </w:p>
    <w:p w:rsidR="008270B1" w:rsidRPr="00B62C96" w:rsidRDefault="008270B1" w:rsidP="008270B1">
      <w:pPr>
        <w:pStyle w:val="AERbodytext"/>
        <w:numPr>
          <w:ilvl w:val="0"/>
          <w:numId w:val="9"/>
        </w:numPr>
        <w:rPr>
          <w:rFonts w:ascii="Arial" w:hAnsi="Arial" w:cs="Arial"/>
        </w:rPr>
      </w:pPr>
      <w:r w:rsidRPr="00B62C96">
        <w:rPr>
          <w:rFonts w:ascii="Arial" w:hAnsi="Arial" w:cs="Arial"/>
        </w:rPr>
        <w:t>The average remaining life of the asset classes is recorded in column L, based on the economic life of the assets.</w:t>
      </w:r>
      <w:r w:rsidRPr="00B62C96">
        <w:rPr>
          <w:rStyle w:val="FootnoteReference"/>
          <w:rFonts w:ascii="Arial" w:hAnsi="Arial" w:cs="Arial"/>
        </w:rPr>
        <w:footnoteReference w:id="10"/>
      </w:r>
    </w:p>
    <w:p w:rsidR="008270B1" w:rsidRPr="00B62C96" w:rsidRDefault="008270B1" w:rsidP="008270B1">
      <w:pPr>
        <w:pStyle w:val="HeadingBoldBlue"/>
        <w:numPr>
          <w:ilvl w:val="0"/>
          <w:numId w:val="9"/>
        </w:numPr>
        <w:rPr>
          <w:rFonts w:ascii="Arial" w:hAnsi="Arial" w:cs="Arial"/>
        </w:rPr>
      </w:pPr>
      <w:r w:rsidRPr="00B62C96">
        <w:rPr>
          <w:rFonts w:ascii="Arial" w:hAnsi="Arial" w:cs="Arial"/>
        </w:rPr>
        <w:t>Standard life</w:t>
      </w:r>
    </w:p>
    <w:p w:rsidR="008270B1" w:rsidRPr="00B62C96" w:rsidRDefault="008270B1" w:rsidP="008270B1">
      <w:pPr>
        <w:pStyle w:val="AERbodytext"/>
        <w:numPr>
          <w:ilvl w:val="0"/>
          <w:numId w:val="9"/>
        </w:numPr>
        <w:rPr>
          <w:rFonts w:ascii="Arial" w:hAnsi="Arial" w:cs="Arial"/>
        </w:rPr>
      </w:pPr>
      <w:r w:rsidRPr="00B62C96">
        <w:rPr>
          <w:rFonts w:ascii="Arial" w:hAnsi="Arial" w:cs="Arial"/>
        </w:rPr>
        <w:t>The standard life of the asset classes is recorded in column M and measures how long the infrastructure would physically last had it just been built.</w:t>
      </w:r>
    </w:p>
    <w:p w:rsidR="008270B1" w:rsidRPr="00B62C96" w:rsidRDefault="008270B1" w:rsidP="008270B1">
      <w:pPr>
        <w:pStyle w:val="HeadingBoldBlue"/>
        <w:numPr>
          <w:ilvl w:val="0"/>
          <w:numId w:val="9"/>
        </w:numPr>
        <w:rPr>
          <w:rFonts w:ascii="Arial" w:hAnsi="Arial" w:cs="Arial"/>
        </w:rPr>
      </w:pPr>
      <w:r w:rsidRPr="00B62C96">
        <w:rPr>
          <w:rFonts w:ascii="Arial" w:hAnsi="Arial" w:cs="Arial"/>
        </w:rPr>
        <w:t>Opening tax value</w:t>
      </w:r>
    </w:p>
    <w:p w:rsidR="008270B1" w:rsidRPr="00B62C96" w:rsidRDefault="008270B1" w:rsidP="008270B1">
      <w:pPr>
        <w:pStyle w:val="AERbodytext"/>
        <w:numPr>
          <w:ilvl w:val="0"/>
          <w:numId w:val="9"/>
        </w:numPr>
        <w:rPr>
          <w:rFonts w:ascii="Arial" w:hAnsi="Arial" w:cs="Arial"/>
        </w:rPr>
      </w:pPr>
      <w:r w:rsidRPr="00B62C96">
        <w:rPr>
          <w:rFonts w:ascii="Arial" w:hAnsi="Arial" w:cs="Arial"/>
        </w:rPr>
        <w:t>The opening tax values for each asset class are sourced from the closing tax asset values which have been determined in the RFM and are recorded in column N. Assets valued for tax purposes should include the value of contributed assets.</w:t>
      </w:r>
    </w:p>
    <w:p w:rsidR="008270B1" w:rsidRPr="00B62C96" w:rsidRDefault="008270B1" w:rsidP="008270B1">
      <w:pPr>
        <w:pStyle w:val="HeadingBoldBlue"/>
        <w:numPr>
          <w:ilvl w:val="0"/>
          <w:numId w:val="9"/>
        </w:numPr>
        <w:rPr>
          <w:rFonts w:ascii="Arial" w:hAnsi="Arial" w:cs="Arial"/>
        </w:rPr>
      </w:pPr>
      <w:r w:rsidRPr="00B62C96">
        <w:rPr>
          <w:rFonts w:ascii="Arial" w:hAnsi="Arial" w:cs="Arial"/>
        </w:rPr>
        <w:t>Average tax remaining life</w:t>
      </w:r>
    </w:p>
    <w:p w:rsidR="008270B1" w:rsidRPr="00B62C96" w:rsidRDefault="008270B1" w:rsidP="008270B1">
      <w:pPr>
        <w:pStyle w:val="AERbodytext"/>
        <w:numPr>
          <w:ilvl w:val="0"/>
          <w:numId w:val="9"/>
        </w:numPr>
        <w:rPr>
          <w:rFonts w:ascii="Arial" w:hAnsi="Arial" w:cs="Arial"/>
        </w:rPr>
      </w:pPr>
      <w:r w:rsidRPr="00B62C96">
        <w:rPr>
          <w:rFonts w:ascii="Arial" w:hAnsi="Arial" w:cs="Arial"/>
        </w:rPr>
        <w:t>The average tax remaining lives of each asset class for taxation purposes are recorded in column O based on the tax lives specified by the Australian Tax Office (ATO) for the category of assets and commissioning dates.</w:t>
      </w:r>
    </w:p>
    <w:p w:rsidR="008270B1" w:rsidRPr="00B62C96" w:rsidRDefault="008270B1" w:rsidP="008270B1">
      <w:pPr>
        <w:pStyle w:val="HeadingBoldBlue"/>
        <w:numPr>
          <w:ilvl w:val="0"/>
          <w:numId w:val="9"/>
        </w:numPr>
        <w:rPr>
          <w:rFonts w:ascii="Arial" w:hAnsi="Arial" w:cs="Arial"/>
        </w:rPr>
      </w:pPr>
      <w:r w:rsidRPr="00B62C96">
        <w:rPr>
          <w:rFonts w:ascii="Arial" w:hAnsi="Arial" w:cs="Arial"/>
        </w:rPr>
        <w:lastRenderedPageBreak/>
        <w:t>Tax standard life</w:t>
      </w:r>
    </w:p>
    <w:p w:rsidR="008270B1" w:rsidRPr="00B62C96" w:rsidRDefault="008270B1" w:rsidP="008270B1">
      <w:pPr>
        <w:pStyle w:val="AERbodytext"/>
        <w:numPr>
          <w:ilvl w:val="0"/>
          <w:numId w:val="9"/>
        </w:numPr>
        <w:rPr>
          <w:rFonts w:ascii="Arial" w:hAnsi="Arial" w:cs="Arial"/>
        </w:rPr>
      </w:pPr>
      <w:r w:rsidRPr="00B62C96">
        <w:rPr>
          <w:rFonts w:ascii="Arial" w:hAnsi="Arial" w:cs="Arial"/>
        </w:rPr>
        <w:t>The tax standard lives of each asset class are recorded in column P.</w:t>
      </w:r>
    </w:p>
    <w:p w:rsidR="008270B1" w:rsidRPr="00B62C96" w:rsidRDefault="008270B1" w:rsidP="008270B1">
      <w:pPr>
        <w:pStyle w:val="HeadingBoldBlue"/>
        <w:numPr>
          <w:ilvl w:val="0"/>
          <w:numId w:val="9"/>
        </w:numPr>
        <w:rPr>
          <w:rFonts w:ascii="Arial" w:hAnsi="Arial" w:cs="Arial"/>
        </w:rPr>
      </w:pPr>
      <w:r w:rsidRPr="00B62C96">
        <w:rPr>
          <w:rFonts w:ascii="Arial" w:hAnsi="Arial" w:cs="Arial"/>
        </w:rPr>
        <w:t>Base regulatory year</w:t>
      </w:r>
    </w:p>
    <w:p w:rsidR="008270B1" w:rsidRPr="00B62C96" w:rsidRDefault="008270B1" w:rsidP="008270B1">
      <w:pPr>
        <w:pStyle w:val="AERbodytext"/>
        <w:numPr>
          <w:ilvl w:val="0"/>
          <w:numId w:val="9"/>
        </w:numPr>
        <w:rPr>
          <w:rFonts w:ascii="Arial" w:hAnsi="Arial" w:cs="Arial"/>
        </w:rPr>
      </w:pPr>
      <w:r w:rsidRPr="00B62C96">
        <w:rPr>
          <w:rFonts w:ascii="Arial" w:hAnsi="Arial" w:cs="Arial"/>
        </w:rPr>
        <w:t>The regulatory year for the start of the next regulatory control period is recorded in cell Q7.</w:t>
      </w:r>
    </w:p>
    <w:p w:rsidR="008270B1" w:rsidRPr="00B62C96" w:rsidRDefault="008270B1" w:rsidP="00B62C96">
      <w:pPr>
        <w:pStyle w:val="HeadingBoldBlue"/>
        <w:numPr>
          <w:ilvl w:val="0"/>
          <w:numId w:val="9"/>
        </w:numPr>
        <w:rPr>
          <w:rFonts w:ascii="Arial" w:hAnsi="Arial" w:cs="Arial"/>
        </w:rPr>
      </w:pPr>
      <w:r w:rsidRPr="00B62C96">
        <w:rPr>
          <w:rFonts w:ascii="Arial" w:hAnsi="Arial" w:cs="Arial"/>
        </w:rPr>
        <w:t>Length of regulatory control year</w:t>
      </w:r>
    </w:p>
    <w:p w:rsidR="008270B1" w:rsidRPr="00B62C96" w:rsidRDefault="008270B1" w:rsidP="00B62C96">
      <w:pPr>
        <w:rPr>
          <w:rFonts w:ascii="Arial" w:hAnsi="Arial" w:cs="Arial"/>
        </w:rPr>
      </w:pPr>
      <w:r w:rsidRPr="00B62C96">
        <w:rPr>
          <w:rFonts w:ascii="Arial" w:hAnsi="Arial" w:cs="Arial"/>
        </w:rPr>
        <w:t>The number of years in the next regulatory control period is recorded in cell R7.</w:t>
      </w:r>
    </w:p>
    <w:p w:rsidR="008270B1" w:rsidRPr="00B62C96" w:rsidRDefault="008270B1" w:rsidP="00B62C96">
      <w:pPr>
        <w:pStyle w:val="Heading3"/>
        <w:numPr>
          <w:ilvl w:val="3"/>
          <w:numId w:val="10"/>
        </w:numPr>
        <w:rPr>
          <w:rFonts w:ascii="Arial" w:hAnsi="Arial" w:cs="Arial"/>
        </w:rPr>
      </w:pPr>
      <w:bookmarkStart w:id="52" w:name="_Toc399339663"/>
      <w:bookmarkStart w:id="53" w:name="_Toc410224070"/>
      <w:r w:rsidRPr="00B62C96">
        <w:rPr>
          <w:rFonts w:ascii="Arial" w:hAnsi="Arial" w:cs="Arial"/>
        </w:rPr>
        <w:t>Forecast real capital expenditure—as-incurred</w:t>
      </w:r>
      <w:bookmarkEnd w:id="52"/>
      <w:bookmarkEnd w:id="53"/>
      <w:r w:rsidRPr="00B62C96">
        <w:rPr>
          <w:rFonts w:ascii="Arial" w:hAnsi="Arial" w:cs="Arial"/>
        </w:rPr>
        <w:t xml:space="preserve"> </w:t>
      </w:r>
    </w:p>
    <w:p w:rsidR="008270B1" w:rsidRPr="00B62C96" w:rsidRDefault="008270B1" w:rsidP="008270B1">
      <w:pPr>
        <w:pStyle w:val="AERbodytext"/>
        <w:numPr>
          <w:ilvl w:val="0"/>
          <w:numId w:val="9"/>
        </w:numPr>
        <w:rPr>
          <w:rFonts w:ascii="Arial" w:hAnsi="Arial" w:cs="Arial"/>
        </w:rPr>
      </w:pPr>
      <w:r w:rsidRPr="00B62C96">
        <w:rPr>
          <w:rFonts w:ascii="Arial" w:hAnsi="Arial" w:cs="Arial"/>
        </w:rPr>
        <w:t>Forecast capex values for the next regulatory control period are recorded for each regulatory year in rows 41 to 70</w:t>
      </w:r>
      <w:r w:rsidRPr="00B62C96">
        <w:rPr>
          <w:rStyle w:val="FootnoteReference"/>
          <w:rFonts w:ascii="Arial" w:hAnsi="Arial" w:cs="Arial"/>
        </w:rPr>
        <w:footnoteReference w:id="11"/>
      </w:r>
      <w:r w:rsidRPr="00B62C96">
        <w:rPr>
          <w:rFonts w:ascii="Arial" w:hAnsi="Arial" w:cs="Arial"/>
        </w:rPr>
        <w:t xml:space="preserve">  (by asset class).</w:t>
      </w:r>
      <w:r w:rsidRPr="00B62C96">
        <w:rPr>
          <w:rStyle w:val="FootnoteReference"/>
          <w:rFonts w:ascii="Arial" w:hAnsi="Arial" w:cs="Arial"/>
        </w:rPr>
        <w:footnoteReference w:id="12"/>
      </w:r>
      <w:r w:rsidRPr="00B62C96">
        <w:rPr>
          <w:rFonts w:ascii="Arial" w:hAnsi="Arial" w:cs="Arial"/>
        </w:rPr>
        <w:t xml:space="preserve"> Capex is rolled into the RAB when spending is incurred. These inputs must be reported in real terms based on start of year one dollar terms.</w:t>
      </w:r>
    </w:p>
    <w:p w:rsidR="008270B1" w:rsidRPr="00B62C96" w:rsidRDefault="008270B1" w:rsidP="00B62C96">
      <w:pPr>
        <w:pStyle w:val="Heading3"/>
        <w:numPr>
          <w:ilvl w:val="3"/>
          <w:numId w:val="10"/>
        </w:numPr>
        <w:rPr>
          <w:rFonts w:ascii="Arial" w:hAnsi="Arial" w:cs="Arial"/>
        </w:rPr>
      </w:pPr>
      <w:bookmarkStart w:id="54" w:name="_Toc399339664"/>
      <w:bookmarkStart w:id="55" w:name="_Toc410224071"/>
      <w:r w:rsidRPr="00B62C96">
        <w:rPr>
          <w:rFonts w:ascii="Arial" w:hAnsi="Arial" w:cs="Arial"/>
        </w:rPr>
        <w:t>Forecast real asset disposals—as-incurred</w:t>
      </w:r>
      <w:bookmarkEnd w:id="54"/>
      <w:bookmarkEnd w:id="55"/>
    </w:p>
    <w:p w:rsidR="008270B1" w:rsidRPr="00B62C96" w:rsidRDefault="008270B1" w:rsidP="008270B1">
      <w:pPr>
        <w:pStyle w:val="AERbodytext"/>
        <w:numPr>
          <w:ilvl w:val="0"/>
          <w:numId w:val="9"/>
        </w:numPr>
        <w:rPr>
          <w:rFonts w:ascii="Arial" w:hAnsi="Arial" w:cs="Arial"/>
        </w:rPr>
      </w:pPr>
      <w:r w:rsidRPr="00B62C96">
        <w:rPr>
          <w:rFonts w:ascii="Arial" w:hAnsi="Arial" w:cs="Arial"/>
        </w:rPr>
        <w:t>Forecast asset disposal (as-incurred) values are recorded for the regulatory year in which the disposal is expected to take place, in rows 75 to 104 (by asset class). These inputs must be reported in real terms based on start of year one dollar terms.</w:t>
      </w:r>
    </w:p>
    <w:p w:rsidR="008270B1" w:rsidRPr="00B62C96" w:rsidRDefault="008270B1" w:rsidP="00B62C96">
      <w:pPr>
        <w:pStyle w:val="Heading3"/>
        <w:numPr>
          <w:ilvl w:val="3"/>
          <w:numId w:val="10"/>
        </w:numPr>
        <w:rPr>
          <w:rFonts w:ascii="Arial" w:hAnsi="Arial" w:cs="Arial"/>
        </w:rPr>
      </w:pPr>
      <w:bookmarkStart w:id="56" w:name="_Toc399339665"/>
      <w:bookmarkStart w:id="57" w:name="_Toc410224072"/>
      <w:r w:rsidRPr="00B62C96">
        <w:rPr>
          <w:rFonts w:ascii="Arial" w:hAnsi="Arial" w:cs="Arial"/>
        </w:rPr>
        <w:t>Forecast real customer contributions—as-incurred</w:t>
      </w:r>
      <w:bookmarkEnd w:id="56"/>
      <w:bookmarkEnd w:id="57"/>
    </w:p>
    <w:p w:rsidR="008270B1" w:rsidRPr="00B62C96" w:rsidRDefault="008270B1" w:rsidP="008270B1">
      <w:pPr>
        <w:pStyle w:val="AERbodytext"/>
        <w:numPr>
          <w:ilvl w:val="0"/>
          <w:numId w:val="9"/>
        </w:numPr>
        <w:rPr>
          <w:rFonts w:ascii="Arial" w:hAnsi="Arial" w:cs="Arial"/>
        </w:rPr>
      </w:pPr>
      <w:r w:rsidRPr="00B62C96">
        <w:rPr>
          <w:rFonts w:ascii="Arial" w:hAnsi="Arial" w:cs="Arial"/>
        </w:rPr>
        <w:t>Forecast customer contributions (as-incurred) values are recorded for the regulatory year in which the contribution is expected to be made, in rows 109 to 138 (by asset class). These inputs must be reported in real terms based on start of year one dollar terms.</w:t>
      </w:r>
    </w:p>
    <w:p w:rsidR="008270B1" w:rsidRPr="00B62C96" w:rsidRDefault="008270B1" w:rsidP="00B62C96">
      <w:pPr>
        <w:pStyle w:val="Heading3"/>
        <w:numPr>
          <w:ilvl w:val="3"/>
          <w:numId w:val="10"/>
        </w:numPr>
        <w:rPr>
          <w:rFonts w:ascii="Arial" w:hAnsi="Arial" w:cs="Arial"/>
        </w:rPr>
      </w:pPr>
      <w:bookmarkStart w:id="58" w:name="_Toc399339666"/>
      <w:bookmarkStart w:id="59" w:name="_Toc410224073"/>
      <w:r w:rsidRPr="00B62C96">
        <w:rPr>
          <w:rFonts w:ascii="Arial" w:hAnsi="Arial" w:cs="Arial"/>
        </w:rPr>
        <w:t>Forecast net real capital expenditure—as-incurred</w:t>
      </w:r>
      <w:bookmarkEnd w:id="58"/>
      <w:bookmarkEnd w:id="59"/>
    </w:p>
    <w:p w:rsidR="008270B1" w:rsidRPr="00B62C96" w:rsidRDefault="008270B1" w:rsidP="008270B1">
      <w:pPr>
        <w:pStyle w:val="AERbodytext"/>
        <w:numPr>
          <w:ilvl w:val="0"/>
          <w:numId w:val="9"/>
        </w:numPr>
        <w:rPr>
          <w:rFonts w:ascii="Arial" w:hAnsi="Arial" w:cs="Arial"/>
        </w:rPr>
      </w:pPr>
      <w:r w:rsidRPr="00B62C96">
        <w:rPr>
          <w:rFonts w:ascii="Arial" w:hAnsi="Arial" w:cs="Arial"/>
        </w:rPr>
        <w:t xml:space="preserve">This section on forecast net capex does not require inputs to be recorded. For each asset class, forecast net capex is calculated based on the recorded forecast capex less forecast asset disposals and forecast customer contributions. Forecast net capex (as-incurred) values are displayed in rows 143 to 172 and form part of the roll forward of projecting the RAB in the </w:t>
      </w:r>
      <w:r w:rsidRPr="00B62C96">
        <w:rPr>
          <w:rStyle w:val="AERtextbold"/>
          <w:rFonts w:ascii="Arial" w:hAnsi="Arial" w:cs="Arial"/>
        </w:rPr>
        <w:t>Assets</w:t>
      </w:r>
      <w:r w:rsidRPr="00B62C96">
        <w:rPr>
          <w:rFonts w:ascii="Arial" w:hAnsi="Arial" w:cs="Arial"/>
        </w:rPr>
        <w:t xml:space="preserve"> sheet. These inputs are assumed to be in real terms based on start of year one dollar terms.</w:t>
      </w:r>
    </w:p>
    <w:p w:rsidR="008270B1" w:rsidRPr="00B62C96" w:rsidRDefault="008270B1" w:rsidP="00B62C96">
      <w:pPr>
        <w:pStyle w:val="Heading3"/>
        <w:numPr>
          <w:ilvl w:val="3"/>
          <w:numId w:val="10"/>
        </w:numPr>
        <w:rPr>
          <w:rFonts w:ascii="Arial" w:hAnsi="Arial" w:cs="Arial"/>
        </w:rPr>
      </w:pPr>
      <w:bookmarkStart w:id="60" w:name="_Toc399339667"/>
      <w:bookmarkStart w:id="61" w:name="_Toc410224074"/>
      <w:r w:rsidRPr="00B62C96">
        <w:rPr>
          <w:rFonts w:ascii="Arial" w:hAnsi="Arial" w:cs="Arial"/>
        </w:rPr>
        <w:t>Forecast real operating and maintenance expenditure</w:t>
      </w:r>
      <w:bookmarkEnd w:id="60"/>
      <w:bookmarkEnd w:id="61"/>
    </w:p>
    <w:p w:rsidR="008270B1" w:rsidRPr="00B62C96" w:rsidRDefault="008270B1" w:rsidP="008270B1">
      <w:pPr>
        <w:pStyle w:val="AERbodytext"/>
        <w:numPr>
          <w:ilvl w:val="0"/>
          <w:numId w:val="9"/>
        </w:numPr>
        <w:rPr>
          <w:rFonts w:ascii="Arial" w:hAnsi="Arial" w:cs="Arial"/>
        </w:rPr>
      </w:pPr>
      <w:proofErr w:type="spellStart"/>
      <w:r w:rsidRPr="00B62C96">
        <w:rPr>
          <w:rFonts w:ascii="Arial" w:hAnsi="Arial" w:cs="Arial"/>
        </w:rPr>
        <w:t>Opex</w:t>
      </w:r>
      <w:proofErr w:type="spellEnd"/>
      <w:r w:rsidRPr="00B62C96">
        <w:rPr>
          <w:rFonts w:ascii="Arial" w:hAnsi="Arial" w:cs="Arial"/>
        </w:rPr>
        <w:t xml:space="preserve"> typically includes items such as wages and salaries, leasing costs, costs associated with maintaining assets, input costs and other service contract expenses paid to third parties. The forecast </w:t>
      </w:r>
      <w:proofErr w:type="spellStart"/>
      <w:r w:rsidRPr="00B62C96">
        <w:rPr>
          <w:rFonts w:ascii="Arial" w:hAnsi="Arial" w:cs="Arial"/>
        </w:rPr>
        <w:t>opex</w:t>
      </w:r>
      <w:proofErr w:type="spellEnd"/>
      <w:r w:rsidRPr="00B62C96">
        <w:rPr>
          <w:rFonts w:ascii="Arial" w:hAnsi="Arial" w:cs="Arial"/>
        </w:rPr>
        <w:t xml:space="preserve"> values for each year</w:t>
      </w:r>
      <w:r w:rsidR="00D66B4A" w:rsidRPr="00B62C96">
        <w:rPr>
          <w:rFonts w:ascii="Arial" w:hAnsi="Arial" w:cs="Arial"/>
        </w:rPr>
        <w:t xml:space="preserve"> are recorded in rows 177 to 185</w:t>
      </w:r>
      <w:r w:rsidRPr="00B62C96">
        <w:rPr>
          <w:rFonts w:ascii="Arial" w:hAnsi="Arial" w:cs="Arial"/>
        </w:rPr>
        <w:t>, including any carryover amounts determined according to the efficiency benefit sharing sche</w:t>
      </w:r>
      <w:r w:rsidR="00D66B4A" w:rsidRPr="00B62C96">
        <w:rPr>
          <w:rFonts w:ascii="Arial" w:hAnsi="Arial" w:cs="Arial"/>
        </w:rPr>
        <w:t>me developed by the AER. Row 186</w:t>
      </w:r>
      <w:r w:rsidRPr="00B62C96">
        <w:rPr>
          <w:rFonts w:ascii="Arial" w:hAnsi="Arial" w:cs="Arial"/>
        </w:rPr>
        <w:t xml:space="preserve"> displays benchmark debt raising cost</w:t>
      </w:r>
      <w:r w:rsidR="00173E37" w:rsidRPr="00B62C96">
        <w:rPr>
          <w:rFonts w:ascii="Arial" w:hAnsi="Arial" w:cs="Arial"/>
        </w:rPr>
        <w:t>s</w:t>
      </w:r>
      <w:r w:rsidRPr="00B62C96">
        <w:rPr>
          <w:rFonts w:ascii="Arial" w:hAnsi="Arial" w:cs="Arial"/>
        </w:rPr>
        <w:t xml:space="preserve"> and does not require inputs to be recorded because the calculation is formula-driven, and is based on the practice of treating the allowance as an </w:t>
      </w:r>
      <w:proofErr w:type="spellStart"/>
      <w:r w:rsidRPr="00B62C96">
        <w:rPr>
          <w:rFonts w:ascii="Arial" w:hAnsi="Arial" w:cs="Arial"/>
        </w:rPr>
        <w:t>opex</w:t>
      </w:r>
      <w:proofErr w:type="spellEnd"/>
      <w:r w:rsidRPr="00B62C96">
        <w:rPr>
          <w:rFonts w:ascii="Arial" w:hAnsi="Arial" w:cs="Arial"/>
        </w:rPr>
        <w:t xml:space="preserve"> line item. Additional </w:t>
      </w:r>
      <w:proofErr w:type="spellStart"/>
      <w:r w:rsidRPr="00B62C96">
        <w:rPr>
          <w:rFonts w:ascii="Arial" w:hAnsi="Arial" w:cs="Arial"/>
        </w:rPr>
        <w:t>opex</w:t>
      </w:r>
      <w:proofErr w:type="spellEnd"/>
      <w:r w:rsidRPr="00B62C96">
        <w:rPr>
          <w:rFonts w:ascii="Arial" w:hAnsi="Arial" w:cs="Arial"/>
        </w:rPr>
        <w:t xml:space="preserve"> inputs can be recorded by adding rows to this section—click on the button labelled 'Insert new </w:t>
      </w:r>
      <w:proofErr w:type="spellStart"/>
      <w:r w:rsidRPr="00B62C96">
        <w:rPr>
          <w:rFonts w:ascii="Arial" w:hAnsi="Arial" w:cs="Arial"/>
        </w:rPr>
        <w:t>opex</w:t>
      </w:r>
      <w:proofErr w:type="spellEnd"/>
      <w:r w:rsidRPr="00B62C96">
        <w:rPr>
          <w:rFonts w:ascii="Arial" w:hAnsi="Arial" w:cs="Arial"/>
        </w:rPr>
        <w:t xml:space="preserve"> row'. </w:t>
      </w:r>
    </w:p>
    <w:p w:rsidR="008270B1" w:rsidRPr="00B62C96" w:rsidRDefault="008270B1" w:rsidP="008270B1">
      <w:pPr>
        <w:pStyle w:val="AERbodytext"/>
        <w:numPr>
          <w:ilvl w:val="0"/>
          <w:numId w:val="9"/>
        </w:numPr>
        <w:rPr>
          <w:rFonts w:ascii="Arial" w:hAnsi="Arial" w:cs="Arial"/>
        </w:rPr>
      </w:pPr>
      <w:r w:rsidRPr="00B62C96">
        <w:rPr>
          <w:rFonts w:ascii="Arial" w:hAnsi="Arial" w:cs="Arial"/>
        </w:rPr>
        <w:t>These inputs must be reported in real terms based on start of year one dollar terms.</w:t>
      </w:r>
    </w:p>
    <w:p w:rsidR="008270B1" w:rsidRPr="00B62C96" w:rsidRDefault="008270B1" w:rsidP="008270B1">
      <w:pPr>
        <w:pStyle w:val="AERbodytext"/>
        <w:numPr>
          <w:ilvl w:val="0"/>
          <w:numId w:val="9"/>
        </w:numPr>
        <w:rPr>
          <w:rFonts w:ascii="Arial" w:hAnsi="Arial" w:cs="Arial"/>
        </w:rPr>
      </w:pPr>
      <w:r w:rsidRPr="00B62C96">
        <w:rPr>
          <w:rFonts w:ascii="Arial" w:hAnsi="Arial" w:cs="Arial"/>
        </w:rPr>
        <w:lastRenderedPageBreak/>
        <w:t>The for</w:t>
      </w:r>
      <w:r w:rsidR="00D66B4A" w:rsidRPr="00B62C96">
        <w:rPr>
          <w:rFonts w:ascii="Arial" w:hAnsi="Arial" w:cs="Arial"/>
        </w:rPr>
        <w:t xml:space="preserve">ecast total </w:t>
      </w:r>
      <w:proofErr w:type="spellStart"/>
      <w:r w:rsidR="00D66B4A" w:rsidRPr="00B62C96">
        <w:rPr>
          <w:rFonts w:ascii="Arial" w:hAnsi="Arial" w:cs="Arial"/>
        </w:rPr>
        <w:t>opex</w:t>
      </w:r>
      <w:proofErr w:type="spellEnd"/>
      <w:r w:rsidR="00D66B4A" w:rsidRPr="00B62C96">
        <w:rPr>
          <w:rFonts w:ascii="Arial" w:hAnsi="Arial" w:cs="Arial"/>
        </w:rPr>
        <w:t xml:space="preserve"> values (row 187</w:t>
      </w:r>
      <w:r w:rsidRPr="00B62C96">
        <w:rPr>
          <w:rFonts w:ascii="Arial" w:hAnsi="Arial" w:cs="Arial"/>
        </w:rPr>
        <w:t xml:space="preserve">) are linked to the </w:t>
      </w:r>
      <w:r w:rsidRPr="00B62C96">
        <w:rPr>
          <w:rStyle w:val="AERtextbold"/>
          <w:rFonts w:ascii="Arial" w:hAnsi="Arial" w:cs="Arial"/>
        </w:rPr>
        <w:t>Analysis</w:t>
      </w:r>
      <w:r w:rsidRPr="00B62C96">
        <w:rPr>
          <w:rFonts w:ascii="Arial" w:hAnsi="Arial" w:cs="Arial"/>
        </w:rPr>
        <w:t xml:space="preserve"> sheet to calculate the ARR.</w:t>
      </w:r>
    </w:p>
    <w:p w:rsidR="00D66B4A" w:rsidRPr="00B62C96" w:rsidRDefault="008270B1" w:rsidP="00B62C96">
      <w:pPr>
        <w:pStyle w:val="Heading3"/>
        <w:numPr>
          <w:ilvl w:val="3"/>
          <w:numId w:val="10"/>
        </w:numPr>
        <w:rPr>
          <w:rFonts w:ascii="Arial" w:hAnsi="Arial" w:cs="Arial"/>
        </w:rPr>
      </w:pPr>
      <w:bookmarkStart w:id="62" w:name="_Toc410224075"/>
      <w:bookmarkStart w:id="63" w:name="_Toc399339668"/>
      <w:r w:rsidRPr="00B62C96">
        <w:rPr>
          <w:rFonts w:ascii="Arial" w:hAnsi="Arial" w:cs="Arial"/>
        </w:rPr>
        <w:t>Revenue adjustments</w:t>
      </w:r>
      <w:bookmarkEnd w:id="62"/>
      <w:r w:rsidRPr="00B62C96">
        <w:rPr>
          <w:rFonts w:ascii="Arial" w:hAnsi="Arial" w:cs="Arial"/>
        </w:rPr>
        <w:t xml:space="preserve"> </w:t>
      </w:r>
      <w:bookmarkEnd w:id="63"/>
    </w:p>
    <w:p w:rsidR="008270B1" w:rsidRPr="00B62C96" w:rsidRDefault="008270B1" w:rsidP="00B62C96">
      <w:pPr>
        <w:rPr>
          <w:rFonts w:ascii="Arial" w:hAnsi="Arial" w:cs="Arial"/>
        </w:rPr>
      </w:pPr>
      <w:r w:rsidRPr="00B62C96">
        <w:rPr>
          <w:rFonts w:ascii="Arial" w:hAnsi="Arial" w:cs="Arial"/>
        </w:rPr>
        <w:t xml:space="preserve">Any additional revenue adjustments </w:t>
      </w:r>
      <w:r w:rsidR="00DB5F73" w:rsidRPr="00B62C96">
        <w:rPr>
          <w:rFonts w:ascii="Arial" w:hAnsi="Arial" w:cs="Arial"/>
        </w:rPr>
        <w:t xml:space="preserve">applying to this </w:t>
      </w:r>
      <w:r w:rsidRPr="00B62C96">
        <w:rPr>
          <w:rFonts w:ascii="Arial" w:hAnsi="Arial" w:cs="Arial"/>
        </w:rPr>
        <w:t>regulatory control</w:t>
      </w:r>
      <w:r w:rsidR="00D66B4A" w:rsidRPr="00B62C96">
        <w:rPr>
          <w:rFonts w:ascii="Arial" w:hAnsi="Arial" w:cs="Arial"/>
        </w:rPr>
        <w:t xml:space="preserve"> period are recorded in rows</w:t>
      </w:r>
      <w:r w:rsidR="00E73E0D" w:rsidRPr="00B62C96">
        <w:rPr>
          <w:rFonts w:ascii="Arial" w:hAnsi="Arial" w:cs="Arial"/>
        </w:rPr>
        <w:t> </w:t>
      </w:r>
      <w:r w:rsidR="00D66B4A" w:rsidRPr="00B62C96">
        <w:rPr>
          <w:rFonts w:ascii="Arial" w:hAnsi="Arial" w:cs="Arial"/>
        </w:rPr>
        <w:t>191 to 200</w:t>
      </w:r>
      <w:r w:rsidRPr="00B62C96">
        <w:rPr>
          <w:rFonts w:ascii="Arial" w:hAnsi="Arial" w:cs="Arial"/>
        </w:rPr>
        <w:t>.</w:t>
      </w:r>
      <w:r w:rsidR="00E73E0D" w:rsidRPr="00B62C96">
        <w:rPr>
          <w:rFonts w:ascii="Arial" w:hAnsi="Arial" w:cs="Arial"/>
          <w:vertAlign w:val="superscript"/>
        </w:rPr>
        <w:footnoteReference w:id="13"/>
      </w:r>
      <w:r w:rsidRPr="00B62C96">
        <w:rPr>
          <w:rFonts w:ascii="Arial" w:hAnsi="Arial" w:cs="Arial"/>
        </w:rPr>
        <w:t xml:space="preserve"> These are linked to the total building block revenue calculations in the </w:t>
      </w:r>
      <w:r w:rsidRPr="00B62C96">
        <w:rPr>
          <w:rFonts w:ascii="Arial" w:hAnsi="Arial" w:cs="Arial"/>
          <w:b/>
        </w:rPr>
        <w:t>Analysis</w:t>
      </w:r>
      <w:r w:rsidRPr="00B62C96">
        <w:rPr>
          <w:rFonts w:ascii="Arial" w:hAnsi="Arial" w:cs="Arial"/>
        </w:rPr>
        <w:t xml:space="preserve"> sheet.</w:t>
      </w:r>
      <w:r w:rsidR="00D66B4A" w:rsidRPr="00B62C96">
        <w:rPr>
          <w:rFonts w:ascii="Arial" w:hAnsi="Arial" w:cs="Arial"/>
        </w:rPr>
        <w:t xml:space="preserve"> Each line item in this section can be set to be treated as a tax income and/or a tax expense. These settings are determined by the drop down options in cells R</w:t>
      </w:r>
      <w:r w:rsidR="00E70C4C" w:rsidRPr="00B62C96">
        <w:rPr>
          <w:rFonts w:ascii="Arial" w:hAnsi="Arial" w:cs="Arial"/>
        </w:rPr>
        <w:t>1</w:t>
      </w:r>
      <w:r w:rsidR="00D66B4A" w:rsidRPr="00B62C96">
        <w:rPr>
          <w:rFonts w:ascii="Arial" w:hAnsi="Arial" w:cs="Arial"/>
        </w:rPr>
        <w:t>91:S200. Totals for each combination of tax income and tax expense settings are in rows 201:205.</w:t>
      </w:r>
    </w:p>
    <w:p w:rsidR="008270B1" w:rsidRPr="008622C8" w:rsidRDefault="000257BC" w:rsidP="00B62C96">
      <w:pPr>
        <w:pStyle w:val="Heading3"/>
        <w:numPr>
          <w:ilvl w:val="3"/>
          <w:numId w:val="10"/>
        </w:numPr>
        <w:rPr>
          <w:rFonts w:ascii="Arial" w:hAnsi="Arial" w:cs="Arial"/>
        </w:rPr>
      </w:pPr>
      <w:bookmarkStart w:id="64" w:name="_Toc410224076"/>
      <w:r w:rsidRPr="008622C8">
        <w:rPr>
          <w:rFonts w:ascii="Arial" w:hAnsi="Arial" w:cs="Arial"/>
        </w:rPr>
        <w:t>Tax</w:t>
      </w:r>
      <w:bookmarkEnd w:id="64"/>
    </w:p>
    <w:p w:rsidR="008270B1" w:rsidRPr="008622C8" w:rsidRDefault="008270B1" w:rsidP="008270B1">
      <w:pPr>
        <w:pStyle w:val="AERbodytext"/>
        <w:numPr>
          <w:ilvl w:val="0"/>
          <w:numId w:val="9"/>
        </w:numPr>
        <w:rPr>
          <w:rFonts w:ascii="Arial" w:eastAsia="Calibri" w:hAnsi="Arial" w:cs="Arial"/>
          <w:szCs w:val="20"/>
        </w:rPr>
      </w:pPr>
      <w:r w:rsidRPr="008622C8">
        <w:rPr>
          <w:rFonts w:ascii="Arial" w:eastAsia="Calibri" w:hAnsi="Arial" w:cs="Arial"/>
          <w:szCs w:val="20"/>
        </w:rPr>
        <w:t>The expected corporate tax rates are recorded for each year in row 20</w:t>
      </w:r>
      <w:r w:rsidR="00D66B4A" w:rsidRPr="008622C8">
        <w:rPr>
          <w:rFonts w:ascii="Arial" w:eastAsia="Calibri" w:hAnsi="Arial" w:cs="Arial"/>
          <w:szCs w:val="20"/>
        </w:rPr>
        <w:t>9</w:t>
      </w:r>
      <w:r w:rsidRPr="008622C8">
        <w:rPr>
          <w:rFonts w:ascii="Arial" w:eastAsia="Calibri" w:hAnsi="Arial" w:cs="Arial"/>
          <w:szCs w:val="20"/>
        </w:rPr>
        <w:t xml:space="preserve">. The tax rates are linked to the </w:t>
      </w:r>
      <w:r w:rsidRPr="008622C8">
        <w:rPr>
          <w:rFonts w:ascii="Arial" w:eastAsia="Calibri" w:hAnsi="Arial" w:cs="Arial"/>
          <w:b/>
          <w:szCs w:val="20"/>
        </w:rPr>
        <w:t>WACC</w:t>
      </w:r>
      <w:r w:rsidRPr="008622C8">
        <w:rPr>
          <w:rFonts w:ascii="Arial" w:eastAsia="Calibri" w:hAnsi="Arial" w:cs="Arial"/>
          <w:szCs w:val="20"/>
        </w:rPr>
        <w:t xml:space="preserve"> sheet to calculate the average tax rate and to the </w:t>
      </w:r>
      <w:r w:rsidRPr="008622C8">
        <w:rPr>
          <w:rFonts w:ascii="Arial" w:eastAsia="Calibri" w:hAnsi="Arial" w:cs="Arial"/>
          <w:b/>
          <w:szCs w:val="20"/>
        </w:rPr>
        <w:t>Analysis</w:t>
      </w:r>
      <w:r w:rsidRPr="008622C8">
        <w:rPr>
          <w:rFonts w:ascii="Arial" w:eastAsia="Calibri" w:hAnsi="Arial" w:cs="Arial"/>
          <w:szCs w:val="20"/>
        </w:rPr>
        <w:t xml:space="preserve"> sheet to estimate the tax payable, as part of calculating the ARR.</w:t>
      </w:r>
    </w:p>
    <w:p w:rsidR="00D66B4A" w:rsidRPr="008622C8" w:rsidRDefault="00D66B4A" w:rsidP="008270B1">
      <w:pPr>
        <w:pStyle w:val="AERbodytext"/>
        <w:numPr>
          <w:ilvl w:val="0"/>
          <w:numId w:val="9"/>
        </w:numPr>
        <w:rPr>
          <w:rFonts w:ascii="Arial" w:eastAsia="Calibri" w:hAnsi="Arial" w:cs="Arial"/>
          <w:szCs w:val="20"/>
        </w:rPr>
      </w:pPr>
      <w:r w:rsidRPr="008622C8">
        <w:rPr>
          <w:rFonts w:ascii="Arial" w:eastAsia="Calibri" w:hAnsi="Arial" w:cs="Arial"/>
          <w:szCs w:val="20"/>
        </w:rPr>
        <w:t>Any tax losses carried forward from the previous period are included in cell F212.</w:t>
      </w:r>
    </w:p>
    <w:p w:rsidR="008270B1" w:rsidRPr="00B62C96" w:rsidRDefault="008270B1" w:rsidP="00B62C96">
      <w:pPr>
        <w:pStyle w:val="Heading3"/>
        <w:numPr>
          <w:ilvl w:val="3"/>
          <w:numId w:val="10"/>
        </w:numPr>
        <w:rPr>
          <w:rFonts w:ascii="Arial" w:hAnsi="Arial" w:cs="Arial"/>
        </w:rPr>
      </w:pPr>
      <w:bookmarkStart w:id="65" w:name="_Toc399339671"/>
      <w:bookmarkStart w:id="66" w:name="_Toc410224077"/>
      <w:r w:rsidRPr="00B62C96">
        <w:rPr>
          <w:rFonts w:ascii="Arial" w:hAnsi="Arial" w:cs="Arial"/>
        </w:rPr>
        <w:t>Cost of capital</w:t>
      </w:r>
      <w:bookmarkEnd w:id="65"/>
      <w:bookmarkEnd w:id="66"/>
    </w:p>
    <w:p w:rsidR="008622C8" w:rsidRDefault="008270B1" w:rsidP="008622C8">
      <w:pPr>
        <w:pStyle w:val="AERbodytext"/>
        <w:numPr>
          <w:ilvl w:val="0"/>
          <w:numId w:val="9"/>
        </w:numPr>
        <w:rPr>
          <w:rFonts w:ascii="Arial" w:hAnsi="Arial" w:cs="Arial"/>
        </w:rPr>
      </w:pPr>
      <w:r w:rsidRPr="00B62C96">
        <w:rPr>
          <w:rFonts w:ascii="Arial" w:hAnsi="Arial" w:cs="Arial"/>
        </w:rPr>
        <w:t xml:space="preserve">The </w:t>
      </w:r>
      <w:r w:rsidR="00D66B4A" w:rsidRPr="00B62C96">
        <w:rPr>
          <w:rFonts w:ascii="Arial" w:hAnsi="Arial" w:cs="Arial"/>
        </w:rPr>
        <w:t>cost of capital section (rows 216 to 219 and row 222</w:t>
      </w:r>
      <w:r w:rsidRPr="00B62C96">
        <w:rPr>
          <w:rFonts w:ascii="Arial" w:hAnsi="Arial" w:cs="Arial"/>
        </w:rPr>
        <w:t>) records the following parameters:</w:t>
      </w:r>
    </w:p>
    <w:p w:rsidR="008270B1" w:rsidRPr="008622C8" w:rsidRDefault="008270B1" w:rsidP="008622C8">
      <w:pPr>
        <w:pStyle w:val="AERbulletlistfirststyle"/>
        <w:ind w:left="357" w:hanging="357"/>
        <w:rPr>
          <w:rFonts w:ascii="Arial" w:hAnsi="Arial" w:cs="Arial"/>
        </w:rPr>
      </w:pPr>
      <w:r w:rsidRPr="008622C8">
        <w:rPr>
          <w:rFonts w:ascii="Arial" w:hAnsi="Arial" w:cs="Arial"/>
        </w:rPr>
        <w:t>inflation rate</w:t>
      </w:r>
      <w:r w:rsidRPr="008622C8">
        <w:rPr>
          <w:rFonts w:ascii="Arial" w:hAnsi="Arial" w:cs="Arial"/>
          <w:vertAlign w:val="superscript"/>
        </w:rPr>
        <w:footnoteReference w:id="14"/>
      </w:r>
    </w:p>
    <w:p w:rsidR="008270B1" w:rsidRPr="008622C8" w:rsidRDefault="008270B1" w:rsidP="008622C8">
      <w:pPr>
        <w:pStyle w:val="AERbulletlistfirststyle"/>
        <w:ind w:left="357" w:hanging="357"/>
        <w:rPr>
          <w:rFonts w:ascii="Arial" w:hAnsi="Arial" w:cs="Arial"/>
        </w:rPr>
      </w:pPr>
      <w:r w:rsidRPr="008622C8">
        <w:rPr>
          <w:rFonts w:ascii="Arial" w:hAnsi="Arial" w:cs="Arial"/>
        </w:rPr>
        <w:t>return on equity</w:t>
      </w:r>
    </w:p>
    <w:p w:rsidR="008270B1" w:rsidRPr="008622C8" w:rsidRDefault="008270B1" w:rsidP="008622C8">
      <w:pPr>
        <w:pStyle w:val="AERbulletlistfirststyle"/>
        <w:ind w:left="357" w:hanging="357"/>
        <w:rPr>
          <w:rFonts w:ascii="Arial" w:hAnsi="Arial" w:cs="Arial"/>
        </w:rPr>
      </w:pPr>
      <w:r w:rsidRPr="008622C8">
        <w:rPr>
          <w:rFonts w:ascii="Arial" w:hAnsi="Arial" w:cs="Arial"/>
        </w:rPr>
        <w:t xml:space="preserve">gamma—value of imputation (franking) credits </w:t>
      </w:r>
    </w:p>
    <w:p w:rsidR="008270B1" w:rsidRPr="008622C8" w:rsidRDefault="008270B1" w:rsidP="008622C8">
      <w:pPr>
        <w:pStyle w:val="AERbulletlistfirststyle"/>
        <w:ind w:left="357" w:hanging="357"/>
        <w:rPr>
          <w:rFonts w:ascii="Arial" w:hAnsi="Arial" w:cs="Arial"/>
        </w:rPr>
      </w:pPr>
      <w:r w:rsidRPr="008622C8">
        <w:rPr>
          <w:rFonts w:ascii="Arial" w:hAnsi="Arial" w:cs="Arial"/>
        </w:rPr>
        <w:t>proportion of debt funding</w:t>
      </w:r>
    </w:p>
    <w:p w:rsidR="008270B1" w:rsidRPr="008622C8" w:rsidRDefault="008270B1" w:rsidP="008622C8">
      <w:pPr>
        <w:pStyle w:val="AERbulletlistfirststyle"/>
        <w:ind w:left="357" w:hanging="357"/>
        <w:rPr>
          <w:rFonts w:ascii="Arial" w:hAnsi="Arial" w:cs="Arial"/>
        </w:rPr>
      </w:pPr>
      <w:proofErr w:type="gramStart"/>
      <w:r w:rsidRPr="008622C8">
        <w:rPr>
          <w:rFonts w:ascii="Arial" w:hAnsi="Arial" w:cs="Arial"/>
        </w:rPr>
        <w:t>trailing</w:t>
      </w:r>
      <w:proofErr w:type="gramEnd"/>
      <w:r w:rsidRPr="008622C8">
        <w:rPr>
          <w:rFonts w:ascii="Arial" w:hAnsi="Arial" w:cs="Arial"/>
        </w:rPr>
        <w:t xml:space="preserve"> average portfolio return on debt for each year of the regulatory control period.</w:t>
      </w:r>
    </w:p>
    <w:p w:rsidR="008270B1" w:rsidRPr="008622C8" w:rsidRDefault="008270B1" w:rsidP="008270B1">
      <w:pPr>
        <w:pStyle w:val="AERbodytext"/>
        <w:numPr>
          <w:ilvl w:val="0"/>
          <w:numId w:val="9"/>
        </w:numPr>
        <w:rPr>
          <w:rFonts w:ascii="Arial" w:eastAsia="Calibri" w:hAnsi="Arial" w:cs="Arial"/>
          <w:szCs w:val="20"/>
        </w:rPr>
      </w:pPr>
      <w:r w:rsidRPr="008622C8">
        <w:rPr>
          <w:rFonts w:ascii="Arial" w:eastAsia="Calibri" w:hAnsi="Arial" w:cs="Arial"/>
          <w:szCs w:val="20"/>
        </w:rPr>
        <w:t xml:space="preserve">Each of these parameters is linked to the </w:t>
      </w:r>
      <w:r w:rsidRPr="008622C8">
        <w:rPr>
          <w:rFonts w:ascii="Arial" w:eastAsia="Calibri" w:hAnsi="Arial" w:cs="Arial"/>
          <w:b/>
          <w:szCs w:val="20"/>
        </w:rPr>
        <w:t>WACC</w:t>
      </w:r>
      <w:r w:rsidRPr="008622C8">
        <w:rPr>
          <w:rFonts w:ascii="Arial" w:eastAsia="Calibri" w:hAnsi="Arial" w:cs="Arial"/>
          <w:szCs w:val="20"/>
        </w:rPr>
        <w:t xml:space="preserve"> sheet to calculate the weighted average cost of capital (WACC). The approach or method for determining each parameter is specified in clause 6.5.2 of the NER or the AER </w:t>
      </w:r>
      <w:r w:rsidRPr="008622C8">
        <w:rPr>
          <w:rFonts w:ascii="Arial" w:eastAsia="Calibri" w:hAnsi="Arial" w:cs="Arial"/>
          <w:i/>
          <w:szCs w:val="20"/>
        </w:rPr>
        <w:t>Rate of return guideline</w:t>
      </w:r>
      <w:r w:rsidRPr="008622C8">
        <w:rPr>
          <w:rFonts w:ascii="Arial" w:eastAsia="Calibri" w:hAnsi="Arial" w:cs="Arial"/>
          <w:szCs w:val="20"/>
        </w:rPr>
        <w:t>.</w:t>
      </w:r>
      <w:r w:rsidRPr="008622C8">
        <w:rPr>
          <w:rFonts w:ascii="Arial" w:eastAsia="Calibri" w:hAnsi="Arial" w:cs="Arial"/>
          <w:szCs w:val="20"/>
          <w:vertAlign w:val="superscript"/>
        </w:rPr>
        <w:footnoteReference w:id="15"/>
      </w:r>
      <w:r w:rsidR="002E4516" w:rsidRPr="008622C8">
        <w:rPr>
          <w:rFonts w:ascii="Arial" w:eastAsia="Calibri" w:hAnsi="Arial" w:cs="Arial"/>
          <w:szCs w:val="20"/>
        </w:rPr>
        <w:t xml:space="preserve"> Rows 223 to 224</w:t>
      </w:r>
      <w:r w:rsidRPr="008622C8">
        <w:rPr>
          <w:rFonts w:ascii="Arial" w:eastAsia="Calibri" w:hAnsi="Arial" w:cs="Arial"/>
          <w:szCs w:val="20"/>
        </w:rPr>
        <w:t xml:space="preserve"> contain content driven help which will display cautions or guidance based on input to this sheet and the </w:t>
      </w:r>
      <w:r w:rsidRPr="008622C8">
        <w:rPr>
          <w:rFonts w:ascii="Arial" w:eastAsia="Calibri" w:hAnsi="Arial" w:cs="Arial"/>
          <w:b/>
          <w:szCs w:val="20"/>
        </w:rPr>
        <w:t>X factors</w:t>
      </w:r>
      <w:r w:rsidRPr="008622C8">
        <w:rPr>
          <w:rFonts w:ascii="Arial" w:eastAsia="Calibri" w:hAnsi="Arial" w:cs="Arial"/>
          <w:szCs w:val="20"/>
        </w:rPr>
        <w:t xml:space="preserve"> sheet.</w:t>
      </w:r>
    </w:p>
    <w:p w:rsidR="008270B1" w:rsidRPr="00C4660C" w:rsidRDefault="008270B1" w:rsidP="00B62C96">
      <w:pPr>
        <w:pStyle w:val="Heading3"/>
        <w:numPr>
          <w:ilvl w:val="3"/>
          <w:numId w:val="10"/>
        </w:numPr>
        <w:rPr>
          <w:rFonts w:ascii="Arial" w:hAnsi="Arial" w:cs="Arial"/>
        </w:rPr>
      </w:pPr>
      <w:bookmarkStart w:id="67" w:name="_Toc399339672"/>
      <w:bookmarkStart w:id="68" w:name="_Toc410224078"/>
      <w:r w:rsidRPr="00C4660C">
        <w:rPr>
          <w:rFonts w:ascii="Arial" w:hAnsi="Arial" w:cs="Arial"/>
        </w:rPr>
        <w:t>Debt and equity raising costs—transaction costs</w:t>
      </w:r>
      <w:bookmarkEnd w:id="67"/>
      <w:bookmarkEnd w:id="68"/>
    </w:p>
    <w:p w:rsidR="008270B1" w:rsidRPr="00C4660C" w:rsidRDefault="008270B1" w:rsidP="008270B1">
      <w:pPr>
        <w:pStyle w:val="AERbodytext"/>
        <w:numPr>
          <w:ilvl w:val="0"/>
          <w:numId w:val="9"/>
        </w:numPr>
        <w:rPr>
          <w:rFonts w:ascii="Arial" w:hAnsi="Arial" w:cs="Arial"/>
        </w:rPr>
      </w:pPr>
      <w:r w:rsidRPr="00C4660C">
        <w:rPr>
          <w:rFonts w:ascii="Arial" w:hAnsi="Arial" w:cs="Arial"/>
        </w:rPr>
        <w:t>The debt and equit</w:t>
      </w:r>
      <w:r w:rsidR="00F355FB" w:rsidRPr="00C4660C">
        <w:rPr>
          <w:rFonts w:ascii="Arial" w:hAnsi="Arial" w:cs="Arial"/>
        </w:rPr>
        <w:t>y raising costs section (rows 229</w:t>
      </w:r>
      <w:r w:rsidRPr="00C4660C">
        <w:rPr>
          <w:rFonts w:ascii="Arial" w:hAnsi="Arial" w:cs="Arial"/>
        </w:rPr>
        <w:t xml:space="preserve"> to 2</w:t>
      </w:r>
      <w:r w:rsidR="00F355FB" w:rsidRPr="00C4660C">
        <w:rPr>
          <w:rFonts w:ascii="Arial" w:hAnsi="Arial" w:cs="Arial"/>
        </w:rPr>
        <w:t>33</w:t>
      </w:r>
      <w:r w:rsidRPr="00C4660C">
        <w:rPr>
          <w:rFonts w:ascii="Arial" w:hAnsi="Arial" w:cs="Arial"/>
        </w:rPr>
        <w:t xml:space="preserve">) records the following parameters: </w:t>
      </w:r>
    </w:p>
    <w:p w:rsidR="008270B1" w:rsidRPr="00C4660C" w:rsidRDefault="008270B1" w:rsidP="00C4660C">
      <w:pPr>
        <w:pStyle w:val="AERbulletlistfirststyle"/>
        <w:ind w:left="357" w:hanging="357"/>
        <w:rPr>
          <w:rFonts w:ascii="Arial" w:hAnsi="Arial" w:cs="Arial"/>
        </w:rPr>
      </w:pPr>
      <w:r w:rsidRPr="00C4660C">
        <w:rPr>
          <w:rFonts w:ascii="Arial" w:hAnsi="Arial" w:cs="Arial"/>
        </w:rPr>
        <w:t>imputation credit payout ratio</w:t>
      </w:r>
    </w:p>
    <w:p w:rsidR="008270B1" w:rsidRPr="00C4660C" w:rsidRDefault="008270B1" w:rsidP="00C4660C">
      <w:pPr>
        <w:pStyle w:val="AERbulletlistfirststyle"/>
        <w:ind w:left="357" w:hanging="357"/>
        <w:rPr>
          <w:rFonts w:ascii="Arial" w:hAnsi="Arial" w:cs="Arial"/>
        </w:rPr>
      </w:pPr>
      <w:r w:rsidRPr="00C4660C">
        <w:rPr>
          <w:rFonts w:ascii="Arial" w:hAnsi="Arial" w:cs="Arial"/>
        </w:rPr>
        <w:t>subsequent equity raising cost</w:t>
      </w:r>
      <w:r w:rsidR="000257BC" w:rsidRPr="00C4660C">
        <w:rPr>
          <w:rFonts w:ascii="Arial" w:hAnsi="Arial" w:cs="Arial"/>
        </w:rPr>
        <w:t>s</w:t>
      </w:r>
    </w:p>
    <w:p w:rsidR="008270B1" w:rsidRPr="00C4660C" w:rsidRDefault="008270B1" w:rsidP="00C4660C">
      <w:pPr>
        <w:pStyle w:val="AERbulletlistfirststyle"/>
        <w:ind w:left="357" w:hanging="357"/>
        <w:rPr>
          <w:rFonts w:ascii="Arial" w:hAnsi="Arial" w:cs="Arial"/>
        </w:rPr>
      </w:pPr>
      <w:r w:rsidRPr="00C4660C">
        <w:rPr>
          <w:rFonts w:ascii="Arial" w:hAnsi="Arial" w:cs="Arial"/>
        </w:rPr>
        <w:t>dividend reinvestment plan cost</w:t>
      </w:r>
      <w:r w:rsidR="000257BC" w:rsidRPr="00C4660C">
        <w:rPr>
          <w:rFonts w:ascii="Arial" w:hAnsi="Arial" w:cs="Arial"/>
        </w:rPr>
        <w:t>s</w:t>
      </w:r>
    </w:p>
    <w:p w:rsidR="008270B1" w:rsidRPr="00C4660C" w:rsidRDefault="008270B1" w:rsidP="00C4660C">
      <w:pPr>
        <w:pStyle w:val="AERbulletlistfirststyle"/>
        <w:ind w:left="357" w:hanging="357"/>
        <w:rPr>
          <w:rFonts w:ascii="Arial" w:hAnsi="Arial" w:cs="Arial"/>
        </w:rPr>
      </w:pPr>
      <w:r w:rsidRPr="00C4660C">
        <w:rPr>
          <w:rFonts w:ascii="Arial" w:hAnsi="Arial" w:cs="Arial"/>
        </w:rPr>
        <w:lastRenderedPageBreak/>
        <w:t>dividend reinvestment plan take up</w:t>
      </w:r>
    </w:p>
    <w:p w:rsidR="008270B1" w:rsidRPr="00C4660C" w:rsidRDefault="008270B1" w:rsidP="00C4660C">
      <w:pPr>
        <w:pStyle w:val="AERbulletlistfirststyle"/>
        <w:ind w:left="357" w:hanging="357"/>
        <w:rPr>
          <w:rFonts w:ascii="Arial" w:hAnsi="Arial" w:cs="Arial"/>
        </w:rPr>
      </w:pPr>
      <w:proofErr w:type="gramStart"/>
      <w:r w:rsidRPr="00C4660C">
        <w:rPr>
          <w:rFonts w:ascii="Arial" w:hAnsi="Arial" w:cs="Arial"/>
        </w:rPr>
        <w:t>debt</w:t>
      </w:r>
      <w:proofErr w:type="gramEnd"/>
      <w:r w:rsidRPr="00C4660C">
        <w:rPr>
          <w:rFonts w:ascii="Arial" w:hAnsi="Arial" w:cs="Arial"/>
        </w:rPr>
        <w:t xml:space="preserve"> raising cost</w:t>
      </w:r>
      <w:r w:rsidR="00173E37" w:rsidRPr="00C4660C">
        <w:rPr>
          <w:rFonts w:ascii="Arial" w:hAnsi="Arial" w:cs="Arial"/>
        </w:rPr>
        <w:t>s</w:t>
      </w:r>
      <w:r w:rsidRPr="00C4660C">
        <w:rPr>
          <w:rFonts w:ascii="Arial" w:hAnsi="Arial" w:cs="Arial"/>
        </w:rPr>
        <w:t>.</w:t>
      </w:r>
    </w:p>
    <w:p w:rsidR="008270B1" w:rsidRPr="00C4660C" w:rsidRDefault="008270B1" w:rsidP="008270B1">
      <w:pPr>
        <w:pStyle w:val="AERbodytext"/>
        <w:numPr>
          <w:ilvl w:val="0"/>
          <w:numId w:val="9"/>
        </w:numPr>
        <w:rPr>
          <w:rFonts w:ascii="Arial" w:eastAsia="Calibri" w:hAnsi="Arial" w:cs="Arial"/>
          <w:szCs w:val="20"/>
        </w:rPr>
      </w:pPr>
      <w:r w:rsidRPr="00C4660C">
        <w:rPr>
          <w:rFonts w:ascii="Arial" w:eastAsia="Calibri" w:hAnsi="Arial" w:cs="Arial"/>
          <w:szCs w:val="20"/>
        </w:rPr>
        <w:t xml:space="preserve">The values for the imputation credit payout ratio, equity raising and dividend reinvestment costs, and the dividend reinvestment take up are linked to the </w:t>
      </w:r>
      <w:r w:rsidRPr="00C4660C">
        <w:rPr>
          <w:rFonts w:ascii="Arial" w:eastAsia="Calibri" w:hAnsi="Arial" w:cs="Arial"/>
          <w:b/>
          <w:szCs w:val="20"/>
        </w:rPr>
        <w:t>Equity raising cost</w:t>
      </w:r>
      <w:r w:rsidRPr="00C4660C">
        <w:rPr>
          <w:rFonts w:ascii="Arial" w:eastAsia="Calibri" w:hAnsi="Arial" w:cs="Arial"/>
          <w:szCs w:val="20"/>
        </w:rPr>
        <w:t xml:space="preserve"> sheet to calculate the allowance for benchmark equity raising costs associated with capex. The debt raising cost</w:t>
      </w:r>
      <w:r w:rsidR="00173E37" w:rsidRPr="00C4660C">
        <w:rPr>
          <w:rFonts w:ascii="Arial" w:eastAsia="Calibri" w:hAnsi="Arial" w:cs="Arial"/>
          <w:szCs w:val="20"/>
        </w:rPr>
        <w:t>s</w:t>
      </w:r>
      <w:r w:rsidRPr="00C4660C">
        <w:rPr>
          <w:rFonts w:ascii="Arial" w:eastAsia="Calibri" w:hAnsi="Arial" w:cs="Arial"/>
          <w:szCs w:val="20"/>
        </w:rPr>
        <w:t xml:space="preserve"> value represents the unit allowance and is linked to row 18</w:t>
      </w:r>
      <w:r w:rsidR="00F355FB" w:rsidRPr="00C4660C">
        <w:rPr>
          <w:rFonts w:ascii="Arial" w:eastAsia="Calibri" w:hAnsi="Arial" w:cs="Arial"/>
          <w:szCs w:val="20"/>
        </w:rPr>
        <w:t>6</w:t>
      </w:r>
      <w:r w:rsidRPr="00C4660C">
        <w:rPr>
          <w:rFonts w:ascii="Arial" w:eastAsia="Calibri" w:hAnsi="Arial" w:cs="Arial"/>
          <w:szCs w:val="20"/>
        </w:rPr>
        <w:t xml:space="preserve"> of the </w:t>
      </w:r>
      <w:r w:rsidR="00F355FB" w:rsidRPr="009B70E8">
        <w:rPr>
          <w:rFonts w:ascii="Arial" w:eastAsia="Calibri" w:hAnsi="Arial" w:cs="Arial"/>
          <w:b/>
          <w:szCs w:val="20"/>
        </w:rPr>
        <w:t>PTRM i</w:t>
      </w:r>
      <w:r w:rsidRPr="009B70E8">
        <w:rPr>
          <w:rFonts w:ascii="Arial" w:eastAsia="Calibri" w:hAnsi="Arial" w:cs="Arial"/>
          <w:b/>
          <w:szCs w:val="20"/>
        </w:rPr>
        <w:t>nput</w:t>
      </w:r>
      <w:r w:rsidRPr="00C4660C">
        <w:rPr>
          <w:rFonts w:ascii="Arial" w:eastAsia="Calibri" w:hAnsi="Arial" w:cs="Arial"/>
          <w:szCs w:val="20"/>
        </w:rPr>
        <w:t xml:space="preserve"> sheet to calculate the overall benchmark debt raising costs to be included in the </w:t>
      </w:r>
      <w:proofErr w:type="spellStart"/>
      <w:r w:rsidRPr="00C4660C">
        <w:rPr>
          <w:rFonts w:ascii="Arial" w:eastAsia="Calibri" w:hAnsi="Arial" w:cs="Arial"/>
          <w:szCs w:val="20"/>
        </w:rPr>
        <w:t>opex</w:t>
      </w:r>
      <w:proofErr w:type="spellEnd"/>
      <w:r w:rsidRPr="00C4660C">
        <w:rPr>
          <w:rFonts w:ascii="Arial" w:eastAsia="Calibri" w:hAnsi="Arial" w:cs="Arial"/>
          <w:szCs w:val="20"/>
        </w:rPr>
        <w:t xml:space="preserve"> allowance.</w:t>
      </w:r>
    </w:p>
    <w:p w:rsidR="008270B1" w:rsidRPr="00B62C96" w:rsidRDefault="008270B1" w:rsidP="00B62C96">
      <w:pPr>
        <w:pStyle w:val="Heading3"/>
        <w:numPr>
          <w:ilvl w:val="3"/>
          <w:numId w:val="10"/>
        </w:numPr>
        <w:rPr>
          <w:rFonts w:ascii="Arial" w:hAnsi="Arial" w:cs="Arial"/>
        </w:rPr>
      </w:pPr>
      <w:bookmarkStart w:id="69" w:name="_Toc399339673"/>
      <w:bookmarkStart w:id="70" w:name="_Toc410224079"/>
      <w:r w:rsidRPr="00B62C96">
        <w:rPr>
          <w:rFonts w:ascii="Arial" w:hAnsi="Arial" w:cs="Arial"/>
        </w:rPr>
        <w:t>Price/revenue constraint for the current regulatory year</w:t>
      </w:r>
      <w:bookmarkEnd w:id="69"/>
      <w:bookmarkEnd w:id="70"/>
    </w:p>
    <w:p w:rsidR="008270B1" w:rsidRPr="00B62C96" w:rsidRDefault="008270B1" w:rsidP="008270B1">
      <w:pPr>
        <w:pStyle w:val="AERbodytext"/>
        <w:numPr>
          <w:ilvl w:val="0"/>
          <w:numId w:val="9"/>
        </w:numPr>
        <w:rPr>
          <w:rFonts w:ascii="Arial" w:hAnsi="Arial" w:cs="Arial"/>
        </w:rPr>
      </w:pPr>
      <w:r w:rsidRPr="00B62C96">
        <w:rPr>
          <w:rFonts w:ascii="Arial" w:hAnsi="Arial" w:cs="Arial"/>
        </w:rPr>
        <w:t>Cells G2</w:t>
      </w:r>
      <w:r w:rsidR="003C1509" w:rsidRPr="00B62C96">
        <w:rPr>
          <w:rFonts w:ascii="Arial" w:hAnsi="Arial" w:cs="Arial"/>
        </w:rPr>
        <w:t>37</w:t>
      </w:r>
      <w:r w:rsidRPr="00B62C96">
        <w:rPr>
          <w:rFonts w:ascii="Arial" w:hAnsi="Arial" w:cs="Arial"/>
        </w:rPr>
        <w:t xml:space="preserve"> and G2</w:t>
      </w:r>
      <w:r w:rsidR="003C1509" w:rsidRPr="00B62C96">
        <w:rPr>
          <w:rFonts w:ascii="Arial" w:hAnsi="Arial" w:cs="Arial"/>
        </w:rPr>
        <w:t>38</w:t>
      </w:r>
      <w:r w:rsidRPr="00B62C96">
        <w:rPr>
          <w:rFonts w:ascii="Arial" w:hAnsi="Arial" w:cs="Arial"/>
        </w:rPr>
        <w:t xml:space="preserve"> record current values of total revenue and revenue yield for DNSPs subject to these forms of control and may not be required depending on the form of control mechanism determined by the AER. These values are linked to the </w:t>
      </w:r>
      <w:r w:rsidRPr="00B62C96">
        <w:rPr>
          <w:rStyle w:val="AERtextbold"/>
          <w:rFonts w:ascii="Arial" w:hAnsi="Arial" w:cs="Arial"/>
        </w:rPr>
        <w:t>X factors</w:t>
      </w:r>
      <w:r w:rsidRPr="00B62C96">
        <w:rPr>
          <w:rFonts w:ascii="Arial" w:hAnsi="Arial" w:cs="Arial"/>
        </w:rPr>
        <w:t xml:space="preserve"> sheet and are used for projecting smoothed expected revenues based on the ARR.</w:t>
      </w:r>
    </w:p>
    <w:p w:rsidR="008270B1" w:rsidRPr="00B62C96" w:rsidRDefault="008270B1" w:rsidP="00B62C96">
      <w:pPr>
        <w:pStyle w:val="Heading3"/>
        <w:numPr>
          <w:ilvl w:val="3"/>
          <w:numId w:val="10"/>
        </w:numPr>
        <w:rPr>
          <w:rFonts w:ascii="Arial" w:hAnsi="Arial" w:cs="Arial"/>
        </w:rPr>
      </w:pPr>
      <w:bookmarkStart w:id="71" w:name="_Toc399339674"/>
      <w:bookmarkStart w:id="72" w:name="_Toc410224080"/>
      <w:r w:rsidRPr="00B62C96">
        <w:rPr>
          <w:rFonts w:ascii="Arial" w:hAnsi="Arial" w:cs="Arial"/>
        </w:rPr>
        <w:t>Energy delivered forecast</w:t>
      </w:r>
      <w:bookmarkEnd w:id="71"/>
      <w:bookmarkEnd w:id="72"/>
    </w:p>
    <w:p w:rsidR="008270B1" w:rsidRPr="00B62C96" w:rsidRDefault="003C1509" w:rsidP="008270B1">
      <w:pPr>
        <w:pStyle w:val="AERbodytext"/>
        <w:numPr>
          <w:ilvl w:val="0"/>
          <w:numId w:val="9"/>
        </w:numPr>
        <w:rPr>
          <w:rFonts w:ascii="Arial" w:hAnsi="Arial" w:cs="Arial"/>
        </w:rPr>
      </w:pPr>
      <w:r w:rsidRPr="00B62C96">
        <w:rPr>
          <w:rFonts w:ascii="Arial" w:hAnsi="Arial" w:cs="Arial"/>
        </w:rPr>
        <w:t>Row 242</w:t>
      </w:r>
      <w:r w:rsidR="008270B1" w:rsidRPr="00B62C96">
        <w:rPr>
          <w:rFonts w:ascii="Arial" w:hAnsi="Arial" w:cs="Arial"/>
        </w:rPr>
        <w:t xml:space="preserve"> records total forecast energy delivered. Energy delivered forecasts may be obtained from the most recent Australian Energy Market Operator’s </w:t>
      </w:r>
      <w:r w:rsidR="008270B1" w:rsidRPr="00B62C96">
        <w:rPr>
          <w:rStyle w:val="AERtextitalic"/>
          <w:rFonts w:ascii="Arial" w:hAnsi="Arial" w:cs="Arial"/>
        </w:rPr>
        <w:t>National electricity forecasting report</w:t>
      </w:r>
      <w:r w:rsidR="008270B1" w:rsidRPr="00B62C96">
        <w:rPr>
          <w:rFonts w:ascii="Arial" w:hAnsi="Arial" w:cs="Arial"/>
        </w:rPr>
        <w:t xml:space="preserve">, a DNSP’s annual planning report or other relevant industry sources. These data are used in calculating the price constraint under a revenue yield form of control in the </w:t>
      </w:r>
      <w:r w:rsidR="008270B1" w:rsidRPr="00B62C96">
        <w:rPr>
          <w:rStyle w:val="AERtextbold"/>
          <w:rFonts w:ascii="Arial" w:hAnsi="Arial" w:cs="Arial"/>
        </w:rPr>
        <w:t>X factors</w:t>
      </w:r>
      <w:r w:rsidR="008270B1" w:rsidRPr="00B62C96">
        <w:rPr>
          <w:rFonts w:ascii="Arial" w:hAnsi="Arial" w:cs="Arial"/>
        </w:rPr>
        <w:t xml:space="preserve"> sheet. They are also used in the </w:t>
      </w:r>
      <w:r w:rsidR="008270B1" w:rsidRPr="00B62C96">
        <w:rPr>
          <w:rStyle w:val="AERtextbold"/>
          <w:rFonts w:ascii="Arial" w:hAnsi="Arial" w:cs="Arial"/>
        </w:rPr>
        <w:t>Revenue summary</w:t>
      </w:r>
      <w:r w:rsidR="008270B1" w:rsidRPr="00B62C96">
        <w:rPr>
          <w:rFonts w:ascii="Arial" w:hAnsi="Arial" w:cs="Arial"/>
        </w:rPr>
        <w:t xml:space="preserve"> sheet to calculate the average price impact.</w:t>
      </w:r>
    </w:p>
    <w:p w:rsidR="008270B1" w:rsidRPr="00B62C96" w:rsidRDefault="008270B1" w:rsidP="00B62C96">
      <w:pPr>
        <w:pStyle w:val="Heading3"/>
        <w:numPr>
          <w:ilvl w:val="3"/>
          <w:numId w:val="10"/>
        </w:numPr>
        <w:rPr>
          <w:rFonts w:ascii="Arial" w:hAnsi="Arial" w:cs="Arial"/>
        </w:rPr>
      </w:pPr>
      <w:bookmarkStart w:id="73" w:name="_Toc399339675"/>
      <w:bookmarkStart w:id="74" w:name="_Toc410224081"/>
      <w:r w:rsidRPr="00B62C96">
        <w:rPr>
          <w:rFonts w:ascii="Arial" w:hAnsi="Arial" w:cs="Arial"/>
        </w:rPr>
        <w:t>Current prices by tariff component</w:t>
      </w:r>
      <w:bookmarkEnd w:id="73"/>
      <w:bookmarkEnd w:id="74"/>
    </w:p>
    <w:p w:rsidR="008270B1" w:rsidRPr="00B62C96" w:rsidRDefault="008270B1" w:rsidP="008270B1">
      <w:pPr>
        <w:pStyle w:val="AERbodytext"/>
        <w:numPr>
          <w:ilvl w:val="0"/>
          <w:numId w:val="9"/>
        </w:numPr>
        <w:rPr>
          <w:rFonts w:ascii="Arial" w:hAnsi="Arial" w:cs="Arial"/>
        </w:rPr>
      </w:pPr>
      <w:r w:rsidRPr="00B62C96">
        <w:rPr>
          <w:rFonts w:ascii="Arial" w:hAnsi="Arial" w:cs="Arial"/>
        </w:rPr>
        <w:t>Prices by tariff component for the final regulatory year of the current regulatory control</w:t>
      </w:r>
      <w:r w:rsidR="003C1509" w:rsidRPr="00B62C96">
        <w:rPr>
          <w:rFonts w:ascii="Arial" w:hAnsi="Arial" w:cs="Arial"/>
        </w:rPr>
        <w:t xml:space="preserve"> period are recorded in rows 248 to 273</w:t>
      </w:r>
      <w:r w:rsidRPr="00B62C96">
        <w:rPr>
          <w:rFonts w:ascii="Arial" w:hAnsi="Arial" w:cs="Arial"/>
        </w:rPr>
        <w:t xml:space="preserve">. These data are used in the PTRM’s calculation of a weighted average price cap (WAPC) and may not be required depending on the form of control mechanism determined by the AER. Where used, this section of the model and its dependent calculations in the </w:t>
      </w:r>
      <w:r w:rsidRPr="00B62C96">
        <w:rPr>
          <w:rStyle w:val="AERtextbold"/>
          <w:rFonts w:ascii="Arial" w:hAnsi="Arial" w:cs="Arial"/>
        </w:rPr>
        <w:t>Forecast revenues</w:t>
      </w:r>
      <w:r w:rsidRPr="00B62C96">
        <w:rPr>
          <w:rFonts w:ascii="Arial" w:hAnsi="Arial" w:cs="Arial"/>
        </w:rPr>
        <w:t xml:space="preserve"> sheet may need to be amended to incorporate the components and tariff structures of each DNSP.</w:t>
      </w:r>
    </w:p>
    <w:p w:rsidR="008270B1" w:rsidRPr="00B62C96" w:rsidRDefault="008270B1" w:rsidP="00B62C96">
      <w:pPr>
        <w:pStyle w:val="Heading3"/>
        <w:numPr>
          <w:ilvl w:val="3"/>
          <w:numId w:val="10"/>
        </w:numPr>
        <w:rPr>
          <w:rFonts w:ascii="Arial" w:hAnsi="Arial" w:cs="Arial"/>
        </w:rPr>
      </w:pPr>
      <w:bookmarkStart w:id="75" w:name="_Toc399339676"/>
      <w:bookmarkStart w:id="76" w:name="_Toc410224082"/>
      <w:r w:rsidRPr="00B62C96">
        <w:rPr>
          <w:rFonts w:ascii="Arial" w:hAnsi="Arial" w:cs="Arial"/>
        </w:rPr>
        <w:t>Forecast sales quantities by tariff component</w:t>
      </w:r>
      <w:bookmarkEnd w:id="75"/>
      <w:bookmarkEnd w:id="76"/>
    </w:p>
    <w:p w:rsidR="008270B1" w:rsidRPr="00B62C96" w:rsidRDefault="008270B1" w:rsidP="008270B1">
      <w:pPr>
        <w:pStyle w:val="AERbodytext"/>
        <w:numPr>
          <w:ilvl w:val="0"/>
          <w:numId w:val="9"/>
        </w:numPr>
        <w:rPr>
          <w:rFonts w:ascii="Arial" w:hAnsi="Arial" w:cs="Arial"/>
        </w:rPr>
      </w:pPr>
      <w:r w:rsidRPr="00B62C96">
        <w:rPr>
          <w:rFonts w:ascii="Arial" w:hAnsi="Arial" w:cs="Arial"/>
        </w:rPr>
        <w:t>Forecast quantities relative to each tariff component for the next regulatory control</w:t>
      </w:r>
      <w:r w:rsidR="003C1509" w:rsidRPr="00B62C96">
        <w:rPr>
          <w:rFonts w:ascii="Arial" w:hAnsi="Arial" w:cs="Arial"/>
        </w:rPr>
        <w:t xml:space="preserve"> period are recorded in rows 279 to 304</w:t>
      </w:r>
      <w:r w:rsidRPr="00B62C96">
        <w:rPr>
          <w:rFonts w:ascii="Arial" w:hAnsi="Arial" w:cs="Arial"/>
        </w:rPr>
        <w:t xml:space="preserve"> (years 1 to 5) and rows 301 to 326 (years 6 to 10). These data are used in the PTRM’s calculation for the WAPC and may not be required depending on the form of control mechanism determined by the AER. As for pricing data discussed above, this section of the model and its dependent calculations may need to be amended to suit each DNSP. Where quantities are not available or appropriate for the entire regulatory year (e.g. customer numbers) they will need to be approximated using a method agreed to by the AER.</w:t>
      </w:r>
    </w:p>
    <w:p w:rsidR="008270B1" w:rsidRPr="00B62C96" w:rsidRDefault="008270B1" w:rsidP="00B62C96">
      <w:pPr>
        <w:pStyle w:val="Heading2"/>
        <w:numPr>
          <w:ilvl w:val="2"/>
          <w:numId w:val="10"/>
        </w:numPr>
        <w:rPr>
          <w:rFonts w:ascii="Arial" w:hAnsi="Arial" w:cs="Arial"/>
        </w:rPr>
      </w:pPr>
      <w:bookmarkStart w:id="77" w:name="_Toc399339677"/>
      <w:bookmarkStart w:id="78" w:name="_Toc409709121"/>
      <w:bookmarkStart w:id="79" w:name="_Toc410224083"/>
      <w:r w:rsidRPr="00B62C96">
        <w:rPr>
          <w:rFonts w:ascii="Arial" w:hAnsi="Arial" w:cs="Arial"/>
        </w:rPr>
        <w:t>WACC sheet</w:t>
      </w:r>
      <w:bookmarkEnd w:id="77"/>
      <w:bookmarkEnd w:id="78"/>
      <w:bookmarkEnd w:id="79"/>
    </w:p>
    <w:p w:rsidR="008270B1" w:rsidRPr="00B62C96" w:rsidRDefault="008270B1" w:rsidP="008270B1">
      <w:pPr>
        <w:pStyle w:val="AERbodytext"/>
        <w:numPr>
          <w:ilvl w:val="0"/>
          <w:numId w:val="9"/>
        </w:numPr>
        <w:rPr>
          <w:rFonts w:ascii="Arial" w:hAnsi="Arial" w:cs="Arial"/>
        </w:rPr>
      </w:pPr>
      <w:r w:rsidRPr="00B62C96">
        <w:rPr>
          <w:rFonts w:ascii="Arial" w:hAnsi="Arial" w:cs="Arial"/>
        </w:rPr>
        <w:t xml:space="preserve">The </w:t>
      </w:r>
      <w:r w:rsidRPr="00B62C96">
        <w:rPr>
          <w:rStyle w:val="AERtextbold"/>
          <w:rFonts w:ascii="Arial" w:hAnsi="Arial" w:cs="Arial"/>
        </w:rPr>
        <w:t>WACC</w:t>
      </w:r>
      <w:r w:rsidRPr="00B62C96">
        <w:rPr>
          <w:rFonts w:ascii="Arial" w:hAnsi="Arial" w:cs="Arial"/>
        </w:rPr>
        <w:t xml:space="preserve"> sheet determines for each regulatory year of the next regulatory control period the required return on equity, return on debt and the WACC using the relevant cost of capital parameters from the</w:t>
      </w:r>
      <w:r w:rsidRPr="00B62C96">
        <w:rPr>
          <w:rFonts w:ascii="Arial" w:hAnsi="Arial" w:cs="Arial"/>
          <w:b/>
        </w:rPr>
        <w:t xml:space="preserve"> </w:t>
      </w:r>
      <w:r w:rsidR="00D804FF" w:rsidRPr="00B62C96">
        <w:rPr>
          <w:rFonts w:ascii="Arial" w:hAnsi="Arial" w:cs="Arial"/>
          <w:b/>
        </w:rPr>
        <w:t>PTRM</w:t>
      </w:r>
      <w:r w:rsidR="00D804FF" w:rsidRPr="00B62C96">
        <w:rPr>
          <w:rFonts w:ascii="Arial" w:hAnsi="Arial" w:cs="Arial"/>
        </w:rPr>
        <w:t xml:space="preserve"> </w:t>
      </w:r>
      <w:r w:rsidR="00E47B17" w:rsidRPr="00B62C96">
        <w:rPr>
          <w:rStyle w:val="AERtextbold"/>
          <w:rFonts w:ascii="Arial" w:hAnsi="Arial" w:cs="Arial"/>
        </w:rPr>
        <w:t>i</w:t>
      </w:r>
      <w:r w:rsidRPr="00B62C96">
        <w:rPr>
          <w:rStyle w:val="AERtextbold"/>
          <w:rFonts w:ascii="Arial" w:hAnsi="Arial" w:cs="Arial"/>
        </w:rPr>
        <w:t>nput</w:t>
      </w:r>
      <w:r w:rsidRPr="00B62C96">
        <w:rPr>
          <w:rFonts w:ascii="Arial" w:hAnsi="Arial" w:cs="Arial"/>
        </w:rPr>
        <w:t xml:space="preserve"> sheet. </w:t>
      </w:r>
      <w:r w:rsidRPr="00C4660C">
        <w:rPr>
          <w:rFonts w:ascii="Arial" w:hAnsi="Arial" w:cs="Arial"/>
        </w:rPr>
        <w:t xml:space="preserve">Some of these will be constant across the regulatory control period, </w:t>
      </w:r>
      <w:r w:rsidR="000257BC" w:rsidRPr="00C4660C">
        <w:rPr>
          <w:rFonts w:ascii="Arial" w:hAnsi="Arial" w:cs="Arial"/>
        </w:rPr>
        <w:t xml:space="preserve">but </w:t>
      </w:r>
      <w:r w:rsidRPr="00C4660C">
        <w:rPr>
          <w:rFonts w:ascii="Arial" w:hAnsi="Arial" w:cs="Arial"/>
        </w:rPr>
        <w:t>the return on debt (and therefore the overall WACC) may now vary year-by year.</w:t>
      </w:r>
    </w:p>
    <w:p w:rsidR="008270B1" w:rsidRPr="00B62C96" w:rsidRDefault="008270B1" w:rsidP="008270B1">
      <w:pPr>
        <w:pStyle w:val="AERbodytext"/>
        <w:numPr>
          <w:ilvl w:val="0"/>
          <w:numId w:val="9"/>
        </w:numPr>
        <w:rPr>
          <w:rStyle w:val="AERtexthighlight"/>
          <w:rFonts w:ascii="Arial" w:hAnsi="Arial" w:cs="Arial"/>
        </w:rPr>
      </w:pPr>
      <w:r w:rsidRPr="00B62C96">
        <w:rPr>
          <w:rFonts w:ascii="Arial" w:hAnsi="Arial" w:cs="Arial"/>
        </w:rPr>
        <w:t xml:space="preserve">The effective tax rates derived from the cash-flow analysis are also reported in the </w:t>
      </w:r>
      <w:r w:rsidRPr="00B62C96">
        <w:rPr>
          <w:rStyle w:val="AERtextbold"/>
          <w:rFonts w:ascii="Arial" w:hAnsi="Arial" w:cs="Arial"/>
        </w:rPr>
        <w:t>WACC</w:t>
      </w:r>
      <w:r w:rsidRPr="00B62C96">
        <w:rPr>
          <w:rFonts w:ascii="Arial" w:hAnsi="Arial" w:cs="Arial"/>
        </w:rPr>
        <w:t xml:space="preserve"> sheet, including various measures of the WACC calculated from the forecast cash-flows in the </w:t>
      </w:r>
      <w:r w:rsidRPr="00B62C96">
        <w:rPr>
          <w:rStyle w:val="AERtextbold"/>
          <w:rFonts w:ascii="Arial" w:hAnsi="Arial" w:cs="Arial"/>
        </w:rPr>
        <w:t>Analysis</w:t>
      </w:r>
      <w:r w:rsidRPr="00B62C96">
        <w:rPr>
          <w:rFonts w:ascii="Arial" w:hAnsi="Arial" w:cs="Arial"/>
        </w:rPr>
        <w:t xml:space="preserve"> </w:t>
      </w:r>
      <w:r w:rsidRPr="00B62C96">
        <w:rPr>
          <w:rFonts w:ascii="Arial" w:hAnsi="Arial" w:cs="Arial"/>
        </w:rPr>
        <w:lastRenderedPageBreak/>
        <w:t>sheet.</w:t>
      </w:r>
      <w:r w:rsidR="000257BC" w:rsidRPr="00B62C96">
        <w:rPr>
          <w:rStyle w:val="FootnoteReference"/>
          <w:rFonts w:ascii="Arial" w:hAnsi="Arial" w:cs="Arial"/>
        </w:rPr>
        <w:footnoteReference w:id="16"/>
      </w:r>
      <w:r w:rsidRPr="00B62C96">
        <w:rPr>
          <w:rFonts w:ascii="Arial" w:hAnsi="Arial" w:cs="Arial"/>
        </w:rPr>
        <w:t xml:space="preserve"> </w:t>
      </w:r>
      <w:r w:rsidRPr="00B62C96">
        <w:rPr>
          <w:rStyle w:val="AERtexthighlight"/>
          <w:rFonts w:ascii="Arial" w:hAnsi="Arial" w:cs="Arial"/>
          <w:shd w:val="clear" w:color="auto" w:fill="auto"/>
        </w:rPr>
        <w:t>The nomina</w:t>
      </w:r>
      <w:r w:rsidR="00B42D27" w:rsidRPr="00B62C96">
        <w:rPr>
          <w:rStyle w:val="AERtexthighlight"/>
          <w:rFonts w:ascii="Arial" w:hAnsi="Arial" w:cs="Arial"/>
          <w:shd w:val="clear" w:color="auto" w:fill="auto"/>
        </w:rPr>
        <w:t>l pre-tax return on debt (row 14</w:t>
      </w:r>
      <w:r w:rsidRPr="00B62C96">
        <w:rPr>
          <w:rStyle w:val="AERtexthighlight"/>
          <w:rFonts w:ascii="Arial" w:hAnsi="Arial" w:cs="Arial"/>
          <w:shd w:val="clear" w:color="auto" w:fill="auto"/>
        </w:rPr>
        <w:t xml:space="preserve">) and the nominal post-tax </w:t>
      </w:r>
      <w:r w:rsidR="00B42D27" w:rsidRPr="00B62C96">
        <w:rPr>
          <w:rStyle w:val="AERtexthighlight"/>
          <w:rFonts w:ascii="Arial" w:hAnsi="Arial" w:cs="Arial"/>
          <w:shd w:val="clear" w:color="auto" w:fill="auto"/>
        </w:rPr>
        <w:t>return</w:t>
      </w:r>
      <w:r w:rsidRPr="00B62C96">
        <w:rPr>
          <w:rStyle w:val="AERtexthighlight"/>
          <w:rFonts w:ascii="Arial" w:hAnsi="Arial" w:cs="Arial"/>
          <w:shd w:val="clear" w:color="auto" w:fill="auto"/>
        </w:rPr>
        <w:t xml:space="preserve"> </w:t>
      </w:r>
      <w:r w:rsidR="00B42D27" w:rsidRPr="00B62C96">
        <w:rPr>
          <w:rStyle w:val="AERtexthighlight"/>
          <w:rFonts w:ascii="Arial" w:hAnsi="Arial" w:cs="Arial"/>
          <w:shd w:val="clear" w:color="auto" w:fill="auto"/>
        </w:rPr>
        <w:t>on</w:t>
      </w:r>
      <w:r w:rsidRPr="00B62C96">
        <w:rPr>
          <w:rStyle w:val="AERtexthighlight"/>
          <w:rFonts w:ascii="Arial" w:hAnsi="Arial" w:cs="Arial"/>
          <w:shd w:val="clear" w:color="auto" w:fill="auto"/>
        </w:rPr>
        <w:t xml:space="preserve"> equity (row 1</w:t>
      </w:r>
      <w:r w:rsidR="00B42D27" w:rsidRPr="00B62C96">
        <w:rPr>
          <w:rStyle w:val="AERtexthighlight"/>
          <w:rFonts w:ascii="Arial" w:hAnsi="Arial" w:cs="Arial"/>
          <w:shd w:val="clear" w:color="auto" w:fill="auto"/>
        </w:rPr>
        <w:t>0</w:t>
      </w:r>
      <w:r w:rsidRPr="00B62C96">
        <w:rPr>
          <w:rStyle w:val="AERtexthighlight"/>
          <w:rFonts w:ascii="Arial" w:hAnsi="Arial" w:cs="Arial"/>
          <w:shd w:val="clear" w:color="auto" w:fill="auto"/>
        </w:rPr>
        <w:t>) are multiplied by the debt and equity components of the RAB to determine the return on capital building block.</w:t>
      </w:r>
      <w:r w:rsidRPr="00B62C96">
        <w:rPr>
          <w:rStyle w:val="AERsuperscript"/>
          <w:rFonts w:ascii="Arial" w:hAnsi="Arial" w:cs="Arial"/>
        </w:rPr>
        <w:footnoteReference w:id="17"/>
      </w:r>
      <w:r w:rsidRPr="00B62C96">
        <w:rPr>
          <w:rStyle w:val="AERtexthighlight"/>
          <w:rFonts w:ascii="Arial" w:hAnsi="Arial" w:cs="Arial"/>
        </w:rPr>
        <w:t xml:space="preserve">  </w:t>
      </w:r>
    </w:p>
    <w:p w:rsidR="008270B1" w:rsidRPr="009B70E8" w:rsidRDefault="008270B1" w:rsidP="008270B1">
      <w:pPr>
        <w:pStyle w:val="AERbodytext"/>
        <w:numPr>
          <w:ilvl w:val="0"/>
          <w:numId w:val="9"/>
        </w:numPr>
        <w:rPr>
          <w:rStyle w:val="AERtexthighlight"/>
          <w:rFonts w:ascii="Arial" w:hAnsi="Arial" w:cs="Arial"/>
          <w:shd w:val="clear" w:color="auto" w:fill="auto"/>
        </w:rPr>
      </w:pPr>
      <w:r w:rsidRPr="009B70E8">
        <w:rPr>
          <w:rStyle w:val="AERtexthighlight"/>
          <w:rFonts w:ascii="Arial" w:hAnsi="Arial" w:cs="Arial"/>
          <w:shd w:val="clear" w:color="auto" w:fill="auto"/>
        </w:rPr>
        <w:t xml:space="preserve">In addition, there is a button labelled 'Set </w:t>
      </w:r>
      <w:proofErr w:type="spellStart"/>
      <w:r w:rsidRPr="009B70E8">
        <w:rPr>
          <w:rStyle w:val="AERtexthighlight"/>
          <w:rFonts w:ascii="Arial" w:hAnsi="Arial" w:cs="Arial"/>
          <w:shd w:val="clear" w:color="auto" w:fill="auto"/>
        </w:rPr>
        <w:t>Te</w:t>
      </w:r>
      <w:proofErr w:type="spellEnd"/>
      <w:r w:rsidRPr="009B70E8">
        <w:rPr>
          <w:rStyle w:val="AERtexthighlight"/>
          <w:rFonts w:ascii="Arial" w:hAnsi="Arial" w:cs="Arial"/>
          <w:shd w:val="clear" w:color="auto" w:fill="auto"/>
        </w:rPr>
        <w:t xml:space="preserve"> and Td' which is linked to a macro that should be pressed after all inputs have been finalised for establishing the ARR at the start of the next regulatory control period. This will copy the cash-flow derived effective tax rates for equity and debt from the </w:t>
      </w:r>
      <w:r w:rsidRPr="009B70E8">
        <w:rPr>
          <w:rStyle w:val="AERtexthighlight"/>
          <w:rFonts w:ascii="Arial" w:hAnsi="Arial" w:cs="Arial"/>
          <w:b/>
          <w:shd w:val="clear" w:color="auto" w:fill="auto"/>
        </w:rPr>
        <w:t>Analysis</w:t>
      </w:r>
      <w:r w:rsidRPr="009B70E8">
        <w:rPr>
          <w:rStyle w:val="AERtexthighlight"/>
          <w:rFonts w:ascii="Arial" w:hAnsi="Arial" w:cs="Arial"/>
          <w:shd w:val="clear" w:color="auto" w:fill="auto"/>
        </w:rPr>
        <w:t xml:space="preserve"> sheet to the appropriate location in the </w:t>
      </w:r>
      <w:r w:rsidRPr="009B70E8">
        <w:rPr>
          <w:rStyle w:val="AERtexthighlight"/>
          <w:rFonts w:ascii="Arial" w:hAnsi="Arial" w:cs="Arial"/>
          <w:b/>
          <w:shd w:val="clear" w:color="auto" w:fill="auto"/>
        </w:rPr>
        <w:t>WACC</w:t>
      </w:r>
      <w:r w:rsidRPr="009B70E8">
        <w:rPr>
          <w:rStyle w:val="AERtexthighlight"/>
          <w:rFonts w:ascii="Arial" w:hAnsi="Arial" w:cs="Arial"/>
          <w:shd w:val="clear" w:color="auto" w:fill="auto"/>
        </w:rPr>
        <w:t xml:space="preserve"> sheet (cells G28 and G29). The cash-flow derived rates shown in column R are designed as checks to ensure certain parameters are internally consistent with those derived by formula at the time of the final decision. Because the cash-flow derived rates are based on the use of a constant WACC, there is no need to press the 'Set </w:t>
      </w:r>
      <w:proofErr w:type="spellStart"/>
      <w:r w:rsidRPr="009B70E8">
        <w:rPr>
          <w:rStyle w:val="AERtexthighlight"/>
          <w:rFonts w:ascii="Arial" w:hAnsi="Arial" w:cs="Arial"/>
          <w:shd w:val="clear" w:color="auto" w:fill="auto"/>
        </w:rPr>
        <w:t>Te</w:t>
      </w:r>
      <w:proofErr w:type="spellEnd"/>
      <w:r w:rsidRPr="009B70E8">
        <w:rPr>
          <w:rStyle w:val="AERtexthighlight"/>
          <w:rFonts w:ascii="Arial" w:hAnsi="Arial" w:cs="Arial"/>
          <w:shd w:val="clear" w:color="auto" w:fill="auto"/>
        </w:rPr>
        <w:t xml:space="preserve"> and Td' button again as part of the annual return on debt update process during the regulatory control period. This process is discussed further in chapter 3. </w:t>
      </w:r>
    </w:p>
    <w:p w:rsidR="008270B1" w:rsidRPr="00B62C96" w:rsidRDefault="008270B1" w:rsidP="008270B1">
      <w:pPr>
        <w:pStyle w:val="AERbodytext"/>
        <w:numPr>
          <w:ilvl w:val="0"/>
          <w:numId w:val="9"/>
        </w:numPr>
        <w:rPr>
          <w:rStyle w:val="AERtexthighlight"/>
          <w:rFonts w:ascii="Arial" w:hAnsi="Arial" w:cs="Arial"/>
          <w:shd w:val="clear" w:color="auto" w:fill="auto"/>
        </w:rPr>
      </w:pPr>
      <w:r w:rsidRPr="005C3CBC">
        <w:rPr>
          <w:rStyle w:val="AERtexthighlight"/>
          <w:rFonts w:ascii="Arial" w:hAnsi="Arial" w:cs="Arial"/>
          <w:shd w:val="clear" w:color="auto" w:fill="auto"/>
        </w:rPr>
        <w:fldChar w:fldCharType="begin"/>
      </w:r>
      <w:r w:rsidRPr="005C3CBC">
        <w:rPr>
          <w:rStyle w:val="AERtexthighlight"/>
          <w:rFonts w:ascii="Arial" w:hAnsi="Arial" w:cs="Arial"/>
          <w:shd w:val="clear" w:color="auto" w:fill="auto"/>
        </w:rPr>
        <w:instrText xml:space="preserve"> REF _Ref397601203 \h  \* MERGEFORMAT </w:instrText>
      </w:r>
      <w:r w:rsidRPr="005C3CBC">
        <w:rPr>
          <w:rStyle w:val="AERtexthighlight"/>
          <w:rFonts w:ascii="Arial" w:hAnsi="Arial" w:cs="Arial"/>
          <w:shd w:val="clear" w:color="auto" w:fill="auto"/>
        </w:rPr>
      </w:r>
      <w:r w:rsidRPr="005C3CBC">
        <w:rPr>
          <w:rStyle w:val="AERtexthighlight"/>
          <w:rFonts w:ascii="Arial" w:hAnsi="Arial" w:cs="Arial"/>
          <w:shd w:val="clear" w:color="auto" w:fill="auto"/>
        </w:rPr>
        <w:fldChar w:fldCharType="separate"/>
      </w:r>
      <w:r w:rsidR="006709B5" w:rsidRPr="006709B5">
        <w:rPr>
          <w:rStyle w:val="AERtexthighlight"/>
          <w:shd w:val="clear" w:color="auto" w:fill="auto"/>
        </w:rPr>
        <w:t>Figure 6</w:t>
      </w:r>
      <w:r w:rsidRPr="005C3CBC">
        <w:rPr>
          <w:rStyle w:val="AERtexthighlight"/>
          <w:rFonts w:ascii="Arial" w:hAnsi="Arial" w:cs="Arial"/>
          <w:shd w:val="clear" w:color="auto" w:fill="auto"/>
        </w:rPr>
        <w:fldChar w:fldCharType="end"/>
      </w:r>
      <w:r w:rsidRPr="005C3CBC">
        <w:rPr>
          <w:rStyle w:val="AERtexthighlight"/>
          <w:rFonts w:ascii="Arial" w:hAnsi="Arial" w:cs="Arial"/>
          <w:shd w:val="clear" w:color="auto" w:fill="auto"/>
        </w:rPr>
        <w:t xml:space="preserve"> provides</w:t>
      </w:r>
      <w:r w:rsidRPr="00B62C96">
        <w:rPr>
          <w:rStyle w:val="AERtexthighlight"/>
          <w:rFonts w:ascii="Arial" w:hAnsi="Arial" w:cs="Arial"/>
          <w:shd w:val="clear" w:color="auto" w:fill="auto"/>
        </w:rPr>
        <w:t xml:space="preserve"> an example of the </w:t>
      </w:r>
      <w:r w:rsidRPr="00B62C96">
        <w:rPr>
          <w:rStyle w:val="AERtextbold"/>
          <w:rFonts w:ascii="Arial" w:hAnsi="Arial" w:cs="Arial"/>
        </w:rPr>
        <w:t>WACC</w:t>
      </w:r>
      <w:r w:rsidRPr="00B62C96">
        <w:rPr>
          <w:rStyle w:val="AERtexthighlight"/>
          <w:rFonts w:ascii="Arial" w:hAnsi="Arial" w:cs="Arial"/>
          <w:shd w:val="clear" w:color="auto" w:fill="auto"/>
        </w:rPr>
        <w:t xml:space="preserve"> sheet.</w:t>
      </w:r>
    </w:p>
    <w:p w:rsidR="008270B1" w:rsidRPr="00B62C96" w:rsidRDefault="008270B1" w:rsidP="008270B1">
      <w:pPr>
        <w:pStyle w:val="Caption"/>
        <w:rPr>
          <w:rFonts w:ascii="Arial" w:hAnsi="Arial" w:cs="Arial"/>
        </w:rPr>
      </w:pPr>
      <w:bookmarkStart w:id="80" w:name="_Ref397601203"/>
      <w:r w:rsidRPr="00B62C96">
        <w:rPr>
          <w:rFonts w:ascii="Arial" w:hAnsi="Arial" w:cs="Arial"/>
        </w:rPr>
        <w:t xml:space="preserve">Figure </w:t>
      </w:r>
      <w:r w:rsidRPr="00B62C96">
        <w:rPr>
          <w:rFonts w:ascii="Arial" w:hAnsi="Arial" w:cs="Arial"/>
        </w:rPr>
        <w:fldChar w:fldCharType="begin"/>
      </w:r>
      <w:r w:rsidRPr="00B62C96">
        <w:rPr>
          <w:rFonts w:ascii="Arial" w:hAnsi="Arial" w:cs="Arial"/>
        </w:rPr>
        <w:instrText xml:space="preserve"> SEQ Figure \* ARABIC </w:instrText>
      </w:r>
      <w:r w:rsidRPr="00B62C96">
        <w:rPr>
          <w:rFonts w:ascii="Arial" w:hAnsi="Arial" w:cs="Arial"/>
        </w:rPr>
        <w:fldChar w:fldCharType="separate"/>
      </w:r>
      <w:r w:rsidR="006709B5">
        <w:rPr>
          <w:rFonts w:ascii="Arial" w:hAnsi="Arial" w:cs="Arial"/>
          <w:noProof/>
        </w:rPr>
        <w:t>6</w:t>
      </w:r>
      <w:r w:rsidRPr="00B62C96">
        <w:rPr>
          <w:rFonts w:ascii="Arial" w:hAnsi="Arial" w:cs="Arial"/>
          <w:noProof/>
        </w:rPr>
        <w:fldChar w:fldCharType="end"/>
      </w:r>
      <w:bookmarkEnd w:id="80"/>
      <w:r w:rsidRPr="00B62C96">
        <w:rPr>
          <w:rFonts w:ascii="Arial" w:hAnsi="Arial" w:cs="Arial"/>
        </w:rPr>
        <w:tab/>
        <w:t>WACC sheet</w:t>
      </w:r>
    </w:p>
    <w:p w:rsidR="008270B1" w:rsidRPr="00B62C96" w:rsidRDefault="00F92CE7" w:rsidP="008270B1">
      <w:pPr>
        <w:pStyle w:val="AERbodytext"/>
        <w:numPr>
          <w:ilvl w:val="0"/>
          <w:numId w:val="9"/>
        </w:numPr>
        <w:rPr>
          <w:rFonts w:ascii="Arial" w:hAnsi="Arial" w:cs="Arial"/>
        </w:rPr>
      </w:pPr>
      <w:r>
        <w:rPr>
          <w:noProof/>
          <w:lang w:eastAsia="en-AU"/>
        </w:rPr>
        <w:drawing>
          <wp:inline distT="0" distB="0" distL="0" distR="0" wp14:anchorId="374DF791" wp14:editId="451F46C0">
            <wp:extent cx="5731510" cy="285412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2854121"/>
                    </a:xfrm>
                    <a:prstGeom prst="rect">
                      <a:avLst/>
                    </a:prstGeom>
                  </pic:spPr>
                </pic:pic>
              </a:graphicData>
            </a:graphic>
          </wp:inline>
        </w:drawing>
      </w:r>
    </w:p>
    <w:p w:rsidR="008270B1" w:rsidRPr="00B62C96" w:rsidRDefault="008270B1" w:rsidP="00B62C96">
      <w:pPr>
        <w:pStyle w:val="Heading2"/>
        <w:numPr>
          <w:ilvl w:val="2"/>
          <w:numId w:val="10"/>
        </w:numPr>
        <w:rPr>
          <w:rFonts w:ascii="Arial" w:hAnsi="Arial" w:cs="Arial"/>
        </w:rPr>
      </w:pPr>
      <w:bookmarkStart w:id="81" w:name="_Toc399339678"/>
      <w:bookmarkStart w:id="82" w:name="_Toc409709122"/>
      <w:bookmarkStart w:id="83" w:name="_Toc410224084"/>
      <w:r w:rsidRPr="00B62C96">
        <w:rPr>
          <w:rFonts w:ascii="Arial" w:hAnsi="Arial" w:cs="Arial"/>
        </w:rPr>
        <w:t>Assets sheet</w:t>
      </w:r>
      <w:bookmarkEnd w:id="81"/>
      <w:bookmarkEnd w:id="82"/>
      <w:bookmarkEnd w:id="83"/>
    </w:p>
    <w:p w:rsidR="008270B1" w:rsidRPr="00B62C96" w:rsidRDefault="008270B1" w:rsidP="008270B1">
      <w:pPr>
        <w:pStyle w:val="AERbodytext"/>
        <w:numPr>
          <w:ilvl w:val="0"/>
          <w:numId w:val="9"/>
        </w:numPr>
        <w:rPr>
          <w:rFonts w:ascii="Arial" w:hAnsi="Arial" w:cs="Arial"/>
        </w:rPr>
      </w:pPr>
      <w:r w:rsidRPr="00B62C96">
        <w:rPr>
          <w:rFonts w:ascii="Arial" w:hAnsi="Arial" w:cs="Arial"/>
        </w:rPr>
        <w:t xml:space="preserve">The </w:t>
      </w:r>
      <w:r w:rsidRPr="00B62C96">
        <w:rPr>
          <w:rStyle w:val="AERtextbold"/>
          <w:rFonts w:ascii="Arial" w:hAnsi="Arial" w:cs="Arial"/>
        </w:rPr>
        <w:t>Assets</w:t>
      </w:r>
      <w:r w:rsidRPr="00B62C96">
        <w:rPr>
          <w:rFonts w:ascii="Arial" w:hAnsi="Arial" w:cs="Arial"/>
        </w:rPr>
        <w:t xml:space="preserve"> sheet calculates the value of the RAB for each regulatory year over the next regulatory control period in real (start of year one) and nominal dollar terms. It also calculates both regulatory and tax depreciation. The </w:t>
      </w:r>
      <w:r w:rsidRPr="00B62C96">
        <w:rPr>
          <w:rStyle w:val="AERtextbold"/>
          <w:rFonts w:ascii="Arial" w:hAnsi="Arial" w:cs="Arial"/>
        </w:rPr>
        <w:t>Assets</w:t>
      </w:r>
      <w:r w:rsidRPr="00B62C96">
        <w:rPr>
          <w:rFonts w:ascii="Arial" w:hAnsi="Arial" w:cs="Arial"/>
        </w:rPr>
        <w:t xml:space="preserve"> sheet displays 55 years of data to allow estimation of the effective tax rate.</w:t>
      </w:r>
    </w:p>
    <w:p w:rsidR="008270B1" w:rsidRPr="00B62C96" w:rsidRDefault="008270B1" w:rsidP="008270B1">
      <w:pPr>
        <w:pStyle w:val="AERbodytext"/>
        <w:numPr>
          <w:ilvl w:val="0"/>
          <w:numId w:val="9"/>
        </w:numPr>
        <w:rPr>
          <w:rFonts w:ascii="Arial" w:hAnsi="Arial" w:cs="Arial"/>
        </w:rPr>
      </w:pPr>
      <w:r w:rsidRPr="00B62C96">
        <w:rPr>
          <w:rFonts w:ascii="Arial" w:hAnsi="Arial" w:cs="Arial"/>
        </w:rPr>
        <w:fldChar w:fldCharType="begin"/>
      </w:r>
      <w:r w:rsidRPr="00B62C96">
        <w:rPr>
          <w:rFonts w:ascii="Arial" w:hAnsi="Arial" w:cs="Arial"/>
        </w:rPr>
        <w:instrText xml:space="preserve"> REF _Ref397601193 \h  \* MERGEFORMAT </w:instrText>
      </w:r>
      <w:r w:rsidRPr="00B62C96">
        <w:rPr>
          <w:rFonts w:ascii="Arial" w:hAnsi="Arial" w:cs="Arial"/>
        </w:rPr>
      </w:r>
      <w:r w:rsidRPr="00B62C96">
        <w:rPr>
          <w:rFonts w:ascii="Arial" w:hAnsi="Arial" w:cs="Arial"/>
        </w:rPr>
        <w:fldChar w:fldCharType="separate"/>
      </w:r>
      <w:r w:rsidR="006709B5" w:rsidRPr="00B62C96">
        <w:rPr>
          <w:rFonts w:ascii="Arial" w:hAnsi="Arial" w:cs="Arial"/>
        </w:rPr>
        <w:t xml:space="preserve">Figure </w:t>
      </w:r>
      <w:r w:rsidR="006709B5">
        <w:rPr>
          <w:rFonts w:ascii="Arial" w:hAnsi="Arial" w:cs="Arial"/>
          <w:noProof/>
        </w:rPr>
        <w:t>7</w:t>
      </w:r>
      <w:r w:rsidRPr="00B62C96">
        <w:rPr>
          <w:rFonts w:ascii="Arial" w:hAnsi="Arial" w:cs="Arial"/>
        </w:rPr>
        <w:fldChar w:fldCharType="end"/>
      </w:r>
      <w:r w:rsidRPr="00B62C96">
        <w:rPr>
          <w:rFonts w:ascii="Arial" w:hAnsi="Arial" w:cs="Arial"/>
        </w:rPr>
        <w:t xml:space="preserve"> provides an example of the </w:t>
      </w:r>
      <w:r w:rsidRPr="00B62C96">
        <w:rPr>
          <w:rStyle w:val="AERtextbold"/>
          <w:rFonts w:ascii="Arial" w:hAnsi="Arial" w:cs="Arial"/>
        </w:rPr>
        <w:t>Assets</w:t>
      </w:r>
      <w:r w:rsidRPr="00B62C96">
        <w:rPr>
          <w:rFonts w:ascii="Arial" w:hAnsi="Arial" w:cs="Arial"/>
        </w:rPr>
        <w:t xml:space="preserve"> sheet.</w:t>
      </w:r>
    </w:p>
    <w:p w:rsidR="008270B1" w:rsidRPr="00B62C96" w:rsidRDefault="008270B1" w:rsidP="008270B1">
      <w:pPr>
        <w:pStyle w:val="Caption"/>
        <w:rPr>
          <w:rFonts w:ascii="Arial" w:hAnsi="Arial" w:cs="Arial"/>
        </w:rPr>
      </w:pPr>
      <w:bookmarkStart w:id="84" w:name="_Ref397601193"/>
      <w:r w:rsidRPr="00B62C96">
        <w:rPr>
          <w:rFonts w:ascii="Arial" w:hAnsi="Arial" w:cs="Arial"/>
        </w:rPr>
        <w:lastRenderedPageBreak/>
        <w:t xml:space="preserve">Figure </w:t>
      </w:r>
      <w:r w:rsidRPr="00B62C96">
        <w:rPr>
          <w:rFonts w:ascii="Arial" w:hAnsi="Arial" w:cs="Arial"/>
        </w:rPr>
        <w:fldChar w:fldCharType="begin"/>
      </w:r>
      <w:r w:rsidRPr="00B62C96">
        <w:rPr>
          <w:rFonts w:ascii="Arial" w:hAnsi="Arial" w:cs="Arial"/>
        </w:rPr>
        <w:instrText xml:space="preserve"> SEQ Figure \* ARABIC </w:instrText>
      </w:r>
      <w:r w:rsidRPr="00B62C96">
        <w:rPr>
          <w:rFonts w:ascii="Arial" w:hAnsi="Arial" w:cs="Arial"/>
        </w:rPr>
        <w:fldChar w:fldCharType="separate"/>
      </w:r>
      <w:r w:rsidR="006709B5">
        <w:rPr>
          <w:rFonts w:ascii="Arial" w:hAnsi="Arial" w:cs="Arial"/>
          <w:noProof/>
        </w:rPr>
        <w:t>7</w:t>
      </w:r>
      <w:r w:rsidRPr="00B62C96">
        <w:rPr>
          <w:rFonts w:ascii="Arial" w:hAnsi="Arial" w:cs="Arial"/>
          <w:noProof/>
        </w:rPr>
        <w:fldChar w:fldCharType="end"/>
      </w:r>
      <w:bookmarkEnd w:id="84"/>
      <w:r w:rsidRPr="00B62C96">
        <w:rPr>
          <w:rFonts w:ascii="Arial" w:hAnsi="Arial" w:cs="Arial"/>
        </w:rPr>
        <w:tab/>
        <w:t>Assets sheet</w:t>
      </w:r>
    </w:p>
    <w:p w:rsidR="008270B1" w:rsidRPr="00B62C96" w:rsidRDefault="00F92CE7" w:rsidP="008270B1">
      <w:pPr>
        <w:pStyle w:val="AERbodytext"/>
        <w:numPr>
          <w:ilvl w:val="0"/>
          <w:numId w:val="9"/>
        </w:numPr>
        <w:rPr>
          <w:rFonts w:ascii="Arial" w:hAnsi="Arial" w:cs="Arial"/>
        </w:rPr>
      </w:pPr>
      <w:r>
        <w:rPr>
          <w:noProof/>
          <w:lang w:eastAsia="en-AU"/>
        </w:rPr>
        <w:drawing>
          <wp:inline distT="0" distB="0" distL="0" distR="0" wp14:anchorId="5BE9FBC1" wp14:editId="3A6C0A4F">
            <wp:extent cx="5731510" cy="590970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5909701"/>
                    </a:xfrm>
                    <a:prstGeom prst="rect">
                      <a:avLst/>
                    </a:prstGeom>
                  </pic:spPr>
                </pic:pic>
              </a:graphicData>
            </a:graphic>
          </wp:inline>
        </w:drawing>
      </w:r>
    </w:p>
    <w:p w:rsidR="008270B1" w:rsidRPr="00B62C96" w:rsidRDefault="008270B1" w:rsidP="00B62C96">
      <w:pPr>
        <w:pStyle w:val="Heading3"/>
        <w:numPr>
          <w:ilvl w:val="3"/>
          <w:numId w:val="10"/>
        </w:numPr>
        <w:rPr>
          <w:rFonts w:ascii="Arial" w:hAnsi="Arial" w:cs="Arial"/>
        </w:rPr>
      </w:pPr>
      <w:bookmarkStart w:id="85" w:name="_Toc399339679"/>
      <w:bookmarkStart w:id="86" w:name="_Toc410224085"/>
      <w:r w:rsidRPr="00B62C96">
        <w:rPr>
          <w:rFonts w:ascii="Arial" w:hAnsi="Arial" w:cs="Arial"/>
        </w:rPr>
        <w:t>Rolling forward the RAB and depreciation</w:t>
      </w:r>
      <w:bookmarkEnd w:id="85"/>
      <w:bookmarkEnd w:id="86"/>
    </w:p>
    <w:p w:rsidR="008270B1" w:rsidRPr="00B62C96" w:rsidRDefault="008270B1" w:rsidP="008270B1">
      <w:pPr>
        <w:pStyle w:val="AERbodytext"/>
        <w:numPr>
          <w:ilvl w:val="0"/>
          <w:numId w:val="9"/>
        </w:numPr>
        <w:rPr>
          <w:rFonts w:ascii="Arial" w:hAnsi="Arial" w:cs="Arial"/>
        </w:rPr>
      </w:pPr>
      <w:r w:rsidRPr="00B62C96">
        <w:rPr>
          <w:rFonts w:ascii="Arial" w:hAnsi="Arial" w:cs="Arial"/>
        </w:rPr>
        <w:t>For consistency, depreciation in a period must equal the difference between the asset value at the start and end of the period. Further, as depreciation is intended to represent the return of capital over the life of the asset, accumulated depreciation should not exceed the initial actual capital cost of the infrastructure.</w:t>
      </w:r>
    </w:p>
    <w:p w:rsidR="008270B1" w:rsidRPr="00B62C96" w:rsidRDefault="008270B1" w:rsidP="008270B1">
      <w:pPr>
        <w:pStyle w:val="AERbodytext"/>
        <w:numPr>
          <w:ilvl w:val="0"/>
          <w:numId w:val="9"/>
        </w:numPr>
        <w:rPr>
          <w:rFonts w:ascii="Arial" w:hAnsi="Arial" w:cs="Arial"/>
        </w:rPr>
      </w:pPr>
      <w:r w:rsidRPr="00B62C96">
        <w:rPr>
          <w:rFonts w:ascii="Arial" w:hAnsi="Arial" w:cs="Arial"/>
        </w:rPr>
        <w:t xml:space="preserve">The opening RAB (cell F9) and real forecast net capex values (rows 10 to 40) displayed in this sheet are sourced from the </w:t>
      </w:r>
      <w:r w:rsidR="00E47B17" w:rsidRPr="00B62C96">
        <w:rPr>
          <w:rFonts w:ascii="Arial" w:hAnsi="Arial" w:cs="Arial"/>
          <w:b/>
        </w:rPr>
        <w:t>PTRM</w:t>
      </w:r>
      <w:r w:rsidR="00E47B17" w:rsidRPr="00B62C96">
        <w:rPr>
          <w:rFonts w:ascii="Arial" w:hAnsi="Arial" w:cs="Arial"/>
        </w:rPr>
        <w:t xml:space="preserve"> </w:t>
      </w:r>
      <w:r w:rsidR="00E47B17" w:rsidRPr="00B62C96">
        <w:rPr>
          <w:rStyle w:val="AERtextbold"/>
          <w:rFonts w:ascii="Arial" w:hAnsi="Arial" w:cs="Arial"/>
        </w:rPr>
        <w:t>i</w:t>
      </w:r>
      <w:r w:rsidRPr="00B62C96">
        <w:rPr>
          <w:rStyle w:val="AERtextbold"/>
          <w:rFonts w:ascii="Arial" w:hAnsi="Arial" w:cs="Arial"/>
        </w:rPr>
        <w:t>nput</w:t>
      </w:r>
      <w:r w:rsidRPr="00B62C96">
        <w:rPr>
          <w:rFonts w:ascii="Arial" w:hAnsi="Arial" w:cs="Arial"/>
        </w:rPr>
        <w:t xml:space="preserve"> sheet. Nominal forecast net capex values are displayed in rows 41 to 71. The modelling of capex in the PTRM is based on a full as-incurred approach. Under this approach the return on capital and the return of capital are calculated based on as-incurred forecast net capex.</w:t>
      </w:r>
    </w:p>
    <w:p w:rsidR="008270B1" w:rsidRPr="00B62C96" w:rsidRDefault="008270B1" w:rsidP="008270B1">
      <w:pPr>
        <w:pStyle w:val="AERbodytext"/>
        <w:numPr>
          <w:ilvl w:val="0"/>
          <w:numId w:val="9"/>
        </w:numPr>
        <w:rPr>
          <w:rFonts w:ascii="Arial" w:hAnsi="Arial" w:cs="Arial"/>
        </w:rPr>
      </w:pPr>
      <w:r w:rsidRPr="00B62C96">
        <w:rPr>
          <w:rFonts w:ascii="Arial" w:hAnsi="Arial" w:cs="Arial"/>
        </w:rPr>
        <w:t xml:space="preserve">Capex is assumed to be incurred evenly throughout the regulatory year and therefore a timing assumption is adopted that on average places capex half-way through the year. However, the PTRM </w:t>
      </w:r>
      <w:r w:rsidRPr="00B62C96">
        <w:rPr>
          <w:rFonts w:ascii="Arial" w:hAnsi="Arial" w:cs="Arial"/>
        </w:rPr>
        <w:lastRenderedPageBreak/>
        <w:t>calculates the return on capital based on the opening RAB for each regulatory year and capex is not added to the RAB until the end of the regulatory year in which the expenditure on the asset is incurred. To address this timing difference of modelling the real capex, a half-real vanilla WACC is provided (capitalised and recovered over the life of the assets) to compensate for the six-month period before capex is included in the RAB.</w:t>
      </w:r>
      <w:r w:rsidRPr="00B62C96">
        <w:rPr>
          <w:rStyle w:val="FootnoteReference"/>
          <w:rFonts w:ascii="Arial" w:hAnsi="Arial" w:cs="Arial"/>
        </w:rPr>
        <w:footnoteReference w:id="18"/>
      </w:r>
      <w:r w:rsidRPr="00B62C96">
        <w:rPr>
          <w:rFonts w:ascii="Arial" w:hAnsi="Arial" w:cs="Arial"/>
        </w:rPr>
        <w:t xml:space="preserve"> This is calculated using the specific half-real vanilla WACC applying to the year in which the expenditure is incurred.</w:t>
      </w:r>
    </w:p>
    <w:p w:rsidR="008270B1" w:rsidRPr="00B62C96" w:rsidRDefault="008270B1" w:rsidP="008270B1">
      <w:pPr>
        <w:pStyle w:val="AERbodytext"/>
        <w:numPr>
          <w:ilvl w:val="0"/>
          <w:numId w:val="9"/>
        </w:numPr>
        <w:rPr>
          <w:rFonts w:ascii="Arial" w:hAnsi="Arial" w:cs="Arial"/>
        </w:rPr>
      </w:pPr>
      <w:r w:rsidRPr="00B62C96">
        <w:rPr>
          <w:rFonts w:ascii="Arial" w:hAnsi="Arial" w:cs="Arial"/>
        </w:rPr>
        <w:t xml:space="preserve">Real asset values are displayed in rows 75 to 467. Real straight-line depreciation is calculated in rows 75 to 465. It uses the opening RAB, forecast capex values and asset lives from the </w:t>
      </w:r>
      <w:r w:rsidR="00E47B17" w:rsidRPr="009B70E8">
        <w:rPr>
          <w:rFonts w:ascii="Arial" w:hAnsi="Arial" w:cs="Arial"/>
          <w:b/>
        </w:rPr>
        <w:t>PTRM</w:t>
      </w:r>
      <w:r w:rsidR="00E47B17" w:rsidRPr="00B62C96">
        <w:rPr>
          <w:rFonts w:ascii="Arial" w:hAnsi="Arial" w:cs="Arial"/>
        </w:rPr>
        <w:t xml:space="preserve"> </w:t>
      </w:r>
      <w:r w:rsidR="00E47B17" w:rsidRPr="00B62C96">
        <w:rPr>
          <w:rStyle w:val="AERtextbold"/>
          <w:rFonts w:ascii="Arial" w:hAnsi="Arial" w:cs="Arial"/>
        </w:rPr>
        <w:t>i</w:t>
      </w:r>
      <w:r w:rsidRPr="00B62C96">
        <w:rPr>
          <w:rStyle w:val="AERtextbold"/>
          <w:rFonts w:ascii="Arial" w:hAnsi="Arial" w:cs="Arial"/>
        </w:rPr>
        <w:t>nput</w:t>
      </w:r>
      <w:r w:rsidR="00E47B17" w:rsidRPr="00B62C96">
        <w:rPr>
          <w:rFonts w:ascii="Arial" w:hAnsi="Arial" w:cs="Arial"/>
        </w:rPr>
        <w:t xml:space="preserve"> </w:t>
      </w:r>
      <w:r w:rsidRPr="00B62C96">
        <w:rPr>
          <w:rFonts w:ascii="Arial" w:hAnsi="Arial" w:cs="Arial"/>
        </w:rPr>
        <w:t>sheet. The individual depreciation profiles for each asset class can be viewed by expanding rows 76 to 465. The roll forward of the closing RAB in real dollar terms (start of year one) for each regulatory year is calculated in row 466.</w:t>
      </w:r>
    </w:p>
    <w:p w:rsidR="008270B1" w:rsidRPr="00B62C96" w:rsidRDefault="008270B1" w:rsidP="008270B1">
      <w:pPr>
        <w:pStyle w:val="AERbodytext"/>
        <w:numPr>
          <w:ilvl w:val="0"/>
          <w:numId w:val="9"/>
        </w:numPr>
        <w:rPr>
          <w:rFonts w:ascii="Arial" w:hAnsi="Arial" w:cs="Arial"/>
        </w:rPr>
      </w:pPr>
      <w:r w:rsidRPr="00B62C96">
        <w:rPr>
          <w:rFonts w:ascii="Arial" w:hAnsi="Arial" w:cs="Arial"/>
        </w:rPr>
        <w:t>Nominal asset values are displayed in rows 471 and 475. To compensate the DNSP for inflation, the residual value of the RAB at the end of each regulatory year is adjusted upwards for the amount of expected inflation in that regulatory year. This adjustment is calculated in row 471. The change in the nominal value of the RAB from regulatory year to year is calculated by adjusting the closing RAB (row 474) for forecast net capex and the regulatory depreciation allowance. Regulatory depreciation (row 473) is calculated as the nominal straight-line depreciation (row 472), less the inflation adjustment on the opening RAB (row 471).</w:t>
      </w:r>
    </w:p>
    <w:p w:rsidR="008270B1" w:rsidRPr="00B62C96" w:rsidRDefault="008270B1" w:rsidP="008270B1">
      <w:pPr>
        <w:pStyle w:val="AERbodytext"/>
        <w:numPr>
          <w:ilvl w:val="0"/>
          <w:numId w:val="9"/>
        </w:numPr>
        <w:rPr>
          <w:rFonts w:ascii="Arial" w:hAnsi="Arial" w:cs="Arial"/>
        </w:rPr>
      </w:pPr>
      <w:r w:rsidRPr="00B62C96">
        <w:rPr>
          <w:rFonts w:ascii="Arial" w:hAnsi="Arial" w:cs="Arial"/>
        </w:rPr>
        <w:t xml:space="preserve">Depreciation for tax purposes and the tax asset value over time is calculated in rows 479 to 870 and is based on the tax asset values, capex values and tax asset lives from the </w:t>
      </w:r>
      <w:r w:rsidR="00E47B17" w:rsidRPr="009B70E8">
        <w:rPr>
          <w:rFonts w:ascii="Arial" w:hAnsi="Arial" w:cs="Arial"/>
          <w:b/>
        </w:rPr>
        <w:t>PTRM</w:t>
      </w:r>
      <w:r w:rsidR="00E47B17" w:rsidRPr="00B62C96">
        <w:rPr>
          <w:rFonts w:ascii="Arial" w:hAnsi="Arial" w:cs="Arial"/>
        </w:rPr>
        <w:t xml:space="preserve"> </w:t>
      </w:r>
      <w:r w:rsidR="00E47B17" w:rsidRPr="00B62C96">
        <w:rPr>
          <w:rStyle w:val="AERtextbold"/>
          <w:rFonts w:ascii="Arial" w:hAnsi="Arial" w:cs="Arial"/>
        </w:rPr>
        <w:t>i</w:t>
      </w:r>
      <w:r w:rsidRPr="00B62C96">
        <w:rPr>
          <w:rStyle w:val="AERtextbold"/>
          <w:rFonts w:ascii="Arial" w:hAnsi="Arial" w:cs="Arial"/>
        </w:rPr>
        <w:t>nput</w:t>
      </w:r>
      <w:r w:rsidRPr="00B62C96">
        <w:rPr>
          <w:rFonts w:ascii="Arial" w:hAnsi="Arial" w:cs="Arial"/>
        </w:rPr>
        <w:t xml:space="preserve"> sheet. Capex recognised for tax purposes is net of disposals but includes the value of customer contributions. The individual tax depreciation profiles for each asset class can be viewed by expanding rows 480 to 869. Tax depreciation is calculated separately because asset values and asset lives for tax purposes generally differ from those for regulatory purposes.</w:t>
      </w:r>
    </w:p>
    <w:p w:rsidR="008270B1" w:rsidRPr="00C4660C" w:rsidRDefault="008270B1" w:rsidP="008270B1">
      <w:pPr>
        <w:pStyle w:val="AERbodytext"/>
        <w:numPr>
          <w:ilvl w:val="0"/>
          <w:numId w:val="9"/>
        </w:numPr>
        <w:rPr>
          <w:rFonts w:ascii="Arial" w:hAnsi="Arial" w:cs="Arial"/>
        </w:rPr>
      </w:pPr>
      <w:r w:rsidRPr="00C4660C">
        <w:rPr>
          <w:rFonts w:ascii="Arial" w:hAnsi="Arial" w:cs="Arial"/>
        </w:rPr>
        <w:t>A summary of the roll forward of the RAB is set out in rows 874 to 878.</w:t>
      </w:r>
      <w:r w:rsidR="000C719A" w:rsidRPr="00C4660C">
        <w:rPr>
          <w:rFonts w:ascii="Arial" w:hAnsi="Arial" w:cs="Arial"/>
        </w:rPr>
        <w:t xml:space="preserve"> A summary of the roll forward of the TAB is set out in rows 883 to 887.</w:t>
      </w:r>
    </w:p>
    <w:p w:rsidR="008270B1" w:rsidRPr="00B62C96" w:rsidRDefault="008270B1" w:rsidP="00B62C96">
      <w:pPr>
        <w:pStyle w:val="Heading2"/>
        <w:numPr>
          <w:ilvl w:val="2"/>
          <w:numId w:val="10"/>
        </w:numPr>
        <w:rPr>
          <w:rFonts w:ascii="Arial" w:hAnsi="Arial" w:cs="Arial"/>
        </w:rPr>
      </w:pPr>
      <w:bookmarkStart w:id="87" w:name="_Toc399339680"/>
      <w:bookmarkStart w:id="88" w:name="_Toc409709123"/>
      <w:bookmarkStart w:id="89" w:name="_Toc410224086"/>
      <w:r w:rsidRPr="00B62C96">
        <w:rPr>
          <w:rFonts w:ascii="Arial" w:hAnsi="Arial" w:cs="Arial"/>
        </w:rPr>
        <w:t>Analysis sheet</w:t>
      </w:r>
      <w:bookmarkEnd w:id="87"/>
      <w:bookmarkEnd w:id="88"/>
      <w:bookmarkEnd w:id="89"/>
    </w:p>
    <w:p w:rsidR="008270B1" w:rsidRPr="00B62C96" w:rsidRDefault="008270B1" w:rsidP="008270B1">
      <w:pPr>
        <w:pStyle w:val="AERbodytext"/>
        <w:numPr>
          <w:ilvl w:val="0"/>
          <w:numId w:val="9"/>
        </w:numPr>
        <w:rPr>
          <w:rFonts w:ascii="Arial" w:hAnsi="Arial" w:cs="Arial"/>
        </w:rPr>
      </w:pPr>
      <w:r w:rsidRPr="00B62C96">
        <w:rPr>
          <w:rFonts w:ascii="Arial" w:hAnsi="Arial" w:cs="Arial"/>
        </w:rPr>
        <w:t xml:space="preserve">The </w:t>
      </w:r>
      <w:r w:rsidRPr="00B62C96">
        <w:rPr>
          <w:rStyle w:val="AERtextbold"/>
          <w:rFonts w:ascii="Arial" w:hAnsi="Arial" w:cs="Arial"/>
        </w:rPr>
        <w:t>Analysis</w:t>
      </w:r>
      <w:r w:rsidRPr="00B62C96">
        <w:rPr>
          <w:rFonts w:ascii="Arial" w:hAnsi="Arial" w:cs="Arial"/>
        </w:rPr>
        <w:t xml:space="preserve"> sheet itemises the basic costs, or building blocks, of the DNSP, which are then added together to calculate the ARR. In other words, the </w:t>
      </w:r>
      <w:r w:rsidRPr="00B62C96">
        <w:rPr>
          <w:rStyle w:val="AERtextbold"/>
          <w:rFonts w:ascii="Arial" w:hAnsi="Arial" w:cs="Arial"/>
        </w:rPr>
        <w:t>Analysis</w:t>
      </w:r>
      <w:r w:rsidRPr="00B62C96">
        <w:rPr>
          <w:rFonts w:ascii="Arial" w:hAnsi="Arial" w:cs="Arial"/>
        </w:rPr>
        <w:t xml:space="preserve"> sheet is where the data from the</w:t>
      </w:r>
      <w:r w:rsidR="00D804FF" w:rsidRPr="00B62C96">
        <w:rPr>
          <w:rFonts w:ascii="Arial" w:hAnsi="Arial" w:cs="Arial"/>
        </w:rPr>
        <w:t xml:space="preserve"> </w:t>
      </w:r>
      <w:r w:rsidR="00E47B17" w:rsidRPr="00B62C96">
        <w:rPr>
          <w:rFonts w:ascii="Arial" w:hAnsi="Arial" w:cs="Arial"/>
          <w:b/>
        </w:rPr>
        <w:t xml:space="preserve">PTRM </w:t>
      </w:r>
      <w:r w:rsidR="00E47B17" w:rsidRPr="00B62C96">
        <w:rPr>
          <w:rStyle w:val="AERtextbold"/>
          <w:rFonts w:ascii="Arial" w:hAnsi="Arial" w:cs="Arial"/>
        </w:rPr>
        <w:t>i</w:t>
      </w:r>
      <w:r w:rsidRPr="00B62C96">
        <w:rPr>
          <w:rStyle w:val="AERtextbold"/>
          <w:rFonts w:ascii="Arial" w:hAnsi="Arial" w:cs="Arial"/>
        </w:rPr>
        <w:t xml:space="preserve">nput </w:t>
      </w:r>
      <w:r w:rsidRPr="00B62C96">
        <w:rPr>
          <w:rFonts w:ascii="Arial" w:hAnsi="Arial" w:cs="Arial"/>
        </w:rPr>
        <w:t xml:space="preserve">sheet is combined with the calculations in the </w:t>
      </w:r>
      <w:r w:rsidRPr="00B62C96">
        <w:rPr>
          <w:rStyle w:val="AERtextbold"/>
          <w:rFonts w:ascii="Arial" w:hAnsi="Arial" w:cs="Arial"/>
        </w:rPr>
        <w:t>Assets</w:t>
      </w:r>
      <w:r w:rsidRPr="00B62C96">
        <w:rPr>
          <w:rFonts w:ascii="Arial" w:hAnsi="Arial" w:cs="Arial"/>
        </w:rPr>
        <w:t xml:space="preserve"> and </w:t>
      </w:r>
      <w:r w:rsidRPr="00B62C96">
        <w:rPr>
          <w:rStyle w:val="AERtextbold"/>
          <w:rFonts w:ascii="Arial" w:hAnsi="Arial" w:cs="Arial"/>
        </w:rPr>
        <w:t>WACC</w:t>
      </w:r>
      <w:r w:rsidRPr="00B62C96">
        <w:rPr>
          <w:rFonts w:ascii="Arial" w:hAnsi="Arial" w:cs="Arial"/>
        </w:rPr>
        <w:t xml:space="preserve"> sheets to estimate a </w:t>
      </w:r>
      <w:r w:rsidR="00E47B17" w:rsidRPr="00B62C96">
        <w:rPr>
          <w:rFonts w:ascii="Arial" w:hAnsi="Arial" w:cs="Arial"/>
        </w:rPr>
        <w:t>D</w:t>
      </w:r>
      <w:r w:rsidRPr="00B62C96">
        <w:rPr>
          <w:rFonts w:ascii="Arial" w:hAnsi="Arial" w:cs="Arial"/>
        </w:rPr>
        <w:t xml:space="preserve">NSP’s revenue requirement. The </w:t>
      </w:r>
      <w:r w:rsidRPr="00B62C96">
        <w:rPr>
          <w:rStyle w:val="AERtextbold"/>
          <w:rFonts w:ascii="Arial" w:hAnsi="Arial" w:cs="Arial"/>
        </w:rPr>
        <w:t>Analysis</w:t>
      </w:r>
      <w:r w:rsidRPr="00B62C96">
        <w:rPr>
          <w:rFonts w:ascii="Arial" w:hAnsi="Arial" w:cs="Arial"/>
        </w:rPr>
        <w:t xml:space="preserve"> sheet displays 55 years of data so that the effective tax rate can be estimated.</w:t>
      </w:r>
    </w:p>
    <w:p w:rsidR="008270B1" w:rsidRPr="00B62C96" w:rsidRDefault="008270B1" w:rsidP="008270B1">
      <w:pPr>
        <w:pStyle w:val="AERbodytext"/>
        <w:numPr>
          <w:ilvl w:val="0"/>
          <w:numId w:val="9"/>
        </w:numPr>
        <w:rPr>
          <w:rFonts w:ascii="Arial" w:hAnsi="Arial" w:cs="Arial"/>
        </w:rPr>
      </w:pPr>
      <w:r w:rsidRPr="00B62C96">
        <w:rPr>
          <w:rFonts w:ascii="Arial" w:hAnsi="Arial" w:cs="Arial"/>
        </w:rPr>
        <w:t xml:space="preserve">The </w:t>
      </w:r>
      <w:r w:rsidRPr="00B62C96">
        <w:rPr>
          <w:rStyle w:val="AERtextbold"/>
          <w:rFonts w:ascii="Arial" w:hAnsi="Arial" w:cs="Arial"/>
        </w:rPr>
        <w:t>Analysis</w:t>
      </w:r>
      <w:r w:rsidRPr="00B62C96">
        <w:rPr>
          <w:rFonts w:ascii="Arial" w:hAnsi="Arial" w:cs="Arial"/>
        </w:rPr>
        <w:t xml:space="preserve"> sheet also includes an analysis of the forecast cash flows. This analysis provides rate of return measures estimated from forecast revenues and costs, including: expected pre and post-tax returns on equity, effective tax rates, the effective cost of debt and selected measures of the WACC.</w:t>
      </w:r>
    </w:p>
    <w:p w:rsidR="008270B1" w:rsidRPr="00B62C96" w:rsidRDefault="008270B1" w:rsidP="008270B1">
      <w:pPr>
        <w:pStyle w:val="AERbodytext"/>
        <w:numPr>
          <w:ilvl w:val="0"/>
          <w:numId w:val="9"/>
        </w:numPr>
        <w:rPr>
          <w:rFonts w:ascii="Arial" w:hAnsi="Arial" w:cs="Arial"/>
        </w:rPr>
      </w:pPr>
      <w:r w:rsidRPr="00B62C96">
        <w:rPr>
          <w:rFonts w:ascii="Arial" w:hAnsi="Arial" w:cs="Arial"/>
        </w:rPr>
        <w:fldChar w:fldCharType="begin"/>
      </w:r>
      <w:r w:rsidRPr="00B62C96">
        <w:rPr>
          <w:rFonts w:ascii="Arial" w:hAnsi="Arial" w:cs="Arial"/>
        </w:rPr>
        <w:instrText xml:space="preserve"> REF _Ref397601183 \h  \* MERGEFORMAT </w:instrText>
      </w:r>
      <w:r w:rsidRPr="00B62C96">
        <w:rPr>
          <w:rFonts w:ascii="Arial" w:hAnsi="Arial" w:cs="Arial"/>
        </w:rPr>
      </w:r>
      <w:r w:rsidRPr="00B62C96">
        <w:rPr>
          <w:rFonts w:ascii="Arial" w:hAnsi="Arial" w:cs="Arial"/>
        </w:rPr>
        <w:fldChar w:fldCharType="separate"/>
      </w:r>
      <w:r w:rsidR="006709B5" w:rsidRPr="00B62C96">
        <w:rPr>
          <w:rFonts w:ascii="Arial" w:hAnsi="Arial" w:cs="Arial"/>
        </w:rPr>
        <w:t xml:space="preserve">Figure </w:t>
      </w:r>
      <w:r w:rsidR="006709B5">
        <w:rPr>
          <w:rFonts w:ascii="Arial" w:hAnsi="Arial" w:cs="Arial"/>
          <w:noProof/>
        </w:rPr>
        <w:t>8</w:t>
      </w:r>
      <w:r w:rsidRPr="00B62C96">
        <w:rPr>
          <w:rFonts w:ascii="Arial" w:hAnsi="Arial" w:cs="Arial"/>
        </w:rPr>
        <w:fldChar w:fldCharType="end"/>
      </w:r>
      <w:r w:rsidR="000C719A" w:rsidRPr="00B62C96">
        <w:rPr>
          <w:rFonts w:ascii="Arial" w:hAnsi="Arial" w:cs="Arial"/>
        </w:rPr>
        <w:t>,</w:t>
      </w:r>
      <w:r w:rsidRPr="00B62C96">
        <w:rPr>
          <w:rFonts w:ascii="Arial" w:hAnsi="Arial" w:cs="Arial"/>
        </w:rPr>
        <w:t xml:space="preserve"> </w:t>
      </w:r>
      <w:r w:rsidRPr="00B62C96">
        <w:rPr>
          <w:rFonts w:ascii="Arial" w:hAnsi="Arial" w:cs="Arial"/>
        </w:rPr>
        <w:fldChar w:fldCharType="begin"/>
      </w:r>
      <w:r w:rsidRPr="00B62C96">
        <w:rPr>
          <w:rFonts w:ascii="Arial" w:hAnsi="Arial" w:cs="Arial"/>
        </w:rPr>
        <w:instrText xml:space="preserve"> REF _Ref398281928 \h  \* MERGEFORMAT </w:instrText>
      </w:r>
      <w:r w:rsidRPr="00B62C96">
        <w:rPr>
          <w:rFonts w:ascii="Arial" w:hAnsi="Arial" w:cs="Arial"/>
        </w:rPr>
      </w:r>
      <w:r w:rsidRPr="00B62C96">
        <w:rPr>
          <w:rFonts w:ascii="Arial" w:hAnsi="Arial" w:cs="Arial"/>
        </w:rPr>
        <w:fldChar w:fldCharType="separate"/>
      </w:r>
      <w:r w:rsidR="006709B5" w:rsidRPr="00B62C96">
        <w:rPr>
          <w:rFonts w:ascii="Arial" w:hAnsi="Arial" w:cs="Arial"/>
        </w:rPr>
        <w:t xml:space="preserve">Figure </w:t>
      </w:r>
      <w:r w:rsidR="006709B5">
        <w:rPr>
          <w:rFonts w:ascii="Arial" w:hAnsi="Arial" w:cs="Arial"/>
          <w:noProof/>
        </w:rPr>
        <w:t>9</w:t>
      </w:r>
      <w:r w:rsidRPr="00B62C96">
        <w:rPr>
          <w:rFonts w:ascii="Arial" w:hAnsi="Arial" w:cs="Arial"/>
        </w:rPr>
        <w:fldChar w:fldCharType="end"/>
      </w:r>
      <w:r w:rsidR="000C719A" w:rsidRPr="00B62C96">
        <w:rPr>
          <w:rFonts w:ascii="Arial" w:hAnsi="Arial" w:cs="Arial"/>
        </w:rPr>
        <w:t xml:space="preserve"> and </w:t>
      </w:r>
      <w:r w:rsidR="000C719A" w:rsidRPr="00B62C96">
        <w:rPr>
          <w:rFonts w:ascii="Arial" w:hAnsi="Arial" w:cs="Arial"/>
        </w:rPr>
        <w:fldChar w:fldCharType="begin"/>
      </w:r>
      <w:r w:rsidR="000C719A" w:rsidRPr="00B62C96">
        <w:rPr>
          <w:rFonts w:ascii="Arial" w:hAnsi="Arial" w:cs="Arial"/>
        </w:rPr>
        <w:instrText xml:space="preserve"> REF _Ref408835173 \h </w:instrText>
      </w:r>
      <w:r w:rsidR="00B62C96">
        <w:rPr>
          <w:rFonts w:ascii="Arial" w:hAnsi="Arial" w:cs="Arial"/>
        </w:rPr>
        <w:instrText xml:space="preserve"> \* MERGEFORMAT </w:instrText>
      </w:r>
      <w:r w:rsidR="000C719A" w:rsidRPr="00B62C96">
        <w:rPr>
          <w:rFonts w:ascii="Arial" w:hAnsi="Arial" w:cs="Arial"/>
        </w:rPr>
      </w:r>
      <w:r w:rsidR="000C719A" w:rsidRPr="00B62C96">
        <w:rPr>
          <w:rFonts w:ascii="Arial" w:hAnsi="Arial" w:cs="Arial"/>
        </w:rPr>
        <w:fldChar w:fldCharType="separate"/>
      </w:r>
      <w:r w:rsidR="006709B5" w:rsidRPr="00B62C96">
        <w:rPr>
          <w:rFonts w:ascii="Arial" w:hAnsi="Arial" w:cs="Arial"/>
        </w:rPr>
        <w:t xml:space="preserve">Figure </w:t>
      </w:r>
      <w:r w:rsidR="006709B5">
        <w:rPr>
          <w:rFonts w:ascii="Arial" w:hAnsi="Arial" w:cs="Arial"/>
          <w:noProof/>
        </w:rPr>
        <w:t>10</w:t>
      </w:r>
      <w:r w:rsidR="000C719A" w:rsidRPr="00B62C96">
        <w:rPr>
          <w:rFonts w:ascii="Arial" w:hAnsi="Arial" w:cs="Arial"/>
        </w:rPr>
        <w:fldChar w:fldCharType="end"/>
      </w:r>
      <w:r w:rsidRPr="00B62C96">
        <w:rPr>
          <w:rFonts w:ascii="Arial" w:hAnsi="Arial" w:cs="Arial"/>
        </w:rPr>
        <w:t xml:space="preserve"> provide example</w:t>
      </w:r>
      <w:r w:rsidR="000C719A" w:rsidRPr="00B62C96">
        <w:rPr>
          <w:rFonts w:ascii="Arial" w:hAnsi="Arial" w:cs="Arial"/>
        </w:rPr>
        <w:t>s</w:t>
      </w:r>
      <w:r w:rsidRPr="00B62C96">
        <w:rPr>
          <w:rFonts w:ascii="Arial" w:hAnsi="Arial" w:cs="Arial"/>
        </w:rPr>
        <w:t xml:space="preserve"> of the </w:t>
      </w:r>
      <w:r w:rsidRPr="00B62C96">
        <w:rPr>
          <w:rStyle w:val="AERtextbold"/>
          <w:rFonts w:ascii="Arial" w:hAnsi="Arial" w:cs="Arial"/>
        </w:rPr>
        <w:t>Analysis</w:t>
      </w:r>
      <w:r w:rsidRPr="00B62C96">
        <w:rPr>
          <w:rFonts w:ascii="Arial" w:hAnsi="Arial" w:cs="Arial"/>
        </w:rPr>
        <w:t xml:space="preserve"> sheet.</w:t>
      </w:r>
    </w:p>
    <w:p w:rsidR="008270B1" w:rsidRPr="00B62C96" w:rsidRDefault="008270B1" w:rsidP="008270B1">
      <w:pPr>
        <w:pStyle w:val="Caption"/>
        <w:rPr>
          <w:rFonts w:ascii="Arial" w:hAnsi="Arial" w:cs="Arial"/>
        </w:rPr>
      </w:pPr>
      <w:bookmarkStart w:id="90" w:name="_Ref397601183"/>
      <w:r w:rsidRPr="00B62C96">
        <w:rPr>
          <w:rFonts w:ascii="Arial" w:hAnsi="Arial" w:cs="Arial"/>
        </w:rPr>
        <w:lastRenderedPageBreak/>
        <w:t xml:space="preserve">Figure </w:t>
      </w:r>
      <w:r w:rsidRPr="00B62C96">
        <w:rPr>
          <w:rFonts w:ascii="Arial" w:hAnsi="Arial" w:cs="Arial"/>
        </w:rPr>
        <w:fldChar w:fldCharType="begin"/>
      </w:r>
      <w:r w:rsidRPr="00B62C96">
        <w:rPr>
          <w:rFonts w:ascii="Arial" w:hAnsi="Arial" w:cs="Arial"/>
        </w:rPr>
        <w:instrText xml:space="preserve"> SEQ Figure \* ARABIC </w:instrText>
      </w:r>
      <w:r w:rsidRPr="00B62C96">
        <w:rPr>
          <w:rFonts w:ascii="Arial" w:hAnsi="Arial" w:cs="Arial"/>
        </w:rPr>
        <w:fldChar w:fldCharType="separate"/>
      </w:r>
      <w:r w:rsidR="006709B5">
        <w:rPr>
          <w:rFonts w:ascii="Arial" w:hAnsi="Arial" w:cs="Arial"/>
          <w:noProof/>
        </w:rPr>
        <w:t>8</w:t>
      </w:r>
      <w:r w:rsidRPr="00B62C96">
        <w:rPr>
          <w:rFonts w:ascii="Arial" w:hAnsi="Arial" w:cs="Arial"/>
          <w:noProof/>
        </w:rPr>
        <w:fldChar w:fldCharType="end"/>
      </w:r>
      <w:bookmarkEnd w:id="90"/>
      <w:r w:rsidRPr="00B62C96">
        <w:rPr>
          <w:rFonts w:ascii="Arial" w:hAnsi="Arial" w:cs="Arial"/>
        </w:rPr>
        <w:tab/>
        <w:t>Analysis sheet–first screenshot</w:t>
      </w:r>
    </w:p>
    <w:p w:rsidR="008270B1" w:rsidRPr="00B62C96" w:rsidRDefault="00F43850" w:rsidP="008270B1">
      <w:pPr>
        <w:pStyle w:val="AERbodytext"/>
        <w:numPr>
          <w:ilvl w:val="0"/>
          <w:numId w:val="9"/>
        </w:numPr>
        <w:rPr>
          <w:rFonts w:ascii="Arial" w:hAnsi="Arial" w:cs="Arial"/>
        </w:rPr>
      </w:pPr>
      <w:r>
        <w:rPr>
          <w:noProof/>
          <w:lang w:eastAsia="en-AU"/>
        </w:rPr>
        <w:drawing>
          <wp:inline distT="0" distB="0" distL="0" distR="0" wp14:anchorId="5DD44174" wp14:editId="32DFE74B">
            <wp:extent cx="5731510" cy="652143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6521430"/>
                    </a:xfrm>
                    <a:prstGeom prst="rect">
                      <a:avLst/>
                    </a:prstGeom>
                  </pic:spPr>
                </pic:pic>
              </a:graphicData>
            </a:graphic>
          </wp:inline>
        </w:drawing>
      </w:r>
    </w:p>
    <w:p w:rsidR="008270B1" w:rsidRPr="00B62C96" w:rsidRDefault="008270B1" w:rsidP="008270B1">
      <w:pPr>
        <w:pStyle w:val="Caption"/>
        <w:rPr>
          <w:rFonts w:ascii="Arial" w:hAnsi="Arial" w:cs="Arial"/>
        </w:rPr>
      </w:pPr>
      <w:bookmarkStart w:id="91" w:name="_Ref398281928"/>
      <w:r w:rsidRPr="00B62C96">
        <w:rPr>
          <w:rFonts w:ascii="Arial" w:hAnsi="Arial" w:cs="Arial"/>
        </w:rPr>
        <w:lastRenderedPageBreak/>
        <w:t xml:space="preserve">Figure </w:t>
      </w:r>
      <w:r w:rsidRPr="00B62C96">
        <w:rPr>
          <w:rFonts w:ascii="Arial" w:hAnsi="Arial" w:cs="Arial"/>
        </w:rPr>
        <w:fldChar w:fldCharType="begin"/>
      </w:r>
      <w:r w:rsidRPr="00B62C96">
        <w:rPr>
          <w:rFonts w:ascii="Arial" w:hAnsi="Arial" w:cs="Arial"/>
        </w:rPr>
        <w:instrText xml:space="preserve"> SEQ Figure \* ARABIC </w:instrText>
      </w:r>
      <w:r w:rsidRPr="00B62C96">
        <w:rPr>
          <w:rFonts w:ascii="Arial" w:hAnsi="Arial" w:cs="Arial"/>
        </w:rPr>
        <w:fldChar w:fldCharType="separate"/>
      </w:r>
      <w:r w:rsidR="006709B5">
        <w:rPr>
          <w:rFonts w:ascii="Arial" w:hAnsi="Arial" w:cs="Arial"/>
          <w:noProof/>
        </w:rPr>
        <w:t>9</w:t>
      </w:r>
      <w:r w:rsidRPr="00B62C96">
        <w:rPr>
          <w:rFonts w:ascii="Arial" w:hAnsi="Arial" w:cs="Arial"/>
          <w:noProof/>
        </w:rPr>
        <w:fldChar w:fldCharType="end"/>
      </w:r>
      <w:bookmarkEnd w:id="91"/>
      <w:r w:rsidRPr="00B62C96">
        <w:rPr>
          <w:rFonts w:ascii="Arial" w:hAnsi="Arial" w:cs="Arial"/>
        </w:rPr>
        <w:t xml:space="preserve"> </w:t>
      </w:r>
      <w:r w:rsidRPr="00B62C96">
        <w:rPr>
          <w:rFonts w:ascii="Arial" w:hAnsi="Arial" w:cs="Arial"/>
        </w:rPr>
        <w:tab/>
        <w:t>Analysis sheet–second screenshot</w:t>
      </w:r>
    </w:p>
    <w:p w:rsidR="008270B1" w:rsidRPr="00B62C96" w:rsidRDefault="00F43850" w:rsidP="008270B1">
      <w:pPr>
        <w:pStyle w:val="AERbodytext"/>
        <w:numPr>
          <w:ilvl w:val="0"/>
          <w:numId w:val="9"/>
        </w:numPr>
        <w:rPr>
          <w:rFonts w:ascii="Arial" w:hAnsi="Arial" w:cs="Arial"/>
        </w:rPr>
      </w:pPr>
      <w:r>
        <w:rPr>
          <w:noProof/>
          <w:lang w:eastAsia="en-AU"/>
        </w:rPr>
        <w:drawing>
          <wp:inline distT="0" distB="0" distL="0" distR="0" wp14:anchorId="52B8EE27" wp14:editId="1B953A11">
            <wp:extent cx="5731510" cy="724399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1510" cy="7243992"/>
                    </a:xfrm>
                    <a:prstGeom prst="rect">
                      <a:avLst/>
                    </a:prstGeom>
                  </pic:spPr>
                </pic:pic>
              </a:graphicData>
            </a:graphic>
          </wp:inline>
        </w:drawing>
      </w:r>
    </w:p>
    <w:p w:rsidR="00C81B64" w:rsidRPr="00B62C96" w:rsidRDefault="00C81B64" w:rsidP="00C81B64">
      <w:pPr>
        <w:pStyle w:val="Caption"/>
        <w:rPr>
          <w:rFonts w:ascii="Arial" w:hAnsi="Arial" w:cs="Arial"/>
        </w:rPr>
      </w:pPr>
      <w:bookmarkStart w:id="92" w:name="_Ref408835173"/>
      <w:r w:rsidRPr="00B62C96">
        <w:rPr>
          <w:rFonts w:ascii="Arial" w:hAnsi="Arial" w:cs="Arial"/>
        </w:rPr>
        <w:lastRenderedPageBreak/>
        <w:t xml:space="preserve">Figure </w:t>
      </w:r>
      <w:r w:rsidR="00BB7D64" w:rsidRPr="00B62C96">
        <w:rPr>
          <w:rFonts w:ascii="Arial" w:hAnsi="Arial" w:cs="Arial"/>
        </w:rPr>
        <w:fldChar w:fldCharType="begin"/>
      </w:r>
      <w:r w:rsidR="00BB7D64" w:rsidRPr="00B62C96">
        <w:rPr>
          <w:rFonts w:ascii="Arial" w:hAnsi="Arial" w:cs="Arial"/>
        </w:rPr>
        <w:instrText xml:space="preserve"> SEQ Figure \* ARABIC </w:instrText>
      </w:r>
      <w:r w:rsidR="00BB7D64" w:rsidRPr="00B62C96">
        <w:rPr>
          <w:rFonts w:ascii="Arial" w:hAnsi="Arial" w:cs="Arial"/>
        </w:rPr>
        <w:fldChar w:fldCharType="separate"/>
      </w:r>
      <w:r w:rsidR="006709B5">
        <w:rPr>
          <w:rFonts w:ascii="Arial" w:hAnsi="Arial" w:cs="Arial"/>
          <w:noProof/>
        </w:rPr>
        <w:t>10</w:t>
      </w:r>
      <w:r w:rsidR="00BB7D64" w:rsidRPr="00B62C96">
        <w:rPr>
          <w:rFonts w:ascii="Arial" w:hAnsi="Arial" w:cs="Arial"/>
          <w:noProof/>
        </w:rPr>
        <w:fldChar w:fldCharType="end"/>
      </w:r>
      <w:bookmarkEnd w:id="92"/>
      <w:r w:rsidRPr="00B62C96">
        <w:rPr>
          <w:rFonts w:ascii="Arial" w:hAnsi="Arial" w:cs="Arial"/>
        </w:rPr>
        <w:tab/>
        <w:t xml:space="preserve">Analysis sheet </w:t>
      </w:r>
      <w:r w:rsidRPr="00B62C96">
        <w:rPr>
          <w:rFonts w:ascii="Arial" w:hAnsi="Arial" w:cs="Arial" w:hint="eastAsia"/>
        </w:rPr>
        <w:t>—</w:t>
      </w:r>
      <w:r w:rsidRPr="00B62C96">
        <w:rPr>
          <w:rFonts w:ascii="Arial" w:hAnsi="Arial" w:cs="Arial"/>
        </w:rPr>
        <w:t xml:space="preserve"> Third screenshot</w:t>
      </w:r>
    </w:p>
    <w:p w:rsidR="00C81B64" w:rsidRPr="00B62C96" w:rsidRDefault="00F43850" w:rsidP="00C81B64">
      <w:pPr>
        <w:pStyle w:val="AERbodytext"/>
        <w:rPr>
          <w:rFonts w:ascii="Arial" w:hAnsi="Arial" w:cs="Arial"/>
        </w:rPr>
      </w:pPr>
      <w:r>
        <w:rPr>
          <w:noProof/>
          <w:lang w:eastAsia="en-AU"/>
        </w:rPr>
        <w:drawing>
          <wp:inline distT="0" distB="0" distL="0" distR="0" wp14:anchorId="46E1673B" wp14:editId="50422018">
            <wp:extent cx="5731510" cy="443089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1510" cy="4430898"/>
                    </a:xfrm>
                    <a:prstGeom prst="rect">
                      <a:avLst/>
                    </a:prstGeom>
                  </pic:spPr>
                </pic:pic>
              </a:graphicData>
            </a:graphic>
          </wp:inline>
        </w:drawing>
      </w:r>
    </w:p>
    <w:p w:rsidR="008270B1" w:rsidRPr="00B62C96" w:rsidRDefault="008270B1" w:rsidP="00B62C96">
      <w:pPr>
        <w:pStyle w:val="Heading3"/>
        <w:numPr>
          <w:ilvl w:val="3"/>
          <w:numId w:val="10"/>
        </w:numPr>
        <w:rPr>
          <w:rFonts w:ascii="Arial" w:hAnsi="Arial" w:cs="Arial"/>
        </w:rPr>
      </w:pPr>
      <w:bookmarkStart w:id="93" w:name="_Toc399339681"/>
      <w:bookmarkStart w:id="94" w:name="_Toc410224087"/>
      <w:r w:rsidRPr="00B62C96">
        <w:rPr>
          <w:rFonts w:ascii="Arial" w:hAnsi="Arial" w:cs="Arial"/>
        </w:rPr>
        <w:t>Building block approach to deriving cash flows</w:t>
      </w:r>
      <w:bookmarkEnd w:id="93"/>
      <w:bookmarkEnd w:id="94"/>
    </w:p>
    <w:p w:rsidR="008270B1" w:rsidRPr="00B62C96" w:rsidRDefault="008270B1" w:rsidP="008270B1">
      <w:pPr>
        <w:pStyle w:val="AERbodytext"/>
        <w:numPr>
          <w:ilvl w:val="0"/>
          <w:numId w:val="9"/>
        </w:numPr>
        <w:rPr>
          <w:rFonts w:ascii="Arial" w:hAnsi="Arial" w:cs="Arial"/>
        </w:rPr>
      </w:pPr>
      <w:r w:rsidRPr="00B62C96">
        <w:rPr>
          <w:rFonts w:ascii="Arial" w:hAnsi="Arial" w:cs="Arial"/>
        </w:rPr>
        <w:t>Clause 6.4.3 requires the AER to apply the building block approach to assess the revenues required by a DNSP to recover the full cost of providing the regulated distribution (standard control) service. The revenue requirement includes a commercial return on its investment.</w:t>
      </w:r>
    </w:p>
    <w:p w:rsidR="008270B1" w:rsidRPr="00B62C96" w:rsidRDefault="008270B1" w:rsidP="008270B1">
      <w:pPr>
        <w:pStyle w:val="AERbodytext"/>
        <w:numPr>
          <w:ilvl w:val="0"/>
          <w:numId w:val="9"/>
        </w:numPr>
        <w:rPr>
          <w:rFonts w:ascii="Arial" w:hAnsi="Arial" w:cs="Arial"/>
        </w:rPr>
      </w:pPr>
      <w:r w:rsidRPr="00B62C96">
        <w:rPr>
          <w:rFonts w:ascii="Arial" w:hAnsi="Arial" w:cs="Arial"/>
        </w:rPr>
        <w:t>The key building blocks are:</w:t>
      </w:r>
    </w:p>
    <w:p w:rsidR="008270B1" w:rsidRPr="00B62C96" w:rsidRDefault="008270B1" w:rsidP="005C3CBC">
      <w:pPr>
        <w:pStyle w:val="AERbulletlistfirststyle"/>
        <w:tabs>
          <w:tab w:val="clear" w:pos="357"/>
          <w:tab w:val="left" w:pos="426"/>
        </w:tabs>
        <w:ind w:left="426" w:hanging="426"/>
        <w:rPr>
          <w:rFonts w:ascii="Arial" w:hAnsi="Arial" w:cs="Arial"/>
        </w:rPr>
      </w:pPr>
      <w:r w:rsidRPr="00B62C96">
        <w:rPr>
          <w:rFonts w:ascii="Arial" w:hAnsi="Arial" w:cs="Arial"/>
        </w:rPr>
        <w:t xml:space="preserve">the return on capital (row 23) comprising: </w:t>
      </w:r>
    </w:p>
    <w:p w:rsidR="008270B1" w:rsidRPr="00B62C96" w:rsidRDefault="008270B1" w:rsidP="005C3CBC">
      <w:pPr>
        <w:pStyle w:val="AERbulletlistsecondstyle"/>
        <w:tabs>
          <w:tab w:val="left" w:pos="426"/>
        </w:tabs>
        <w:ind w:left="426" w:hanging="426"/>
        <w:rPr>
          <w:rFonts w:ascii="Arial" w:hAnsi="Arial" w:cs="Arial"/>
        </w:rPr>
      </w:pPr>
      <w:r w:rsidRPr="00B62C96">
        <w:rPr>
          <w:rFonts w:ascii="Arial" w:hAnsi="Arial" w:cs="Arial"/>
        </w:rPr>
        <w:t>the post-tax return on equity (row 25)</w:t>
      </w:r>
    </w:p>
    <w:p w:rsidR="008270B1" w:rsidRPr="00B62C96" w:rsidRDefault="008270B1" w:rsidP="005C3CBC">
      <w:pPr>
        <w:pStyle w:val="AERbulletlistsecondstyle"/>
        <w:tabs>
          <w:tab w:val="left" w:pos="426"/>
        </w:tabs>
        <w:ind w:left="426" w:hanging="426"/>
        <w:rPr>
          <w:rFonts w:ascii="Arial" w:hAnsi="Arial" w:cs="Arial"/>
        </w:rPr>
      </w:pPr>
      <w:r w:rsidRPr="00B62C96">
        <w:rPr>
          <w:rFonts w:ascii="Arial" w:hAnsi="Arial" w:cs="Arial"/>
        </w:rPr>
        <w:t>the return on debt (or the interest payments incurred) required to service borrowings (row 26)</w:t>
      </w:r>
    </w:p>
    <w:p w:rsidR="008270B1" w:rsidRPr="00B62C96" w:rsidRDefault="008270B1" w:rsidP="005C3CBC">
      <w:pPr>
        <w:pStyle w:val="AERbulletlistfirststyle"/>
        <w:tabs>
          <w:tab w:val="clear" w:pos="357"/>
          <w:tab w:val="left" w:pos="426"/>
        </w:tabs>
        <w:ind w:left="426" w:hanging="426"/>
        <w:rPr>
          <w:rFonts w:ascii="Arial" w:hAnsi="Arial" w:cs="Arial"/>
        </w:rPr>
      </w:pPr>
      <w:r w:rsidRPr="00B62C96">
        <w:rPr>
          <w:rFonts w:ascii="Arial" w:hAnsi="Arial" w:cs="Arial"/>
        </w:rPr>
        <w:t>the regulatory depreciation or return of capital (row 28 )</w:t>
      </w:r>
    </w:p>
    <w:p w:rsidR="00D52469" w:rsidRPr="00B62C96" w:rsidRDefault="008270B1" w:rsidP="005C3CBC">
      <w:pPr>
        <w:pStyle w:val="AERbulletlistfirststyle"/>
        <w:tabs>
          <w:tab w:val="clear" w:pos="357"/>
          <w:tab w:val="left" w:pos="426"/>
        </w:tabs>
        <w:ind w:left="426" w:hanging="426"/>
        <w:rPr>
          <w:rFonts w:ascii="Arial" w:hAnsi="Arial" w:cs="Arial"/>
        </w:rPr>
      </w:pPr>
      <w:proofErr w:type="spellStart"/>
      <w:r w:rsidRPr="00B62C96">
        <w:rPr>
          <w:rFonts w:ascii="Arial" w:hAnsi="Arial" w:cs="Arial"/>
        </w:rPr>
        <w:t>opex</w:t>
      </w:r>
      <w:proofErr w:type="spellEnd"/>
      <w:r w:rsidRPr="00B62C96">
        <w:rPr>
          <w:rFonts w:ascii="Arial" w:hAnsi="Arial" w:cs="Arial"/>
        </w:rPr>
        <w:t xml:space="preserve"> including carry-over amounts (row 30)</w:t>
      </w:r>
    </w:p>
    <w:p w:rsidR="00D52469" w:rsidRPr="00B62C96" w:rsidRDefault="00D52469" w:rsidP="005C3CBC">
      <w:pPr>
        <w:pStyle w:val="AERbulletlistfirststyle"/>
        <w:tabs>
          <w:tab w:val="clear" w:pos="357"/>
          <w:tab w:val="left" w:pos="426"/>
        </w:tabs>
        <w:ind w:left="426" w:hanging="426"/>
        <w:rPr>
          <w:rFonts w:ascii="Arial" w:hAnsi="Arial" w:cs="Arial"/>
        </w:rPr>
      </w:pPr>
      <w:r w:rsidRPr="00B62C96">
        <w:rPr>
          <w:rFonts w:ascii="Arial" w:hAnsi="Arial" w:cs="Arial"/>
        </w:rPr>
        <w:t>revenue adjustments (row 32)</w:t>
      </w:r>
    </w:p>
    <w:p w:rsidR="008270B1" w:rsidRPr="00B62C96" w:rsidRDefault="008270B1" w:rsidP="005C3CBC">
      <w:pPr>
        <w:pStyle w:val="AERbulletlistfirststyle"/>
        <w:tabs>
          <w:tab w:val="clear" w:pos="357"/>
          <w:tab w:val="left" w:pos="426"/>
        </w:tabs>
        <w:ind w:left="426" w:hanging="426"/>
        <w:rPr>
          <w:rFonts w:ascii="Arial" w:hAnsi="Arial" w:cs="Arial"/>
        </w:rPr>
      </w:pPr>
      <w:r w:rsidRPr="00B62C96">
        <w:rPr>
          <w:rFonts w:ascii="Arial" w:hAnsi="Arial" w:cs="Arial"/>
        </w:rPr>
        <w:t>net tax liabilities payable—the figure is net in the sense that it is the annual</w:t>
      </w:r>
      <w:r w:rsidR="00D52469" w:rsidRPr="00B62C96">
        <w:rPr>
          <w:rFonts w:ascii="Arial" w:hAnsi="Arial" w:cs="Arial"/>
        </w:rPr>
        <w:t xml:space="preserve"> tax payable by the DNSP (row 34</w:t>
      </w:r>
      <w:r w:rsidRPr="00B62C96">
        <w:rPr>
          <w:rFonts w:ascii="Arial" w:hAnsi="Arial" w:cs="Arial"/>
        </w:rPr>
        <w:t xml:space="preserve">) less the value of imputation credits available to investing </w:t>
      </w:r>
      <w:r w:rsidR="00D52469" w:rsidRPr="00B62C96">
        <w:rPr>
          <w:rFonts w:ascii="Arial" w:hAnsi="Arial" w:cs="Arial"/>
        </w:rPr>
        <w:t>shareholders (row 35</w:t>
      </w:r>
      <w:r w:rsidRPr="00B62C96">
        <w:rPr>
          <w:rFonts w:ascii="Arial" w:hAnsi="Arial" w:cs="Arial"/>
        </w:rPr>
        <w:t>).</w:t>
      </w:r>
    </w:p>
    <w:p w:rsidR="008270B1" w:rsidRPr="00B62C96" w:rsidRDefault="008270B1" w:rsidP="008270B1">
      <w:pPr>
        <w:pStyle w:val="AERbodytext"/>
        <w:numPr>
          <w:ilvl w:val="0"/>
          <w:numId w:val="9"/>
        </w:numPr>
        <w:rPr>
          <w:rFonts w:ascii="Arial" w:hAnsi="Arial" w:cs="Arial"/>
        </w:rPr>
      </w:pPr>
      <w:r w:rsidRPr="00B62C96">
        <w:rPr>
          <w:rFonts w:ascii="Arial" w:hAnsi="Arial" w:cs="Arial"/>
        </w:rPr>
        <w:t>The costs are determined for each regulatory year of the next regulatory control period to derive the building block subtotal (row 3</w:t>
      </w:r>
      <w:r w:rsidR="00D52469" w:rsidRPr="00B62C96">
        <w:rPr>
          <w:rFonts w:ascii="Arial" w:hAnsi="Arial" w:cs="Arial"/>
        </w:rPr>
        <w:t>7</w:t>
      </w:r>
      <w:r w:rsidRPr="00B62C96">
        <w:rPr>
          <w:rFonts w:ascii="Arial" w:hAnsi="Arial" w:cs="Arial"/>
        </w:rPr>
        <w:t xml:space="preserve">). </w:t>
      </w:r>
      <w:r w:rsidRPr="00C4660C">
        <w:rPr>
          <w:rFonts w:ascii="Arial" w:hAnsi="Arial" w:cs="Arial"/>
        </w:rPr>
        <w:t xml:space="preserve">There is an additional adjustment to reflect the taxation implications </w:t>
      </w:r>
      <w:r w:rsidRPr="00C4660C">
        <w:rPr>
          <w:rFonts w:ascii="Arial" w:hAnsi="Arial" w:cs="Arial"/>
        </w:rPr>
        <w:lastRenderedPageBreak/>
        <w:t>of additional revenues fro</w:t>
      </w:r>
      <w:r w:rsidR="00D52469" w:rsidRPr="00C4660C">
        <w:rPr>
          <w:rFonts w:ascii="Arial" w:hAnsi="Arial" w:cs="Arial"/>
        </w:rPr>
        <w:t>m customer contributions (row 40</w:t>
      </w:r>
      <w:r w:rsidRPr="00C4660C">
        <w:rPr>
          <w:rFonts w:ascii="Arial" w:hAnsi="Arial" w:cs="Arial"/>
        </w:rPr>
        <w:t>) and revenue adjus</w:t>
      </w:r>
      <w:r w:rsidR="00D52469" w:rsidRPr="00C4660C">
        <w:rPr>
          <w:rFonts w:ascii="Arial" w:hAnsi="Arial" w:cs="Arial"/>
        </w:rPr>
        <w:t>tments for non</w:t>
      </w:r>
      <w:r w:rsidR="00B46871">
        <w:rPr>
          <w:rFonts w:ascii="Arial" w:hAnsi="Arial" w:cs="Arial"/>
        </w:rPr>
        <w:t>-</w:t>
      </w:r>
      <w:r w:rsidR="00D52469" w:rsidRPr="00C4660C">
        <w:rPr>
          <w:rFonts w:ascii="Arial" w:hAnsi="Arial" w:cs="Arial"/>
        </w:rPr>
        <w:t>tax</w:t>
      </w:r>
      <w:r w:rsidR="00B46871">
        <w:rPr>
          <w:rFonts w:ascii="Arial" w:hAnsi="Arial" w:cs="Arial"/>
        </w:rPr>
        <w:t xml:space="preserve"> </w:t>
      </w:r>
      <w:r w:rsidR="00D52469" w:rsidRPr="00C4660C">
        <w:rPr>
          <w:rFonts w:ascii="Arial" w:hAnsi="Arial" w:cs="Arial"/>
        </w:rPr>
        <w:t>income revenue adjustments (row 41</w:t>
      </w:r>
      <w:r w:rsidRPr="00C4660C">
        <w:rPr>
          <w:rFonts w:ascii="Arial" w:hAnsi="Arial" w:cs="Arial"/>
        </w:rPr>
        <w:t>).</w:t>
      </w:r>
      <w:r w:rsidRPr="00B62C96">
        <w:rPr>
          <w:rFonts w:ascii="Arial" w:hAnsi="Arial" w:cs="Arial"/>
        </w:rPr>
        <w:t xml:space="preserve"> Because the costs can fluctuate from year to year, the ARR (which includes the additional revenue adjustment</w:t>
      </w:r>
      <w:r w:rsidR="006F6D0F" w:rsidRPr="00B62C96">
        <w:rPr>
          <w:rFonts w:ascii="Arial" w:hAnsi="Arial" w:cs="Arial"/>
        </w:rPr>
        <w:t>s</w:t>
      </w:r>
      <w:r w:rsidRPr="00B62C96">
        <w:rPr>
          <w:rFonts w:ascii="Arial" w:hAnsi="Arial" w:cs="Arial"/>
        </w:rPr>
        <w:t>) is smoothed over the next regulatory control period to give the expected revenue (see section 2.</w:t>
      </w:r>
      <w:r w:rsidR="005C3CBC">
        <w:rPr>
          <w:rFonts w:ascii="Arial" w:hAnsi="Arial" w:cs="Arial"/>
        </w:rPr>
        <w:t>7</w:t>
      </w:r>
      <w:r w:rsidRPr="00B62C96">
        <w:rPr>
          <w:rFonts w:ascii="Arial" w:hAnsi="Arial" w:cs="Arial"/>
        </w:rPr>
        <w:t>).</w:t>
      </w:r>
    </w:p>
    <w:p w:rsidR="008270B1" w:rsidRPr="00B62C96" w:rsidRDefault="008270B1" w:rsidP="008270B1">
      <w:pPr>
        <w:pStyle w:val="AERbodytext"/>
        <w:numPr>
          <w:ilvl w:val="0"/>
          <w:numId w:val="9"/>
        </w:numPr>
        <w:rPr>
          <w:rFonts w:ascii="Arial" w:hAnsi="Arial" w:cs="Arial"/>
        </w:rPr>
      </w:pPr>
      <w:r w:rsidRPr="00B62C96">
        <w:rPr>
          <w:rFonts w:ascii="Arial" w:hAnsi="Arial" w:cs="Arial"/>
        </w:rPr>
        <w:t>As a result of the PTRM’s particular timing assumptions, i.e. all cash flows with the exception of capex are assumed to occur at the end of each regulatory year, there is no need to provide DNSPs an allowance for working capital in the modelling.</w:t>
      </w:r>
      <w:r w:rsidRPr="00B62C96">
        <w:rPr>
          <w:rStyle w:val="FootnoteReference"/>
          <w:rFonts w:ascii="Arial" w:hAnsi="Arial" w:cs="Arial"/>
        </w:rPr>
        <w:footnoteReference w:id="19"/>
      </w:r>
      <w:r w:rsidRPr="00B62C96">
        <w:rPr>
          <w:rFonts w:ascii="Arial" w:hAnsi="Arial" w:cs="Arial"/>
        </w:rPr>
        <w:t xml:space="preserve"> </w:t>
      </w:r>
    </w:p>
    <w:p w:rsidR="008270B1" w:rsidRPr="00B62C96" w:rsidRDefault="008270B1" w:rsidP="00B62C96">
      <w:pPr>
        <w:pStyle w:val="Heading3"/>
        <w:numPr>
          <w:ilvl w:val="3"/>
          <w:numId w:val="10"/>
        </w:numPr>
        <w:rPr>
          <w:rFonts w:ascii="Arial" w:hAnsi="Arial" w:cs="Arial"/>
        </w:rPr>
      </w:pPr>
      <w:bookmarkStart w:id="95" w:name="_Toc399339682"/>
      <w:bookmarkStart w:id="96" w:name="_Toc410224088"/>
      <w:r w:rsidRPr="00B62C96">
        <w:rPr>
          <w:rFonts w:ascii="Arial" w:hAnsi="Arial" w:cs="Arial"/>
        </w:rPr>
        <w:t>Taxation and related costs and benefits</w:t>
      </w:r>
      <w:bookmarkEnd w:id="95"/>
      <w:bookmarkEnd w:id="96"/>
    </w:p>
    <w:p w:rsidR="008270B1" w:rsidRPr="00B62C96" w:rsidRDefault="008270B1" w:rsidP="008270B1">
      <w:pPr>
        <w:pStyle w:val="AERbodytext"/>
        <w:numPr>
          <w:ilvl w:val="0"/>
          <w:numId w:val="9"/>
        </w:numPr>
        <w:rPr>
          <w:rFonts w:ascii="Arial" w:hAnsi="Arial" w:cs="Arial"/>
        </w:rPr>
      </w:pPr>
      <w:r w:rsidRPr="00B62C96">
        <w:rPr>
          <w:rFonts w:ascii="Arial" w:hAnsi="Arial" w:cs="Arial"/>
        </w:rPr>
        <w:t>Tax is payable on revenue less tax costs recognised by the ATO. Tax-deductible costs include interest or debt servicing, depreciat</w:t>
      </w:r>
      <w:r w:rsidR="00CB2BFA" w:rsidRPr="00B62C96">
        <w:rPr>
          <w:rFonts w:ascii="Arial" w:hAnsi="Arial" w:cs="Arial"/>
        </w:rPr>
        <w:t>ion allowances</w:t>
      </w:r>
      <w:r w:rsidR="00251CEF" w:rsidRPr="00B62C96">
        <w:rPr>
          <w:rFonts w:ascii="Arial" w:hAnsi="Arial" w:cs="Arial"/>
        </w:rPr>
        <w:t xml:space="preserve">, </w:t>
      </w:r>
      <w:proofErr w:type="spellStart"/>
      <w:r w:rsidR="00CB2BFA" w:rsidRPr="00B62C96">
        <w:rPr>
          <w:rFonts w:ascii="Arial" w:hAnsi="Arial" w:cs="Arial"/>
        </w:rPr>
        <w:t>opex</w:t>
      </w:r>
      <w:proofErr w:type="spellEnd"/>
      <w:r w:rsidR="00251CEF" w:rsidRPr="00B62C96">
        <w:rPr>
          <w:rFonts w:ascii="Arial" w:hAnsi="Arial" w:cs="Arial"/>
        </w:rPr>
        <w:t xml:space="preserve"> and tax expense revenue adjustments</w:t>
      </w:r>
      <w:r w:rsidR="00CB2BFA" w:rsidRPr="00B62C96">
        <w:rPr>
          <w:rFonts w:ascii="Arial" w:hAnsi="Arial" w:cs="Arial"/>
        </w:rPr>
        <w:t xml:space="preserve"> (rows 46</w:t>
      </w:r>
      <w:r w:rsidRPr="00B62C96">
        <w:rPr>
          <w:rFonts w:ascii="Arial" w:hAnsi="Arial" w:cs="Arial"/>
        </w:rPr>
        <w:t xml:space="preserve"> to</w:t>
      </w:r>
      <w:r w:rsidR="00CB2BFA" w:rsidRPr="00B62C96">
        <w:rPr>
          <w:rFonts w:ascii="Arial" w:hAnsi="Arial" w:cs="Arial"/>
        </w:rPr>
        <w:t xml:space="preserve"> 49</w:t>
      </w:r>
      <w:r w:rsidRPr="00B62C96">
        <w:rPr>
          <w:rFonts w:ascii="Arial" w:hAnsi="Arial" w:cs="Arial"/>
        </w:rPr>
        <w:t>).</w:t>
      </w:r>
    </w:p>
    <w:p w:rsidR="008270B1" w:rsidRPr="00B62C96" w:rsidRDefault="008270B1" w:rsidP="008270B1">
      <w:pPr>
        <w:pStyle w:val="HeadingBoldBlue"/>
        <w:numPr>
          <w:ilvl w:val="0"/>
          <w:numId w:val="9"/>
        </w:numPr>
        <w:rPr>
          <w:rFonts w:ascii="Arial" w:hAnsi="Arial" w:cs="Arial"/>
        </w:rPr>
      </w:pPr>
      <w:r w:rsidRPr="00B62C96">
        <w:rPr>
          <w:rFonts w:ascii="Arial" w:hAnsi="Arial" w:cs="Arial"/>
        </w:rPr>
        <w:t>Spreadsheet calculations</w:t>
      </w:r>
    </w:p>
    <w:p w:rsidR="008270B1" w:rsidRPr="00B62C96" w:rsidRDefault="008270B1" w:rsidP="008270B1">
      <w:pPr>
        <w:pStyle w:val="AERbodytext"/>
        <w:numPr>
          <w:ilvl w:val="0"/>
          <w:numId w:val="9"/>
        </w:numPr>
        <w:rPr>
          <w:rFonts w:ascii="Arial" w:hAnsi="Arial" w:cs="Arial"/>
        </w:rPr>
      </w:pPr>
      <w:r w:rsidRPr="00B62C96">
        <w:rPr>
          <w:rFonts w:ascii="Arial" w:hAnsi="Arial" w:cs="Arial"/>
        </w:rPr>
        <w:t>Tax payable by the DNSP for each regulatory year is calculated in rows 35 to 54, in three steps:</w:t>
      </w:r>
    </w:p>
    <w:p w:rsidR="008270B1" w:rsidRPr="00B62C96" w:rsidRDefault="00251CEF" w:rsidP="008270B1">
      <w:pPr>
        <w:pStyle w:val="AERnumberedlistfirststyle"/>
        <w:numPr>
          <w:ilvl w:val="1"/>
          <w:numId w:val="9"/>
        </w:numPr>
        <w:tabs>
          <w:tab w:val="clear" w:pos="499"/>
          <w:tab w:val="num" w:pos="357"/>
        </w:tabs>
        <w:ind w:left="357"/>
        <w:rPr>
          <w:rFonts w:ascii="Arial" w:hAnsi="Arial" w:cs="Arial"/>
        </w:rPr>
      </w:pPr>
      <w:r w:rsidRPr="00B62C96">
        <w:rPr>
          <w:rFonts w:ascii="Arial" w:hAnsi="Arial" w:cs="Arial"/>
        </w:rPr>
        <w:t>Pre-tax income</w:t>
      </w:r>
      <w:r w:rsidR="00CB2BFA" w:rsidRPr="00B62C96">
        <w:rPr>
          <w:rFonts w:ascii="Arial" w:hAnsi="Arial" w:cs="Arial"/>
        </w:rPr>
        <w:t xml:space="preserve"> (row </w:t>
      </w:r>
      <w:r w:rsidRPr="00B62C96">
        <w:rPr>
          <w:rFonts w:ascii="Arial" w:hAnsi="Arial" w:cs="Arial"/>
        </w:rPr>
        <w:t>55</w:t>
      </w:r>
      <w:r w:rsidR="008270B1" w:rsidRPr="00B62C96">
        <w:rPr>
          <w:rFonts w:ascii="Arial" w:hAnsi="Arial" w:cs="Arial"/>
        </w:rPr>
        <w:t xml:space="preserve">) is calculated as the </w:t>
      </w:r>
      <w:r w:rsidR="00D54A97" w:rsidRPr="00B62C96">
        <w:rPr>
          <w:rFonts w:ascii="Arial" w:hAnsi="Arial" w:cs="Arial"/>
        </w:rPr>
        <w:t>revenue</w:t>
      </w:r>
      <w:r w:rsidR="008270B1" w:rsidRPr="00B62C96">
        <w:rPr>
          <w:rFonts w:ascii="Arial" w:hAnsi="Arial" w:cs="Arial"/>
        </w:rPr>
        <w:t xml:space="preserve"> subtotal plus the </w:t>
      </w:r>
      <w:r w:rsidR="00CB2BFA" w:rsidRPr="00B62C96">
        <w:rPr>
          <w:rFonts w:ascii="Arial" w:hAnsi="Arial" w:cs="Arial"/>
        </w:rPr>
        <w:t>customer contributions</w:t>
      </w:r>
      <w:r w:rsidR="008270B1" w:rsidRPr="00B62C96">
        <w:rPr>
          <w:rFonts w:ascii="Arial" w:hAnsi="Arial" w:cs="Arial"/>
        </w:rPr>
        <w:t xml:space="preserve"> (</w:t>
      </w:r>
      <w:r w:rsidR="00CB2BFA" w:rsidRPr="00B62C96">
        <w:rPr>
          <w:rFonts w:ascii="Arial" w:hAnsi="Arial" w:cs="Arial"/>
        </w:rPr>
        <w:t>row 40</w:t>
      </w:r>
      <w:r w:rsidR="008270B1" w:rsidRPr="00B62C96">
        <w:rPr>
          <w:rFonts w:ascii="Arial" w:hAnsi="Arial" w:cs="Arial"/>
        </w:rPr>
        <w:t xml:space="preserve">) less </w:t>
      </w:r>
      <w:r w:rsidR="00CB2BFA" w:rsidRPr="00B62C96">
        <w:rPr>
          <w:rFonts w:ascii="Arial" w:hAnsi="Arial" w:cs="Arial"/>
        </w:rPr>
        <w:t>non-tax income revenue adjustments</w:t>
      </w:r>
      <w:r w:rsidR="008270B1" w:rsidRPr="00B62C96">
        <w:rPr>
          <w:rFonts w:ascii="Arial" w:hAnsi="Arial" w:cs="Arial"/>
        </w:rPr>
        <w:t xml:space="preserve"> (row 4</w:t>
      </w:r>
      <w:r w:rsidR="00CB2BFA" w:rsidRPr="00B62C96">
        <w:rPr>
          <w:rFonts w:ascii="Arial" w:hAnsi="Arial" w:cs="Arial"/>
        </w:rPr>
        <w:t>1</w:t>
      </w:r>
      <w:r w:rsidR="008270B1" w:rsidRPr="00B62C96">
        <w:rPr>
          <w:rFonts w:ascii="Arial" w:hAnsi="Arial" w:cs="Arial"/>
        </w:rPr>
        <w:t>)</w:t>
      </w:r>
      <w:r w:rsidR="00D54A97" w:rsidRPr="00B62C96">
        <w:rPr>
          <w:rFonts w:ascii="Arial" w:hAnsi="Arial" w:cs="Arial"/>
        </w:rPr>
        <w:t xml:space="preserve"> less total tax expenses (row 50)</w:t>
      </w:r>
      <w:r w:rsidR="008270B1" w:rsidRPr="00B62C96">
        <w:rPr>
          <w:rFonts w:ascii="Arial" w:hAnsi="Arial" w:cs="Arial"/>
        </w:rPr>
        <w:t>.</w:t>
      </w:r>
    </w:p>
    <w:p w:rsidR="008270B1" w:rsidRPr="00B62C96" w:rsidRDefault="008270B1" w:rsidP="008270B1">
      <w:pPr>
        <w:pStyle w:val="AERnumberedlistfirststyle"/>
        <w:numPr>
          <w:ilvl w:val="1"/>
          <w:numId w:val="9"/>
        </w:numPr>
        <w:tabs>
          <w:tab w:val="clear" w:pos="499"/>
          <w:tab w:val="num" w:pos="357"/>
        </w:tabs>
        <w:ind w:left="357"/>
        <w:rPr>
          <w:rFonts w:ascii="Arial" w:hAnsi="Arial" w:cs="Arial"/>
        </w:rPr>
      </w:pPr>
      <w:r w:rsidRPr="00B62C96">
        <w:rPr>
          <w:rFonts w:ascii="Arial" w:hAnsi="Arial" w:cs="Arial"/>
        </w:rPr>
        <w:t>Tax loss carried forward is calculated (row 5</w:t>
      </w:r>
      <w:r w:rsidR="00251CEF" w:rsidRPr="00B62C96">
        <w:rPr>
          <w:rFonts w:ascii="Arial" w:hAnsi="Arial" w:cs="Arial"/>
        </w:rPr>
        <w:t>6</w:t>
      </w:r>
      <w:r w:rsidRPr="00B62C96">
        <w:rPr>
          <w:rFonts w:ascii="Arial" w:hAnsi="Arial" w:cs="Arial"/>
        </w:rPr>
        <w:t>).</w:t>
      </w:r>
    </w:p>
    <w:p w:rsidR="008270B1" w:rsidRPr="00B62C96" w:rsidRDefault="00251CEF" w:rsidP="008270B1">
      <w:pPr>
        <w:pStyle w:val="AERnumberedlistfirststyle"/>
        <w:numPr>
          <w:ilvl w:val="1"/>
          <w:numId w:val="9"/>
        </w:numPr>
        <w:tabs>
          <w:tab w:val="clear" w:pos="499"/>
          <w:tab w:val="num" w:pos="357"/>
        </w:tabs>
        <w:ind w:left="357"/>
        <w:rPr>
          <w:rFonts w:ascii="Arial" w:hAnsi="Arial" w:cs="Arial"/>
        </w:rPr>
      </w:pPr>
      <w:r w:rsidRPr="00B62C96">
        <w:rPr>
          <w:rFonts w:ascii="Arial" w:hAnsi="Arial" w:cs="Arial"/>
        </w:rPr>
        <w:t>Taxable income (row 54</w:t>
      </w:r>
      <w:r w:rsidR="008270B1" w:rsidRPr="00B62C96">
        <w:rPr>
          <w:rFonts w:ascii="Arial" w:hAnsi="Arial" w:cs="Arial"/>
        </w:rPr>
        <w:t>) is then the sum of the above.</w:t>
      </w:r>
    </w:p>
    <w:p w:rsidR="008270B1" w:rsidRPr="00B62C96" w:rsidRDefault="008270B1" w:rsidP="008270B1">
      <w:pPr>
        <w:pStyle w:val="AERbodytext"/>
        <w:numPr>
          <w:ilvl w:val="0"/>
          <w:numId w:val="9"/>
        </w:numPr>
        <w:rPr>
          <w:rFonts w:ascii="Arial" w:hAnsi="Arial" w:cs="Arial"/>
        </w:rPr>
      </w:pPr>
      <w:r w:rsidRPr="00B62C96">
        <w:rPr>
          <w:rFonts w:ascii="Arial" w:hAnsi="Arial" w:cs="Arial"/>
        </w:rPr>
        <w:t xml:space="preserve">The tax </w:t>
      </w:r>
      <w:r w:rsidR="00E43A7B" w:rsidRPr="00B62C96">
        <w:rPr>
          <w:rFonts w:ascii="Arial" w:hAnsi="Arial" w:cs="Arial"/>
        </w:rPr>
        <w:t>expenses</w:t>
      </w:r>
      <w:r w:rsidRPr="00B62C96">
        <w:rPr>
          <w:rFonts w:ascii="Arial" w:hAnsi="Arial" w:cs="Arial"/>
        </w:rPr>
        <w:t xml:space="preserve"> (rows 4</w:t>
      </w:r>
      <w:r w:rsidR="00E43A7B" w:rsidRPr="00B62C96">
        <w:rPr>
          <w:rFonts w:ascii="Arial" w:hAnsi="Arial" w:cs="Arial"/>
        </w:rPr>
        <w:t>6</w:t>
      </w:r>
      <w:r w:rsidRPr="00B62C96">
        <w:rPr>
          <w:rFonts w:ascii="Arial" w:hAnsi="Arial" w:cs="Arial"/>
        </w:rPr>
        <w:t xml:space="preserve"> to 4</w:t>
      </w:r>
      <w:r w:rsidR="00E43A7B" w:rsidRPr="00B62C96">
        <w:rPr>
          <w:rFonts w:ascii="Arial" w:hAnsi="Arial" w:cs="Arial"/>
        </w:rPr>
        <w:t>9</w:t>
      </w:r>
      <w:r w:rsidRPr="00B62C96">
        <w:rPr>
          <w:rFonts w:ascii="Arial" w:hAnsi="Arial" w:cs="Arial"/>
        </w:rPr>
        <w:t xml:space="preserve">) used in calculating the pre-tax income for the regulatory year are the same as those in the building blocks (rows 26 </w:t>
      </w:r>
      <w:r w:rsidR="00D54A97" w:rsidRPr="00B62C96">
        <w:rPr>
          <w:rFonts w:ascii="Arial" w:hAnsi="Arial" w:cs="Arial"/>
        </w:rPr>
        <w:t>to 32</w:t>
      </w:r>
      <w:r w:rsidRPr="00B62C96">
        <w:rPr>
          <w:rFonts w:ascii="Arial" w:hAnsi="Arial" w:cs="Arial"/>
        </w:rPr>
        <w:t>) with the exception of depreciation</w:t>
      </w:r>
      <w:r w:rsidR="00E43A7B" w:rsidRPr="00B62C96">
        <w:rPr>
          <w:rFonts w:ascii="Arial" w:hAnsi="Arial" w:cs="Arial"/>
        </w:rPr>
        <w:t xml:space="preserve"> and revenue adjustments</w:t>
      </w:r>
      <w:r w:rsidRPr="00B62C96">
        <w:rPr>
          <w:rFonts w:ascii="Arial" w:hAnsi="Arial" w:cs="Arial"/>
        </w:rPr>
        <w:t>. In the case of the revenue building blocks, regulatory depreciation (row 2</w:t>
      </w:r>
      <w:r w:rsidR="00E43A7B" w:rsidRPr="00B62C96">
        <w:rPr>
          <w:rFonts w:ascii="Arial" w:hAnsi="Arial" w:cs="Arial"/>
        </w:rPr>
        <w:t>8</w:t>
      </w:r>
      <w:r w:rsidRPr="00B62C96">
        <w:rPr>
          <w:rFonts w:ascii="Arial" w:hAnsi="Arial" w:cs="Arial"/>
        </w:rPr>
        <w:t xml:space="preserve">) is calculated based on the economic life of the asset (see rows 75 to 465 and 471 to 473 of the </w:t>
      </w:r>
      <w:r w:rsidRPr="00B62C96">
        <w:rPr>
          <w:rStyle w:val="AERtextbold"/>
          <w:rFonts w:ascii="Arial" w:hAnsi="Arial" w:cs="Arial"/>
        </w:rPr>
        <w:t>Assets</w:t>
      </w:r>
      <w:r w:rsidRPr="00B62C96">
        <w:rPr>
          <w:rFonts w:ascii="Arial" w:hAnsi="Arial" w:cs="Arial"/>
        </w:rPr>
        <w:t xml:space="preserve"> sheet). Tax depreciation is generally based on a much shorter tax life or calculated in a different way (see rows 479 to 869 of the </w:t>
      </w:r>
      <w:r w:rsidRPr="00B62C96">
        <w:rPr>
          <w:rStyle w:val="AERtextbold"/>
          <w:rFonts w:ascii="Arial" w:hAnsi="Arial" w:cs="Arial"/>
        </w:rPr>
        <w:t>Assets</w:t>
      </w:r>
      <w:r w:rsidRPr="00B62C96">
        <w:rPr>
          <w:rFonts w:ascii="Arial" w:hAnsi="Arial" w:cs="Arial"/>
        </w:rPr>
        <w:t xml:space="preserve"> sheet).</w:t>
      </w:r>
      <w:r w:rsidR="00D54A97" w:rsidRPr="00B62C96">
        <w:rPr>
          <w:rFonts w:ascii="Arial" w:hAnsi="Arial" w:cs="Arial"/>
        </w:rPr>
        <w:t xml:space="preserve"> For revenue adjustments, the tax implications of each individual adjustment are set on the </w:t>
      </w:r>
      <w:r w:rsidR="00D54A97" w:rsidRPr="00B62C96">
        <w:rPr>
          <w:rFonts w:ascii="Arial" w:hAnsi="Arial" w:cs="Arial"/>
          <w:b/>
        </w:rPr>
        <w:t>PTRM input</w:t>
      </w:r>
      <w:r w:rsidR="00D54A97" w:rsidRPr="00B62C96">
        <w:rPr>
          <w:rFonts w:ascii="Arial" w:hAnsi="Arial" w:cs="Arial"/>
        </w:rPr>
        <w:t xml:space="preserve"> sheet. Those revenue adjustments which are treated as taxable income will add to pre-tax income (the net effect of rows 32 and 41)</w:t>
      </w:r>
      <w:r w:rsidR="00DD4CB2" w:rsidRPr="00B62C96">
        <w:rPr>
          <w:rFonts w:ascii="Arial" w:hAnsi="Arial" w:cs="Arial"/>
        </w:rPr>
        <w:t xml:space="preserve">. Similarly, </w:t>
      </w:r>
      <w:r w:rsidR="00D54A97" w:rsidRPr="00B62C96">
        <w:rPr>
          <w:rFonts w:ascii="Arial" w:hAnsi="Arial" w:cs="Arial"/>
        </w:rPr>
        <w:t xml:space="preserve">those revenue adjustments which are treated as a tax expense will </w:t>
      </w:r>
      <w:r w:rsidR="00DD4CB2" w:rsidRPr="00B62C96">
        <w:rPr>
          <w:rFonts w:ascii="Arial" w:hAnsi="Arial" w:cs="Arial"/>
        </w:rPr>
        <w:t xml:space="preserve">reduce </w:t>
      </w:r>
      <w:r w:rsidR="00D54A97" w:rsidRPr="00B62C96">
        <w:rPr>
          <w:rFonts w:ascii="Arial" w:hAnsi="Arial" w:cs="Arial"/>
        </w:rPr>
        <w:t>pre-tax income (row 49). Where there are revenue adjustments that are tax</w:t>
      </w:r>
      <w:r w:rsidR="00DD4CB2" w:rsidRPr="00B62C96">
        <w:rPr>
          <w:rFonts w:ascii="Arial" w:hAnsi="Arial" w:cs="Arial"/>
        </w:rPr>
        <w:t>able</w:t>
      </w:r>
      <w:r w:rsidR="00D54A97" w:rsidRPr="00B62C96">
        <w:rPr>
          <w:rFonts w:ascii="Arial" w:hAnsi="Arial" w:cs="Arial"/>
        </w:rPr>
        <w:t xml:space="preserve"> income but not a tax expense, the two </w:t>
      </w:r>
      <w:r w:rsidR="00DD4CB2" w:rsidRPr="00B62C96">
        <w:rPr>
          <w:rFonts w:ascii="Arial" w:hAnsi="Arial" w:cs="Arial"/>
        </w:rPr>
        <w:t>effects will not be equal.</w:t>
      </w:r>
    </w:p>
    <w:p w:rsidR="008270B1" w:rsidRPr="00B62C96" w:rsidRDefault="008270B1" w:rsidP="008270B1">
      <w:pPr>
        <w:pStyle w:val="AERbodytext"/>
        <w:numPr>
          <w:ilvl w:val="0"/>
          <w:numId w:val="9"/>
        </w:numPr>
        <w:rPr>
          <w:rFonts w:ascii="Arial" w:hAnsi="Arial" w:cs="Arial"/>
        </w:rPr>
      </w:pPr>
      <w:r w:rsidRPr="00B62C96">
        <w:rPr>
          <w:rFonts w:ascii="Arial" w:hAnsi="Arial" w:cs="Arial"/>
        </w:rPr>
        <w:t>The tax payable is recognised as a building block cost and added to the revenue building blocks (row 3</w:t>
      </w:r>
      <w:r w:rsidR="00E43A7B" w:rsidRPr="00B62C96">
        <w:rPr>
          <w:rFonts w:ascii="Arial" w:hAnsi="Arial" w:cs="Arial"/>
        </w:rPr>
        <w:t>4</w:t>
      </w:r>
      <w:r w:rsidRPr="00B62C96">
        <w:rPr>
          <w:rFonts w:ascii="Arial" w:hAnsi="Arial" w:cs="Arial"/>
        </w:rPr>
        <w:t>). Offsetting this tax cost is the benefit shareholders receive from imputation credits (gamma). This offsetting benefit is equal to gamma multiplied by the tax payable and is recorded in rows 3</w:t>
      </w:r>
      <w:r w:rsidR="00E43A7B" w:rsidRPr="00B62C96">
        <w:rPr>
          <w:rFonts w:ascii="Arial" w:hAnsi="Arial" w:cs="Arial"/>
        </w:rPr>
        <w:t>5</w:t>
      </w:r>
      <w:r w:rsidRPr="00B62C96">
        <w:rPr>
          <w:rFonts w:ascii="Arial" w:hAnsi="Arial" w:cs="Arial"/>
        </w:rPr>
        <w:t xml:space="preserve"> and 5</w:t>
      </w:r>
      <w:r w:rsidR="00E43A7B" w:rsidRPr="00B62C96">
        <w:rPr>
          <w:rFonts w:ascii="Arial" w:hAnsi="Arial" w:cs="Arial"/>
        </w:rPr>
        <w:t>8</w:t>
      </w:r>
      <w:r w:rsidRPr="00B62C96">
        <w:rPr>
          <w:rFonts w:ascii="Arial" w:hAnsi="Arial" w:cs="Arial"/>
        </w:rPr>
        <w:t>.</w:t>
      </w:r>
    </w:p>
    <w:p w:rsidR="008270B1" w:rsidRPr="00B62C96" w:rsidRDefault="008270B1" w:rsidP="00B62C96">
      <w:pPr>
        <w:pStyle w:val="Heading3"/>
        <w:numPr>
          <w:ilvl w:val="3"/>
          <w:numId w:val="10"/>
        </w:numPr>
        <w:rPr>
          <w:rFonts w:ascii="Arial" w:hAnsi="Arial" w:cs="Arial"/>
        </w:rPr>
      </w:pPr>
      <w:bookmarkStart w:id="97" w:name="_Toc399339683"/>
      <w:bookmarkStart w:id="98" w:name="_Toc410224089"/>
      <w:r w:rsidRPr="00B62C96">
        <w:rPr>
          <w:rFonts w:ascii="Arial" w:hAnsi="Arial" w:cs="Arial"/>
        </w:rPr>
        <w:t>Cash flow analysis</w:t>
      </w:r>
      <w:bookmarkEnd w:id="97"/>
      <w:bookmarkEnd w:id="98"/>
    </w:p>
    <w:p w:rsidR="008270B1" w:rsidRPr="00B62C96" w:rsidRDefault="008270B1" w:rsidP="008270B1">
      <w:pPr>
        <w:pStyle w:val="AERbodytext"/>
        <w:numPr>
          <w:ilvl w:val="0"/>
          <w:numId w:val="9"/>
        </w:numPr>
        <w:rPr>
          <w:rFonts w:ascii="Arial" w:hAnsi="Arial" w:cs="Arial"/>
        </w:rPr>
      </w:pPr>
      <w:r w:rsidRPr="00B62C96">
        <w:rPr>
          <w:rFonts w:ascii="Arial" w:hAnsi="Arial" w:cs="Arial"/>
        </w:rPr>
        <w:t xml:space="preserve">Calculations in the cash flow analysis section provide a comprehensive check on the validity of revenue determinations to ensure that the outcomes are consistent with the assumptions forming the basis of the building block approach. The </w:t>
      </w:r>
      <w:r w:rsidRPr="00B62C96">
        <w:rPr>
          <w:rStyle w:val="AERtextbold"/>
          <w:rFonts w:ascii="Arial" w:hAnsi="Arial" w:cs="Arial"/>
        </w:rPr>
        <w:t>Analysis</w:t>
      </w:r>
      <w:r w:rsidRPr="00B62C96">
        <w:rPr>
          <w:rFonts w:ascii="Arial" w:hAnsi="Arial" w:cs="Arial"/>
        </w:rPr>
        <w:t xml:space="preserve"> sheet is designed to check the desired rate of return on equity that can be expected from the regulated revenue stream.</w:t>
      </w:r>
    </w:p>
    <w:p w:rsidR="008270B1" w:rsidRPr="00B62C96" w:rsidRDefault="008270B1" w:rsidP="008270B1">
      <w:pPr>
        <w:pStyle w:val="HeadingBoldBlue"/>
        <w:numPr>
          <w:ilvl w:val="0"/>
          <w:numId w:val="9"/>
        </w:numPr>
        <w:rPr>
          <w:rFonts w:ascii="Arial" w:hAnsi="Arial" w:cs="Arial"/>
        </w:rPr>
      </w:pPr>
      <w:r w:rsidRPr="00B62C96">
        <w:rPr>
          <w:rFonts w:ascii="Arial" w:hAnsi="Arial" w:cs="Arial"/>
        </w:rPr>
        <w:lastRenderedPageBreak/>
        <w:t>Net present values</w:t>
      </w:r>
    </w:p>
    <w:p w:rsidR="008270B1" w:rsidRPr="00B62C96" w:rsidRDefault="008270B1" w:rsidP="008270B1">
      <w:pPr>
        <w:pStyle w:val="AERbodytext"/>
        <w:numPr>
          <w:ilvl w:val="0"/>
          <w:numId w:val="9"/>
        </w:numPr>
        <w:rPr>
          <w:rFonts w:ascii="Arial" w:hAnsi="Arial" w:cs="Arial"/>
        </w:rPr>
      </w:pPr>
      <w:r w:rsidRPr="00B62C96">
        <w:rPr>
          <w:rFonts w:ascii="Arial" w:hAnsi="Arial" w:cs="Arial"/>
        </w:rPr>
        <w:t>The total returns on and of capital (comprising the RAB an</w:t>
      </w:r>
      <w:r w:rsidR="00E43A7B" w:rsidRPr="00B62C96">
        <w:rPr>
          <w:rFonts w:ascii="Arial" w:hAnsi="Arial" w:cs="Arial"/>
        </w:rPr>
        <w:t>d capex) is calculated in row 65</w:t>
      </w:r>
      <w:r w:rsidRPr="00B62C96">
        <w:rPr>
          <w:rFonts w:ascii="Arial" w:hAnsi="Arial" w:cs="Arial"/>
        </w:rPr>
        <w:t xml:space="preserve">. The present value (PV) for these cash flows at the start of the first regulatory year of the next regulatory control </w:t>
      </w:r>
      <w:r w:rsidR="00E43A7B" w:rsidRPr="00B62C96">
        <w:rPr>
          <w:rFonts w:ascii="Arial" w:hAnsi="Arial" w:cs="Arial"/>
        </w:rPr>
        <w:t>period is calculated in cell F65</w:t>
      </w:r>
      <w:r w:rsidRPr="00B62C96">
        <w:rPr>
          <w:rFonts w:ascii="Arial" w:hAnsi="Arial" w:cs="Arial"/>
        </w:rPr>
        <w:t>. The PV for capex is calculated in cell F6</w:t>
      </w:r>
      <w:r w:rsidR="00E43A7B" w:rsidRPr="00B62C96">
        <w:rPr>
          <w:rFonts w:ascii="Arial" w:hAnsi="Arial" w:cs="Arial"/>
        </w:rPr>
        <w:t>6</w:t>
      </w:r>
      <w:r w:rsidRPr="00B62C96">
        <w:rPr>
          <w:rFonts w:ascii="Arial" w:hAnsi="Arial" w:cs="Arial"/>
        </w:rPr>
        <w:t xml:space="preserve"> and the PV of the end of period </w:t>
      </w:r>
      <w:r w:rsidR="00E43A7B" w:rsidRPr="00B62C96">
        <w:rPr>
          <w:rFonts w:ascii="Arial" w:hAnsi="Arial" w:cs="Arial"/>
        </w:rPr>
        <w:t>assets is calculated in cell F67</w:t>
      </w:r>
      <w:r w:rsidRPr="00B62C96">
        <w:rPr>
          <w:rFonts w:ascii="Arial" w:hAnsi="Arial" w:cs="Arial"/>
        </w:rPr>
        <w:t>. The sum of the PV of the returns on and of the RAB and capex, less the residual value of</w:t>
      </w:r>
      <w:r w:rsidR="00E43A7B" w:rsidRPr="00B62C96">
        <w:rPr>
          <w:rFonts w:ascii="Arial" w:hAnsi="Arial" w:cs="Arial"/>
        </w:rPr>
        <w:t xml:space="preserve"> assets is calculated in cell F64</w:t>
      </w:r>
      <w:r w:rsidRPr="00B62C96">
        <w:rPr>
          <w:rFonts w:ascii="Arial" w:hAnsi="Arial" w:cs="Arial"/>
        </w:rPr>
        <w:t>. This project net present value (NPV) for the RAB check cell should be equal to zero, which indicates that the asset is receiving the correct returns.</w:t>
      </w:r>
    </w:p>
    <w:p w:rsidR="0022056D" w:rsidRPr="00B62C96" w:rsidRDefault="0022056D" w:rsidP="0022056D">
      <w:pPr>
        <w:pStyle w:val="AERbodytext"/>
        <w:numPr>
          <w:ilvl w:val="0"/>
          <w:numId w:val="9"/>
        </w:numPr>
        <w:rPr>
          <w:rFonts w:ascii="Arial" w:hAnsi="Arial" w:cs="Arial"/>
        </w:rPr>
      </w:pPr>
      <w:r w:rsidRPr="00B62C96">
        <w:rPr>
          <w:rFonts w:ascii="Arial" w:hAnsi="Arial" w:cs="Arial"/>
        </w:rPr>
        <w:t>Rows 74 to 177 set out cash flow analysis including (rows 77 to 95) and excluding (rows 99 to 127) revenue adjustments. Cash flow analysis excluding revenue adjustments allows the user to ensure that the target rate of return is being met. Cash flow analysis including revenue adjustments can be used to identify the incremental effects of revenue adjustments, which will cause the return on equity outcome to differ from the base return on equity. To enable the analysis excluding revenue adjustments, several cash flows terms must be restated, including the tax payable calculation. This takes place in rows 99 to 106. Aside from the different base data (including or excluding revenue adjustments), the mechanics of the calculations in each section are identical, and so they are discussed together.</w:t>
      </w:r>
    </w:p>
    <w:p w:rsidR="008270B1" w:rsidRPr="00B62C96" w:rsidRDefault="008270B1" w:rsidP="008270B1">
      <w:pPr>
        <w:pStyle w:val="HeadingBoldBlue"/>
        <w:numPr>
          <w:ilvl w:val="0"/>
          <w:numId w:val="9"/>
        </w:numPr>
        <w:rPr>
          <w:rFonts w:ascii="Arial" w:hAnsi="Arial" w:cs="Arial"/>
        </w:rPr>
      </w:pPr>
      <w:r w:rsidRPr="00B62C96">
        <w:rPr>
          <w:rFonts w:ascii="Arial" w:hAnsi="Arial" w:cs="Arial"/>
        </w:rPr>
        <w:t>Net cash flows available to equity holders</w:t>
      </w:r>
    </w:p>
    <w:p w:rsidR="008270B1" w:rsidRPr="00B62C96" w:rsidRDefault="008270B1" w:rsidP="008270B1">
      <w:pPr>
        <w:pStyle w:val="AERbodytext"/>
        <w:numPr>
          <w:ilvl w:val="0"/>
          <w:numId w:val="9"/>
        </w:numPr>
        <w:rPr>
          <w:rFonts w:ascii="Arial" w:hAnsi="Arial" w:cs="Arial"/>
        </w:rPr>
      </w:pPr>
      <w:r w:rsidRPr="00B62C96">
        <w:rPr>
          <w:rFonts w:ascii="Arial" w:hAnsi="Arial" w:cs="Arial"/>
        </w:rPr>
        <w:t>Net nominal pre-tax cash</w:t>
      </w:r>
      <w:r w:rsidR="00E43A7B" w:rsidRPr="00B62C96">
        <w:rPr>
          <w:rFonts w:ascii="Arial" w:hAnsi="Arial" w:cs="Arial"/>
        </w:rPr>
        <w:t xml:space="preserve"> flows to equity holders (row 77</w:t>
      </w:r>
      <w:r w:rsidR="0022056D" w:rsidRPr="00B62C96">
        <w:rPr>
          <w:rFonts w:ascii="Arial" w:hAnsi="Arial" w:cs="Arial"/>
        </w:rPr>
        <w:t xml:space="preserve"> and row 109</w:t>
      </w:r>
      <w:r w:rsidRPr="00B62C96">
        <w:rPr>
          <w:rFonts w:ascii="Arial" w:hAnsi="Arial" w:cs="Arial"/>
        </w:rPr>
        <w:t>) are represented by nominal revenues less:</w:t>
      </w:r>
    </w:p>
    <w:p w:rsidR="008270B1" w:rsidRPr="00B62C96" w:rsidRDefault="008270B1" w:rsidP="005C3CBC">
      <w:pPr>
        <w:pStyle w:val="AERbulletlistfirststyle"/>
        <w:ind w:left="426" w:hanging="426"/>
        <w:rPr>
          <w:rFonts w:ascii="Arial" w:hAnsi="Arial" w:cs="Arial"/>
        </w:rPr>
      </w:pPr>
      <w:proofErr w:type="spellStart"/>
      <w:r w:rsidRPr="00B62C96">
        <w:rPr>
          <w:rFonts w:ascii="Arial" w:hAnsi="Arial" w:cs="Arial"/>
        </w:rPr>
        <w:t>opex</w:t>
      </w:r>
      <w:proofErr w:type="spellEnd"/>
    </w:p>
    <w:p w:rsidR="008270B1" w:rsidRPr="00B62C96" w:rsidRDefault="008270B1" w:rsidP="005C3CBC">
      <w:pPr>
        <w:pStyle w:val="AERbulletlistfirststyle"/>
        <w:ind w:left="426" w:hanging="426"/>
        <w:rPr>
          <w:rFonts w:ascii="Arial" w:hAnsi="Arial" w:cs="Arial"/>
        </w:rPr>
      </w:pPr>
      <w:r w:rsidRPr="00B62C96">
        <w:rPr>
          <w:rFonts w:ascii="Arial" w:hAnsi="Arial" w:cs="Arial"/>
        </w:rPr>
        <w:t>capex</w:t>
      </w:r>
    </w:p>
    <w:p w:rsidR="008270B1" w:rsidRPr="00B62C96" w:rsidRDefault="008270B1" w:rsidP="005C3CBC">
      <w:pPr>
        <w:pStyle w:val="AERbulletlistfirststyle"/>
        <w:ind w:left="426" w:hanging="426"/>
        <w:rPr>
          <w:rFonts w:ascii="Arial" w:hAnsi="Arial" w:cs="Arial"/>
        </w:rPr>
      </w:pPr>
      <w:r w:rsidRPr="00B62C96">
        <w:rPr>
          <w:rFonts w:ascii="Arial" w:hAnsi="Arial" w:cs="Arial"/>
        </w:rPr>
        <w:t>interest payments</w:t>
      </w:r>
    </w:p>
    <w:p w:rsidR="008270B1" w:rsidRPr="00B62C96" w:rsidRDefault="008270B1" w:rsidP="005C3CBC">
      <w:pPr>
        <w:pStyle w:val="AERbulletlistfirststyle"/>
        <w:ind w:left="426" w:hanging="426"/>
        <w:rPr>
          <w:rFonts w:ascii="Arial" w:hAnsi="Arial" w:cs="Arial"/>
        </w:rPr>
      </w:pPr>
      <w:proofErr w:type="gramStart"/>
      <w:r w:rsidRPr="00B62C96">
        <w:rPr>
          <w:rFonts w:ascii="Arial" w:hAnsi="Arial" w:cs="Arial"/>
        </w:rPr>
        <w:t>any</w:t>
      </w:r>
      <w:proofErr w:type="gramEnd"/>
      <w:r w:rsidRPr="00B62C96">
        <w:rPr>
          <w:rFonts w:ascii="Arial" w:hAnsi="Arial" w:cs="Arial"/>
        </w:rPr>
        <w:t xml:space="preserve"> repayment of debt in the period.</w:t>
      </w:r>
    </w:p>
    <w:p w:rsidR="008270B1" w:rsidRPr="00B62C96" w:rsidRDefault="008270B1" w:rsidP="008270B1">
      <w:pPr>
        <w:pStyle w:val="AERbodytext"/>
        <w:numPr>
          <w:ilvl w:val="0"/>
          <w:numId w:val="9"/>
        </w:numPr>
        <w:rPr>
          <w:rFonts w:ascii="Arial" w:hAnsi="Arial" w:cs="Arial"/>
        </w:rPr>
      </w:pPr>
      <w:r w:rsidRPr="00B62C96">
        <w:rPr>
          <w:rFonts w:ascii="Arial" w:hAnsi="Arial" w:cs="Arial"/>
        </w:rPr>
        <w:t>Net nominal post-tax cash flow to equity holders (row 7</w:t>
      </w:r>
      <w:r w:rsidR="00F67389" w:rsidRPr="00B62C96">
        <w:rPr>
          <w:rFonts w:ascii="Arial" w:hAnsi="Arial" w:cs="Arial"/>
        </w:rPr>
        <w:t>8</w:t>
      </w:r>
      <w:r w:rsidR="0022056D" w:rsidRPr="00B62C96">
        <w:rPr>
          <w:rFonts w:ascii="Arial" w:hAnsi="Arial" w:cs="Arial"/>
        </w:rPr>
        <w:t xml:space="preserve"> and 110</w:t>
      </w:r>
      <w:r w:rsidRPr="00B62C96">
        <w:rPr>
          <w:rFonts w:ascii="Arial" w:hAnsi="Arial" w:cs="Arial"/>
        </w:rPr>
        <w:t>) is obtained by further deducting the tax exp</w:t>
      </w:r>
      <w:r w:rsidR="00F67389" w:rsidRPr="00B62C96">
        <w:rPr>
          <w:rFonts w:ascii="Arial" w:hAnsi="Arial" w:cs="Arial"/>
        </w:rPr>
        <w:t>ense of the business. Row</w:t>
      </w:r>
      <w:r w:rsidR="00CF3467" w:rsidRPr="00B62C96">
        <w:rPr>
          <w:rFonts w:ascii="Arial" w:hAnsi="Arial" w:cs="Arial"/>
        </w:rPr>
        <w:t>s</w:t>
      </w:r>
      <w:r w:rsidR="00F67389" w:rsidRPr="00B62C96">
        <w:rPr>
          <w:rFonts w:ascii="Arial" w:hAnsi="Arial" w:cs="Arial"/>
        </w:rPr>
        <w:t xml:space="preserve"> 79</w:t>
      </w:r>
      <w:r w:rsidRPr="00B62C96">
        <w:rPr>
          <w:rFonts w:ascii="Arial" w:hAnsi="Arial" w:cs="Arial"/>
        </w:rPr>
        <w:t xml:space="preserve"> </w:t>
      </w:r>
      <w:r w:rsidR="00CF3467" w:rsidRPr="00B62C96">
        <w:rPr>
          <w:rFonts w:ascii="Arial" w:hAnsi="Arial" w:cs="Arial"/>
        </w:rPr>
        <w:t xml:space="preserve">and 111 </w:t>
      </w:r>
      <w:r w:rsidRPr="00B62C96">
        <w:rPr>
          <w:rFonts w:ascii="Arial" w:hAnsi="Arial" w:cs="Arial"/>
        </w:rPr>
        <w:t>add back the value of imputation credits to calculate the net post-tax benefits available to equity holders in a period.</w:t>
      </w:r>
    </w:p>
    <w:p w:rsidR="008270B1" w:rsidRPr="00B62C96" w:rsidRDefault="008270B1" w:rsidP="008270B1">
      <w:pPr>
        <w:pStyle w:val="AERbodytext"/>
        <w:numPr>
          <w:ilvl w:val="0"/>
          <w:numId w:val="9"/>
        </w:numPr>
        <w:rPr>
          <w:rFonts w:ascii="Arial" w:hAnsi="Arial" w:cs="Arial"/>
        </w:rPr>
      </w:pPr>
      <w:r w:rsidRPr="00B62C96">
        <w:rPr>
          <w:rFonts w:ascii="Arial" w:hAnsi="Arial" w:cs="Arial"/>
        </w:rPr>
        <w:t>The internal rate of return (IRR) of the net cash flows over the life of the assets is calculated in column E. The key IRR is the net post-tax returns to equity holders inclusive of imputation credits (r</w:t>
      </w:r>
      <w:r w:rsidRPr="00B62C96">
        <w:rPr>
          <w:rStyle w:val="AERsubscript"/>
          <w:rFonts w:ascii="Arial" w:hAnsi="Arial" w:cs="Arial"/>
        </w:rPr>
        <w:t>e</w:t>
      </w:r>
      <w:r w:rsidRPr="00B62C96">
        <w:rPr>
          <w:rFonts w:ascii="Arial" w:hAnsi="Arial" w:cs="Arial"/>
        </w:rPr>
        <w:t>). The determined r</w:t>
      </w:r>
      <w:r w:rsidRPr="00B62C96">
        <w:rPr>
          <w:rStyle w:val="AERsubscript"/>
          <w:rFonts w:ascii="Arial" w:hAnsi="Arial" w:cs="Arial"/>
        </w:rPr>
        <w:t>e</w:t>
      </w:r>
      <w:r w:rsidRPr="00B62C96">
        <w:rPr>
          <w:rFonts w:ascii="Arial" w:hAnsi="Arial" w:cs="Arial"/>
        </w:rPr>
        <w:t xml:space="preserve"> should be validated by the estimated cash flows (row</w:t>
      </w:r>
      <w:r w:rsidR="0022056D" w:rsidRPr="00B62C96">
        <w:rPr>
          <w:rFonts w:ascii="Arial" w:hAnsi="Arial" w:cs="Arial"/>
        </w:rPr>
        <w:t>s</w:t>
      </w:r>
      <w:r w:rsidRPr="00B62C96">
        <w:rPr>
          <w:rFonts w:ascii="Arial" w:hAnsi="Arial" w:cs="Arial"/>
        </w:rPr>
        <w:t xml:space="preserve"> 7</w:t>
      </w:r>
      <w:r w:rsidR="0022056D" w:rsidRPr="00B62C96">
        <w:rPr>
          <w:rFonts w:ascii="Arial" w:hAnsi="Arial" w:cs="Arial"/>
        </w:rPr>
        <w:t>9 and 111</w:t>
      </w:r>
      <w:r w:rsidRPr="00B62C96">
        <w:rPr>
          <w:rFonts w:ascii="Arial" w:hAnsi="Arial" w:cs="Arial"/>
        </w:rPr>
        <w:t>).</w:t>
      </w:r>
    </w:p>
    <w:p w:rsidR="008270B1" w:rsidRPr="00B62C96" w:rsidRDefault="008270B1" w:rsidP="008270B1">
      <w:pPr>
        <w:pStyle w:val="AERbodytext"/>
        <w:numPr>
          <w:ilvl w:val="0"/>
          <w:numId w:val="9"/>
        </w:numPr>
        <w:rPr>
          <w:rFonts w:ascii="Arial" w:hAnsi="Arial" w:cs="Arial"/>
        </w:rPr>
      </w:pPr>
      <w:r w:rsidRPr="00B62C96">
        <w:rPr>
          <w:rFonts w:ascii="Arial" w:hAnsi="Arial" w:cs="Arial"/>
        </w:rPr>
        <w:t>The corresponding real cash flows and the respective IRRs are calculated in ro</w:t>
      </w:r>
      <w:r w:rsidR="00F67389" w:rsidRPr="00B62C96">
        <w:rPr>
          <w:rFonts w:ascii="Arial" w:hAnsi="Arial" w:cs="Arial"/>
        </w:rPr>
        <w:t>ws 81</w:t>
      </w:r>
      <w:r w:rsidRPr="00B62C96">
        <w:rPr>
          <w:rFonts w:ascii="Arial" w:hAnsi="Arial" w:cs="Arial"/>
        </w:rPr>
        <w:t xml:space="preserve"> to </w:t>
      </w:r>
      <w:r w:rsidR="00F67389" w:rsidRPr="00B62C96">
        <w:rPr>
          <w:rFonts w:ascii="Arial" w:hAnsi="Arial" w:cs="Arial"/>
        </w:rPr>
        <w:t>83</w:t>
      </w:r>
      <w:r w:rsidR="0022056D" w:rsidRPr="00B62C96">
        <w:rPr>
          <w:rFonts w:ascii="Arial" w:hAnsi="Arial" w:cs="Arial"/>
        </w:rPr>
        <w:t xml:space="preserve"> and 113 to 115</w:t>
      </w:r>
      <w:r w:rsidRPr="00B62C96">
        <w:rPr>
          <w:rFonts w:ascii="Arial" w:hAnsi="Arial" w:cs="Arial"/>
        </w:rPr>
        <w:t>.</w:t>
      </w:r>
    </w:p>
    <w:p w:rsidR="008270B1" w:rsidRPr="00B62C96" w:rsidRDefault="008270B1" w:rsidP="008270B1">
      <w:pPr>
        <w:pStyle w:val="AERbodytext"/>
        <w:numPr>
          <w:ilvl w:val="0"/>
          <w:numId w:val="9"/>
        </w:numPr>
        <w:rPr>
          <w:rFonts w:ascii="Arial" w:hAnsi="Arial" w:cs="Arial"/>
        </w:rPr>
      </w:pPr>
      <w:r w:rsidRPr="00B62C96">
        <w:rPr>
          <w:rFonts w:ascii="Arial" w:hAnsi="Arial" w:cs="Arial"/>
        </w:rPr>
        <w:t>The difference in the IRR applying to pre-tax and post-tax cash flows to equity allows the effective rate of tax (</w:t>
      </w:r>
      <w:proofErr w:type="spellStart"/>
      <w:r w:rsidRPr="00B62C96">
        <w:rPr>
          <w:rFonts w:ascii="Arial" w:hAnsi="Arial" w:cs="Arial"/>
        </w:rPr>
        <w:t>T</w:t>
      </w:r>
      <w:r w:rsidRPr="00B62C96">
        <w:rPr>
          <w:rStyle w:val="AERsubscript"/>
          <w:rFonts w:ascii="Arial" w:hAnsi="Arial" w:cs="Arial"/>
        </w:rPr>
        <w:t>e</w:t>
      </w:r>
      <w:proofErr w:type="spellEnd"/>
      <w:r w:rsidRPr="00B62C96">
        <w:rPr>
          <w:rFonts w:ascii="Arial" w:hAnsi="Arial" w:cs="Arial"/>
        </w:rPr>
        <w:t xml:space="preserve"> = 1 – </w:t>
      </w:r>
      <w:proofErr w:type="spellStart"/>
      <w:r w:rsidRPr="00B62C96">
        <w:rPr>
          <w:rFonts w:ascii="Arial" w:hAnsi="Arial" w:cs="Arial"/>
        </w:rPr>
        <w:t>r</w:t>
      </w:r>
      <w:r w:rsidRPr="00B62C96">
        <w:rPr>
          <w:rStyle w:val="AERsubscript"/>
          <w:rFonts w:ascii="Arial" w:hAnsi="Arial" w:cs="Arial"/>
        </w:rPr>
        <w:t>post</w:t>
      </w:r>
      <w:proofErr w:type="spellEnd"/>
      <w:r w:rsidRPr="00B62C96">
        <w:rPr>
          <w:rFonts w:ascii="Arial" w:hAnsi="Arial" w:cs="Arial"/>
        </w:rPr>
        <w:t>/</w:t>
      </w:r>
      <w:proofErr w:type="spellStart"/>
      <w:r w:rsidRPr="00B62C96">
        <w:rPr>
          <w:rFonts w:ascii="Arial" w:hAnsi="Arial" w:cs="Arial"/>
        </w:rPr>
        <w:t>r</w:t>
      </w:r>
      <w:r w:rsidRPr="00B62C96">
        <w:rPr>
          <w:rStyle w:val="AERsubscript"/>
          <w:rFonts w:ascii="Arial" w:hAnsi="Arial" w:cs="Arial"/>
        </w:rPr>
        <w:t>pre</w:t>
      </w:r>
      <w:proofErr w:type="spellEnd"/>
      <w:r w:rsidR="00F67389" w:rsidRPr="00B62C96">
        <w:rPr>
          <w:rFonts w:ascii="Arial" w:hAnsi="Arial" w:cs="Arial"/>
        </w:rPr>
        <w:t>) to be calculated (cell</w:t>
      </w:r>
      <w:r w:rsidR="0022056D" w:rsidRPr="00B62C96">
        <w:rPr>
          <w:rFonts w:ascii="Arial" w:hAnsi="Arial" w:cs="Arial"/>
        </w:rPr>
        <w:t>s</w:t>
      </w:r>
      <w:r w:rsidR="00F67389" w:rsidRPr="00B62C96">
        <w:rPr>
          <w:rFonts w:ascii="Arial" w:hAnsi="Arial" w:cs="Arial"/>
        </w:rPr>
        <w:t xml:space="preserve"> D</w:t>
      </w:r>
      <w:r w:rsidR="00E732F0" w:rsidRPr="00B62C96">
        <w:rPr>
          <w:rFonts w:ascii="Arial" w:hAnsi="Arial" w:cs="Arial"/>
        </w:rPr>
        <w:t>77</w:t>
      </w:r>
      <w:r w:rsidR="0022056D" w:rsidRPr="00B62C96">
        <w:rPr>
          <w:rFonts w:ascii="Arial" w:hAnsi="Arial" w:cs="Arial"/>
        </w:rPr>
        <w:t xml:space="preserve"> and 109</w:t>
      </w:r>
      <w:r w:rsidRPr="00B62C96">
        <w:rPr>
          <w:rFonts w:ascii="Arial" w:hAnsi="Arial" w:cs="Arial"/>
        </w:rPr>
        <w:t>). This can then be used as an input to the formula-based WACC calculations.</w:t>
      </w:r>
    </w:p>
    <w:p w:rsidR="008270B1" w:rsidRPr="00B62C96" w:rsidRDefault="008270B1" w:rsidP="008270B1">
      <w:pPr>
        <w:pStyle w:val="AERbodytext"/>
        <w:numPr>
          <w:ilvl w:val="0"/>
          <w:numId w:val="9"/>
        </w:numPr>
        <w:rPr>
          <w:rFonts w:ascii="Arial" w:hAnsi="Arial" w:cs="Arial"/>
        </w:rPr>
      </w:pPr>
      <w:r w:rsidRPr="00B62C96">
        <w:rPr>
          <w:rFonts w:ascii="Arial" w:hAnsi="Arial" w:cs="Arial"/>
        </w:rPr>
        <w:t xml:space="preserve">It is important to note that the formula-based WACC calculations will only provide an approximation of the actual WACC outcomes implied by the cash flow calculations. In practice, </w:t>
      </w:r>
      <w:proofErr w:type="spellStart"/>
      <w:r w:rsidRPr="00B62C96">
        <w:rPr>
          <w:rFonts w:ascii="Arial" w:hAnsi="Arial" w:cs="Arial"/>
        </w:rPr>
        <w:t>T</w:t>
      </w:r>
      <w:r w:rsidRPr="00B62C96">
        <w:rPr>
          <w:rStyle w:val="AERsubscript"/>
          <w:rFonts w:ascii="Arial" w:hAnsi="Arial" w:cs="Arial"/>
        </w:rPr>
        <w:t>e</w:t>
      </w:r>
      <w:proofErr w:type="spellEnd"/>
      <w:r w:rsidRPr="00B62C96">
        <w:rPr>
          <w:rFonts w:ascii="Arial" w:hAnsi="Arial" w:cs="Arial"/>
        </w:rPr>
        <w:t xml:space="preserve"> is generally below the corporate tax rate for assets that can be depreciated at a faster rate for tax purposes.</w:t>
      </w:r>
    </w:p>
    <w:p w:rsidR="008270B1" w:rsidRPr="00B62C96" w:rsidRDefault="008270B1" w:rsidP="008270B1">
      <w:pPr>
        <w:pStyle w:val="HeadingBoldBlue"/>
        <w:numPr>
          <w:ilvl w:val="0"/>
          <w:numId w:val="9"/>
        </w:numPr>
        <w:rPr>
          <w:rFonts w:ascii="Arial" w:hAnsi="Arial" w:cs="Arial"/>
        </w:rPr>
      </w:pPr>
      <w:r w:rsidRPr="00B62C96">
        <w:rPr>
          <w:rFonts w:ascii="Arial" w:hAnsi="Arial" w:cs="Arial"/>
        </w:rPr>
        <w:lastRenderedPageBreak/>
        <w:t>Net cash flows necessary to service debt and the effective debt shield</w:t>
      </w:r>
    </w:p>
    <w:p w:rsidR="008270B1" w:rsidRPr="00B62C96" w:rsidRDefault="008270B1" w:rsidP="008270B1">
      <w:pPr>
        <w:pStyle w:val="AERbodytext"/>
        <w:numPr>
          <w:ilvl w:val="0"/>
          <w:numId w:val="9"/>
        </w:numPr>
        <w:rPr>
          <w:rFonts w:ascii="Arial" w:hAnsi="Arial" w:cs="Arial"/>
        </w:rPr>
      </w:pPr>
      <w:r w:rsidRPr="00B62C96">
        <w:rPr>
          <w:rFonts w:ascii="Arial" w:hAnsi="Arial" w:cs="Arial"/>
        </w:rPr>
        <w:t>The cost of debt is reduced by the v</w:t>
      </w:r>
      <w:r w:rsidR="00E732F0" w:rsidRPr="00B62C96">
        <w:rPr>
          <w:rFonts w:ascii="Arial" w:hAnsi="Arial" w:cs="Arial"/>
        </w:rPr>
        <w:t>alue of the ‘debt shield’ (row</w:t>
      </w:r>
      <w:r w:rsidR="0022056D" w:rsidRPr="00B62C96">
        <w:rPr>
          <w:rFonts w:ascii="Arial" w:hAnsi="Arial" w:cs="Arial"/>
        </w:rPr>
        <w:t>s</w:t>
      </w:r>
      <w:r w:rsidR="00E732F0" w:rsidRPr="00B62C96">
        <w:rPr>
          <w:rFonts w:ascii="Arial" w:hAnsi="Arial" w:cs="Arial"/>
        </w:rPr>
        <w:t xml:space="preserve"> 8</w:t>
      </w:r>
      <w:r w:rsidR="0022056D" w:rsidRPr="00B62C96">
        <w:rPr>
          <w:rFonts w:ascii="Arial" w:hAnsi="Arial" w:cs="Arial"/>
        </w:rPr>
        <w:t>6 and 118</w:t>
      </w:r>
      <w:r w:rsidRPr="00B62C96">
        <w:rPr>
          <w:rFonts w:ascii="Arial" w:hAnsi="Arial" w:cs="Arial"/>
        </w:rPr>
        <w:t>) in calculating tax liabilities. Where the interest expense in a regulatory year reduces taxable income by a corresponding amount, the net cost of debt for investors is reduced by the corporate tax rate.</w:t>
      </w:r>
    </w:p>
    <w:p w:rsidR="008270B1" w:rsidRPr="00B62C96" w:rsidRDefault="008270B1" w:rsidP="008270B1">
      <w:pPr>
        <w:pStyle w:val="AERbodytext"/>
        <w:numPr>
          <w:ilvl w:val="0"/>
          <w:numId w:val="9"/>
        </w:numPr>
        <w:rPr>
          <w:rFonts w:ascii="Arial" w:hAnsi="Arial" w:cs="Arial"/>
        </w:rPr>
      </w:pPr>
      <w:r w:rsidRPr="00B62C96">
        <w:rPr>
          <w:rFonts w:ascii="Arial" w:hAnsi="Arial" w:cs="Arial"/>
        </w:rPr>
        <w:t>However, where the taxable income is so low that the full interest deduction is not required to reduce tax liabilities to zero, the value of the debt shield benefit is deferred to the following regulatory year. Th</w:t>
      </w:r>
      <w:r w:rsidR="00E732F0" w:rsidRPr="00B62C96">
        <w:rPr>
          <w:rFonts w:ascii="Arial" w:hAnsi="Arial" w:cs="Arial"/>
        </w:rPr>
        <w:t>is effect is analysed in rows 86</w:t>
      </w:r>
      <w:r w:rsidRPr="00B62C96">
        <w:rPr>
          <w:rFonts w:ascii="Arial" w:hAnsi="Arial" w:cs="Arial"/>
        </w:rPr>
        <w:t xml:space="preserve"> to 8</w:t>
      </w:r>
      <w:r w:rsidR="00E732F0" w:rsidRPr="00B62C96">
        <w:rPr>
          <w:rFonts w:ascii="Arial" w:hAnsi="Arial" w:cs="Arial"/>
        </w:rPr>
        <w:t>8</w:t>
      </w:r>
      <w:r w:rsidR="0022056D" w:rsidRPr="00B62C96">
        <w:rPr>
          <w:rFonts w:ascii="Arial" w:hAnsi="Arial" w:cs="Arial"/>
        </w:rPr>
        <w:t xml:space="preserve"> and </w:t>
      </w:r>
      <w:proofErr w:type="spellStart"/>
      <w:r w:rsidR="0022056D" w:rsidRPr="00B62C96">
        <w:rPr>
          <w:rFonts w:ascii="Arial" w:hAnsi="Arial" w:cs="Arial"/>
        </w:rPr>
        <w:t>rows</w:t>
      </w:r>
      <w:proofErr w:type="spellEnd"/>
      <w:r w:rsidR="0022056D" w:rsidRPr="00B62C96">
        <w:rPr>
          <w:rFonts w:ascii="Arial" w:hAnsi="Arial" w:cs="Arial"/>
        </w:rPr>
        <w:t xml:space="preserve"> 118 to 120</w:t>
      </w:r>
      <w:r w:rsidRPr="00B62C96">
        <w:rPr>
          <w:rFonts w:ascii="Arial" w:hAnsi="Arial" w:cs="Arial"/>
        </w:rPr>
        <w:t>. That part of interest expense used to defer tax is calculated</w:t>
      </w:r>
      <w:r w:rsidR="009B1E03" w:rsidRPr="00B62C96">
        <w:rPr>
          <w:rFonts w:ascii="Arial" w:hAnsi="Arial" w:cs="Arial"/>
        </w:rPr>
        <w:t xml:space="preserve"> in each regulatory year (row</w:t>
      </w:r>
      <w:r w:rsidR="0022056D" w:rsidRPr="00B62C96">
        <w:rPr>
          <w:rFonts w:ascii="Arial" w:hAnsi="Arial" w:cs="Arial"/>
        </w:rPr>
        <w:t>s</w:t>
      </w:r>
      <w:r w:rsidR="009B1E03" w:rsidRPr="00B62C96">
        <w:rPr>
          <w:rFonts w:ascii="Arial" w:hAnsi="Arial" w:cs="Arial"/>
        </w:rPr>
        <w:t xml:space="preserve"> 86</w:t>
      </w:r>
      <w:r w:rsidR="0022056D" w:rsidRPr="00B62C96">
        <w:rPr>
          <w:rFonts w:ascii="Arial" w:hAnsi="Arial" w:cs="Arial"/>
        </w:rPr>
        <w:t xml:space="preserve"> and 118</w:t>
      </w:r>
      <w:r w:rsidRPr="00B62C96">
        <w:rPr>
          <w:rFonts w:ascii="Arial" w:hAnsi="Arial" w:cs="Arial"/>
        </w:rPr>
        <w:t>) and the unused part carried forward is embodied in the tax loss car</w:t>
      </w:r>
      <w:r w:rsidR="009B1E03" w:rsidRPr="00B62C96">
        <w:rPr>
          <w:rFonts w:ascii="Arial" w:hAnsi="Arial" w:cs="Arial"/>
        </w:rPr>
        <w:t>ried forward calculation (row</w:t>
      </w:r>
      <w:r w:rsidR="0022056D" w:rsidRPr="00B62C96">
        <w:rPr>
          <w:rFonts w:ascii="Arial" w:hAnsi="Arial" w:cs="Arial"/>
        </w:rPr>
        <w:t>s</w:t>
      </w:r>
      <w:r w:rsidR="009B1E03" w:rsidRPr="00B62C96">
        <w:rPr>
          <w:rFonts w:ascii="Arial" w:hAnsi="Arial" w:cs="Arial"/>
        </w:rPr>
        <w:t xml:space="preserve"> 87</w:t>
      </w:r>
      <w:r w:rsidR="0022056D" w:rsidRPr="00B62C96">
        <w:rPr>
          <w:rFonts w:ascii="Arial" w:hAnsi="Arial" w:cs="Arial"/>
        </w:rPr>
        <w:t xml:space="preserve"> and 119</w:t>
      </w:r>
      <w:r w:rsidRPr="00B62C96">
        <w:rPr>
          <w:rFonts w:ascii="Arial" w:hAnsi="Arial" w:cs="Arial"/>
        </w:rPr>
        <w:t>). This allows the net cost to the firm of paying debt holders, after taking account of the tax concession, to be calculated.</w:t>
      </w:r>
    </w:p>
    <w:p w:rsidR="008270B1" w:rsidRPr="00B62C96" w:rsidRDefault="008270B1" w:rsidP="008270B1">
      <w:pPr>
        <w:pStyle w:val="AERbodytext"/>
        <w:numPr>
          <w:ilvl w:val="0"/>
          <w:numId w:val="9"/>
        </w:numPr>
        <w:rPr>
          <w:rFonts w:ascii="Arial" w:hAnsi="Arial" w:cs="Arial"/>
        </w:rPr>
      </w:pPr>
      <w:r w:rsidRPr="00B62C96">
        <w:rPr>
          <w:rFonts w:ascii="Arial" w:hAnsi="Arial" w:cs="Arial"/>
        </w:rPr>
        <w:t>The IRR calculation (cell</w:t>
      </w:r>
      <w:r w:rsidR="0022056D" w:rsidRPr="00B62C96">
        <w:rPr>
          <w:rFonts w:ascii="Arial" w:hAnsi="Arial" w:cs="Arial"/>
        </w:rPr>
        <w:t>s</w:t>
      </w:r>
      <w:r w:rsidRPr="00B62C96">
        <w:rPr>
          <w:rFonts w:ascii="Arial" w:hAnsi="Arial" w:cs="Arial"/>
        </w:rPr>
        <w:t xml:space="preserve"> E</w:t>
      </w:r>
      <w:r w:rsidR="0022056D" w:rsidRPr="00B62C96">
        <w:rPr>
          <w:rFonts w:ascii="Arial" w:hAnsi="Arial" w:cs="Arial"/>
        </w:rPr>
        <w:t>88 and E120</w:t>
      </w:r>
      <w:r w:rsidRPr="00B62C96">
        <w:rPr>
          <w:rFonts w:ascii="Arial" w:hAnsi="Arial" w:cs="Arial"/>
        </w:rPr>
        <w:t>) represents the effective cost of debt, which is generally well below the nominal cost of debt based on the current interest rates.</w:t>
      </w:r>
    </w:p>
    <w:p w:rsidR="008270B1" w:rsidRPr="00B62C96" w:rsidRDefault="008270B1" w:rsidP="008270B1">
      <w:pPr>
        <w:pStyle w:val="HeadingBoldBlue"/>
        <w:numPr>
          <w:ilvl w:val="0"/>
          <w:numId w:val="9"/>
        </w:numPr>
        <w:rPr>
          <w:rFonts w:ascii="Arial" w:hAnsi="Arial" w:cs="Arial"/>
        </w:rPr>
      </w:pPr>
      <w:r w:rsidRPr="00B62C96">
        <w:rPr>
          <w:rFonts w:ascii="Arial" w:hAnsi="Arial" w:cs="Arial"/>
        </w:rPr>
        <w:t>Nominal cash flows to assets and calculation of WACC estimates</w:t>
      </w:r>
    </w:p>
    <w:p w:rsidR="008270B1" w:rsidRPr="00B62C96" w:rsidRDefault="008270B1" w:rsidP="008270B1">
      <w:pPr>
        <w:pStyle w:val="AERbodytext"/>
        <w:numPr>
          <w:ilvl w:val="0"/>
          <w:numId w:val="9"/>
        </w:numPr>
        <w:rPr>
          <w:rFonts w:ascii="Arial" w:hAnsi="Arial" w:cs="Arial"/>
        </w:rPr>
      </w:pPr>
      <w:r w:rsidRPr="00B62C96">
        <w:rPr>
          <w:rFonts w:ascii="Arial" w:hAnsi="Arial" w:cs="Arial"/>
        </w:rPr>
        <w:t>The cash flows to the different sources of capital (debt and equity) have been presented above, but the cash flows to the assets as a whole are of interest since these aggregate numbers characterise the nature of the regulated business.</w:t>
      </w:r>
    </w:p>
    <w:p w:rsidR="008270B1" w:rsidRPr="00B62C96" w:rsidRDefault="008270B1" w:rsidP="008270B1">
      <w:pPr>
        <w:pStyle w:val="AERbodytext"/>
        <w:numPr>
          <w:ilvl w:val="0"/>
          <w:numId w:val="9"/>
        </w:numPr>
        <w:rPr>
          <w:rFonts w:ascii="Arial" w:hAnsi="Arial" w:cs="Arial"/>
        </w:rPr>
      </w:pPr>
      <w:r w:rsidRPr="00B62C96">
        <w:rPr>
          <w:rFonts w:ascii="Arial" w:hAnsi="Arial" w:cs="Arial"/>
        </w:rPr>
        <w:t xml:space="preserve">The IRRs from these cash flows are the WACC estimates expected from the application of the regulatory framework and have greater validity than any formula based approximations. </w:t>
      </w:r>
      <w:r w:rsidR="00CF3467" w:rsidRPr="00B62C96">
        <w:rPr>
          <w:rFonts w:ascii="Arial" w:hAnsi="Arial" w:cs="Arial"/>
        </w:rPr>
        <w:t xml:space="preserve">The cash flow calculations from the section excluding revenue adjustments </w:t>
      </w:r>
      <w:r w:rsidRPr="00B62C96">
        <w:rPr>
          <w:rFonts w:ascii="Arial" w:hAnsi="Arial" w:cs="Arial"/>
        </w:rPr>
        <w:t xml:space="preserve">are </w:t>
      </w:r>
      <w:r w:rsidR="00CF3467" w:rsidRPr="00B62C96">
        <w:rPr>
          <w:rFonts w:ascii="Arial" w:hAnsi="Arial" w:cs="Arial"/>
        </w:rPr>
        <w:t xml:space="preserve">then reported on </w:t>
      </w:r>
      <w:r w:rsidRPr="00B62C96">
        <w:rPr>
          <w:rFonts w:ascii="Arial" w:hAnsi="Arial" w:cs="Arial"/>
        </w:rPr>
        <w:t xml:space="preserve">the </w:t>
      </w:r>
      <w:r w:rsidRPr="00B62C96">
        <w:rPr>
          <w:rStyle w:val="AERtextbold"/>
          <w:rFonts w:ascii="Arial" w:hAnsi="Arial" w:cs="Arial"/>
        </w:rPr>
        <w:t>WACC</w:t>
      </w:r>
      <w:r w:rsidRPr="00B62C96">
        <w:rPr>
          <w:rFonts w:ascii="Arial" w:hAnsi="Arial" w:cs="Arial"/>
        </w:rPr>
        <w:t xml:space="preserve"> sheet</w:t>
      </w:r>
      <w:r w:rsidR="00CF3467" w:rsidRPr="00B62C96">
        <w:rPr>
          <w:rFonts w:ascii="Arial" w:hAnsi="Arial" w:cs="Arial"/>
        </w:rPr>
        <w:t xml:space="preserve">. These are the relevant IRRs for comparison against </w:t>
      </w:r>
      <w:r w:rsidRPr="00B62C96">
        <w:rPr>
          <w:rFonts w:ascii="Arial" w:hAnsi="Arial" w:cs="Arial"/>
        </w:rPr>
        <w:t>the formula-based approximations</w:t>
      </w:r>
      <w:r w:rsidR="00CF3467" w:rsidRPr="00B62C96">
        <w:rPr>
          <w:rFonts w:ascii="Arial" w:hAnsi="Arial" w:cs="Arial"/>
        </w:rPr>
        <w:t xml:space="preserve"> derived from the return on equity and return on debt inputs</w:t>
      </w:r>
      <w:r w:rsidRPr="00B62C96">
        <w:rPr>
          <w:rFonts w:ascii="Arial" w:hAnsi="Arial" w:cs="Arial"/>
        </w:rPr>
        <w:t>. It should be noted that the WACC outcomes are calculated for reporting purposes only. They are not required for setting revenues since the modelling already provides the requisite revenue forecasts.</w:t>
      </w:r>
    </w:p>
    <w:p w:rsidR="008270B1" w:rsidRPr="00B62C96" w:rsidRDefault="00CF3467" w:rsidP="008270B1">
      <w:pPr>
        <w:pStyle w:val="HeadingBoldBlue"/>
        <w:numPr>
          <w:ilvl w:val="0"/>
          <w:numId w:val="9"/>
        </w:numPr>
        <w:rPr>
          <w:rFonts w:ascii="Arial" w:hAnsi="Arial" w:cs="Arial"/>
        </w:rPr>
      </w:pPr>
      <w:r w:rsidRPr="00B62C96">
        <w:rPr>
          <w:rFonts w:ascii="Arial" w:hAnsi="Arial" w:cs="Arial"/>
        </w:rPr>
        <w:t>Return on equity analysis</w:t>
      </w:r>
    </w:p>
    <w:p w:rsidR="00CF3467" w:rsidRPr="00B62C96" w:rsidRDefault="00CF3467" w:rsidP="00CF3467">
      <w:pPr>
        <w:pStyle w:val="AERbodytext"/>
        <w:rPr>
          <w:rFonts w:ascii="Arial" w:hAnsi="Arial" w:cs="Arial"/>
        </w:rPr>
      </w:pPr>
      <w:r w:rsidRPr="00B62C96">
        <w:rPr>
          <w:rFonts w:ascii="Arial" w:hAnsi="Arial" w:cs="Arial"/>
        </w:rPr>
        <w:t>The next two sections demonstrate that the desired return on equity is being achieved in each year of the regulatory control period, and across the regulatory control period as a whole. In accordance with this aim, they use the cash flows after removal of revenue adjustments. In essence they expand on the calculations presented in row 111.</w:t>
      </w:r>
    </w:p>
    <w:p w:rsidR="008270B1" w:rsidRPr="00B62C96" w:rsidRDefault="00CF3467" w:rsidP="00CF3467">
      <w:pPr>
        <w:pStyle w:val="AERbodytext"/>
        <w:rPr>
          <w:rFonts w:ascii="Arial" w:hAnsi="Arial" w:cs="Arial"/>
        </w:rPr>
      </w:pPr>
      <w:r w:rsidRPr="00B62C96">
        <w:rPr>
          <w:rFonts w:ascii="Arial" w:hAnsi="Arial" w:cs="Arial"/>
        </w:rPr>
        <w:t>The first section (rows 131 to 140) demonstrates the return to equity holders on an annual basis. The second section (rows 146 to 157) demonstrates the return to equity holders across the entire regulatory control period.</w:t>
      </w:r>
    </w:p>
    <w:p w:rsidR="008270B1" w:rsidRPr="00C4660C" w:rsidRDefault="00CF3467" w:rsidP="008270B1">
      <w:pPr>
        <w:pStyle w:val="HeadingBoldBlue"/>
        <w:numPr>
          <w:ilvl w:val="0"/>
          <w:numId w:val="9"/>
        </w:numPr>
        <w:rPr>
          <w:rFonts w:ascii="Arial" w:hAnsi="Arial" w:cs="Arial"/>
        </w:rPr>
      </w:pPr>
      <w:r w:rsidRPr="00C4660C">
        <w:rPr>
          <w:rFonts w:ascii="Arial" w:hAnsi="Arial" w:cs="Arial"/>
        </w:rPr>
        <w:t>Summary for generation of graphs</w:t>
      </w:r>
    </w:p>
    <w:p w:rsidR="008270B1" w:rsidRPr="00C4660C" w:rsidRDefault="008270B1" w:rsidP="008270B1">
      <w:pPr>
        <w:pStyle w:val="AERbodytext"/>
        <w:numPr>
          <w:ilvl w:val="0"/>
          <w:numId w:val="9"/>
        </w:numPr>
        <w:rPr>
          <w:rFonts w:ascii="Arial" w:hAnsi="Arial" w:cs="Arial"/>
        </w:rPr>
      </w:pPr>
      <w:r w:rsidRPr="00C4660C">
        <w:rPr>
          <w:rFonts w:ascii="Arial" w:hAnsi="Arial" w:cs="Arial"/>
        </w:rPr>
        <w:t xml:space="preserve">Rows </w:t>
      </w:r>
      <w:r w:rsidR="00CF3467" w:rsidRPr="00C4660C">
        <w:rPr>
          <w:rFonts w:ascii="Arial" w:hAnsi="Arial" w:cs="Arial"/>
        </w:rPr>
        <w:t xml:space="preserve">161 to 166 </w:t>
      </w:r>
      <w:r w:rsidRPr="00C4660C">
        <w:rPr>
          <w:rFonts w:ascii="Arial" w:hAnsi="Arial" w:cs="Arial"/>
        </w:rPr>
        <w:t xml:space="preserve">provide </w:t>
      </w:r>
      <w:r w:rsidR="00CF3467" w:rsidRPr="00C4660C">
        <w:rPr>
          <w:rFonts w:ascii="Arial" w:hAnsi="Arial" w:cs="Arial"/>
        </w:rPr>
        <w:t xml:space="preserve">a summary table presenting total </w:t>
      </w:r>
      <w:r w:rsidRPr="00C4660C">
        <w:rPr>
          <w:rFonts w:ascii="Arial" w:hAnsi="Arial" w:cs="Arial"/>
        </w:rPr>
        <w:t xml:space="preserve">revenue components in accordance with the categories listed in the NER. These values are referred to in the </w:t>
      </w:r>
      <w:r w:rsidRPr="00C4660C">
        <w:rPr>
          <w:rFonts w:ascii="Arial" w:hAnsi="Arial" w:cs="Arial"/>
          <w:b/>
        </w:rPr>
        <w:t>Chart 3–Building blocks</w:t>
      </w:r>
      <w:r w:rsidRPr="00C4660C">
        <w:rPr>
          <w:rFonts w:ascii="Arial" w:hAnsi="Arial" w:cs="Arial"/>
        </w:rPr>
        <w:t xml:space="preserve"> sheet.</w:t>
      </w:r>
    </w:p>
    <w:p w:rsidR="008270B1" w:rsidRPr="00B62C96" w:rsidRDefault="008270B1" w:rsidP="00B62C96">
      <w:pPr>
        <w:pStyle w:val="Heading2"/>
        <w:numPr>
          <w:ilvl w:val="2"/>
          <w:numId w:val="10"/>
        </w:numPr>
        <w:rPr>
          <w:rFonts w:ascii="Arial" w:hAnsi="Arial" w:cs="Arial"/>
        </w:rPr>
      </w:pPr>
      <w:bookmarkStart w:id="99" w:name="_Toc399339684"/>
      <w:bookmarkStart w:id="100" w:name="_Toc409709124"/>
      <w:bookmarkStart w:id="101" w:name="_Toc410224090"/>
      <w:r w:rsidRPr="00B62C96">
        <w:rPr>
          <w:rFonts w:ascii="Arial" w:hAnsi="Arial" w:cs="Arial"/>
        </w:rPr>
        <w:t>Forecast revenues sheet</w:t>
      </w:r>
      <w:bookmarkEnd w:id="99"/>
      <w:bookmarkEnd w:id="100"/>
      <w:bookmarkEnd w:id="101"/>
    </w:p>
    <w:p w:rsidR="008270B1" w:rsidRPr="00B62C96" w:rsidRDefault="008270B1" w:rsidP="008270B1">
      <w:pPr>
        <w:pStyle w:val="AERbodytext"/>
        <w:numPr>
          <w:ilvl w:val="0"/>
          <w:numId w:val="9"/>
        </w:numPr>
        <w:rPr>
          <w:rFonts w:ascii="Arial" w:hAnsi="Arial" w:cs="Arial"/>
        </w:rPr>
      </w:pPr>
      <w:r w:rsidRPr="00B62C96">
        <w:rPr>
          <w:rFonts w:ascii="Arial" w:hAnsi="Arial" w:cs="Arial"/>
        </w:rPr>
        <w:t xml:space="preserve">The </w:t>
      </w:r>
      <w:r w:rsidRPr="00B62C96">
        <w:rPr>
          <w:rStyle w:val="AERtextbold"/>
          <w:rFonts w:ascii="Arial" w:hAnsi="Arial" w:cs="Arial"/>
        </w:rPr>
        <w:t>Forecast revenues</w:t>
      </w:r>
      <w:r w:rsidRPr="00B62C96">
        <w:rPr>
          <w:rFonts w:ascii="Arial" w:hAnsi="Arial" w:cs="Arial"/>
        </w:rPr>
        <w:t xml:space="preserve"> sheet is relevant to the calculation of X factors under the WAPC control mechanism. Prices are sourced from the </w:t>
      </w:r>
      <w:r w:rsidR="00D804FF" w:rsidRPr="00B62C96">
        <w:rPr>
          <w:rFonts w:ascii="Arial" w:hAnsi="Arial" w:cs="Arial"/>
          <w:b/>
        </w:rPr>
        <w:t>PTRM</w:t>
      </w:r>
      <w:r w:rsidR="00D804FF" w:rsidRPr="00B62C96">
        <w:rPr>
          <w:rFonts w:ascii="Arial" w:hAnsi="Arial" w:cs="Arial"/>
        </w:rPr>
        <w:t xml:space="preserve"> </w:t>
      </w:r>
      <w:r w:rsidR="00E47B17" w:rsidRPr="00B62C96">
        <w:rPr>
          <w:rStyle w:val="AERtextbold"/>
          <w:rFonts w:ascii="Arial" w:hAnsi="Arial" w:cs="Arial"/>
        </w:rPr>
        <w:t>i</w:t>
      </w:r>
      <w:r w:rsidRPr="00B62C96">
        <w:rPr>
          <w:rStyle w:val="AERtextbold"/>
          <w:rFonts w:ascii="Arial" w:hAnsi="Arial" w:cs="Arial"/>
        </w:rPr>
        <w:t>nput</w:t>
      </w:r>
      <w:r w:rsidRPr="00B62C96">
        <w:rPr>
          <w:rFonts w:ascii="Arial" w:hAnsi="Arial" w:cs="Arial"/>
        </w:rPr>
        <w:t xml:space="preserve"> sheet and escalated by forecast changes of the inflation rate and X factors from the </w:t>
      </w:r>
      <w:r w:rsidRPr="00B62C96">
        <w:rPr>
          <w:rStyle w:val="AERtextbold"/>
          <w:rFonts w:ascii="Arial" w:hAnsi="Arial" w:cs="Arial"/>
        </w:rPr>
        <w:t xml:space="preserve">X factors </w:t>
      </w:r>
      <w:r w:rsidRPr="00B62C96">
        <w:rPr>
          <w:rFonts w:ascii="Arial" w:hAnsi="Arial" w:cs="Arial"/>
        </w:rPr>
        <w:t xml:space="preserve">sheet to derive notional prices for each year of the regulatory control period. These prices are multiplied by the forecast quantity data from the </w:t>
      </w:r>
      <w:r w:rsidR="00E47B17" w:rsidRPr="00B62C96">
        <w:rPr>
          <w:rFonts w:ascii="Arial" w:hAnsi="Arial" w:cs="Arial"/>
          <w:b/>
        </w:rPr>
        <w:t>PTRM</w:t>
      </w:r>
      <w:r w:rsidR="00E47B17" w:rsidRPr="00B62C96">
        <w:rPr>
          <w:rFonts w:ascii="Arial" w:hAnsi="Arial" w:cs="Arial"/>
        </w:rPr>
        <w:t xml:space="preserve"> </w:t>
      </w:r>
      <w:r w:rsidR="00E47B17" w:rsidRPr="00B62C96">
        <w:rPr>
          <w:rStyle w:val="AERtextbold"/>
          <w:rFonts w:ascii="Arial" w:hAnsi="Arial" w:cs="Arial"/>
        </w:rPr>
        <w:lastRenderedPageBreak/>
        <w:t>i</w:t>
      </w:r>
      <w:r w:rsidRPr="00B62C96">
        <w:rPr>
          <w:rStyle w:val="AERtextbold"/>
          <w:rFonts w:ascii="Arial" w:hAnsi="Arial" w:cs="Arial"/>
        </w:rPr>
        <w:t>nput</w:t>
      </w:r>
      <w:r w:rsidRPr="00B62C96">
        <w:rPr>
          <w:rFonts w:ascii="Arial" w:hAnsi="Arial" w:cs="Arial"/>
        </w:rPr>
        <w:t xml:space="preserve"> sheet to derive a notional forecast smoothed revenue amount in row 7, which is intended to equal (in NPV terms) the building block requirement in the </w:t>
      </w:r>
      <w:r w:rsidRPr="00B62C96">
        <w:rPr>
          <w:rStyle w:val="AERtextbold"/>
          <w:rFonts w:ascii="Arial" w:hAnsi="Arial" w:cs="Arial"/>
        </w:rPr>
        <w:t xml:space="preserve">X factors </w:t>
      </w:r>
      <w:r w:rsidRPr="00B62C96">
        <w:rPr>
          <w:rFonts w:ascii="Arial" w:hAnsi="Arial" w:cs="Arial"/>
        </w:rPr>
        <w:t>sheet.</w:t>
      </w:r>
    </w:p>
    <w:p w:rsidR="008270B1" w:rsidRPr="00B62C96" w:rsidRDefault="008270B1" w:rsidP="008270B1">
      <w:pPr>
        <w:pStyle w:val="AERbodytext"/>
        <w:numPr>
          <w:ilvl w:val="0"/>
          <w:numId w:val="9"/>
        </w:numPr>
        <w:rPr>
          <w:rFonts w:ascii="Arial" w:hAnsi="Arial" w:cs="Arial"/>
        </w:rPr>
      </w:pPr>
      <w:r w:rsidRPr="00B62C96">
        <w:rPr>
          <w:rFonts w:ascii="Arial" w:hAnsi="Arial" w:cs="Arial"/>
        </w:rPr>
        <w:t xml:space="preserve">The calculations in this sheet are automated and do not require inputs. </w:t>
      </w:r>
      <w:r w:rsidRPr="00C4660C">
        <w:rPr>
          <w:rFonts w:ascii="Arial" w:hAnsi="Arial" w:cs="Arial"/>
        </w:rPr>
        <w:t xml:space="preserve">The display of forecast, quantities and revenues has been split into two sections—years 1 to 5, and years 6 to 10. The grouping controls can be used to hide all columns relating to years 6 to 10 (for instance, if the regulatory control period is only 5 years long). </w:t>
      </w:r>
      <w:r w:rsidRPr="00B62C96">
        <w:rPr>
          <w:rFonts w:ascii="Arial" w:hAnsi="Arial" w:cs="Arial"/>
        </w:rPr>
        <w:t xml:space="preserve">This sheet is, however, based on a generic tariff structure and will require amendment by each DNSP to suit its own tariff schedules. DNSPs using the PTRM for forms of control other than a WAPC will not be required to use the </w:t>
      </w:r>
      <w:r w:rsidRPr="00B62C96">
        <w:rPr>
          <w:rStyle w:val="AERtextbold"/>
          <w:rFonts w:ascii="Arial" w:hAnsi="Arial" w:cs="Arial"/>
        </w:rPr>
        <w:t>Forecast revenues</w:t>
      </w:r>
      <w:r w:rsidRPr="00B62C96">
        <w:rPr>
          <w:rFonts w:ascii="Arial" w:hAnsi="Arial" w:cs="Arial"/>
        </w:rPr>
        <w:t xml:space="preserve"> sheet. Pricing data in this sheet has no relationship with the information to be provided by DNSPs to the AER under clause 6.8.2(c</w:t>
      </w:r>
      <w:proofErr w:type="gramStart"/>
      <w:r w:rsidRPr="00B62C96">
        <w:rPr>
          <w:rFonts w:ascii="Arial" w:hAnsi="Arial" w:cs="Arial"/>
        </w:rPr>
        <w:t>)(</w:t>
      </w:r>
      <w:proofErr w:type="gramEnd"/>
      <w:r w:rsidRPr="00B62C96">
        <w:rPr>
          <w:rFonts w:ascii="Arial" w:hAnsi="Arial" w:cs="Arial"/>
        </w:rPr>
        <w:t>4) or Part I of the NER.</w:t>
      </w:r>
    </w:p>
    <w:p w:rsidR="008270B1" w:rsidRPr="00B62C96" w:rsidRDefault="008270B1" w:rsidP="008270B1">
      <w:pPr>
        <w:pStyle w:val="AERbodytext"/>
        <w:numPr>
          <w:ilvl w:val="0"/>
          <w:numId w:val="9"/>
        </w:numPr>
        <w:rPr>
          <w:rFonts w:ascii="Arial" w:hAnsi="Arial" w:cs="Arial"/>
        </w:rPr>
      </w:pPr>
      <w:r w:rsidRPr="00B62C96">
        <w:rPr>
          <w:rFonts w:ascii="Arial" w:hAnsi="Arial" w:cs="Arial"/>
        </w:rPr>
        <w:fldChar w:fldCharType="begin"/>
      </w:r>
      <w:r w:rsidRPr="00B62C96">
        <w:rPr>
          <w:rFonts w:ascii="Arial" w:hAnsi="Arial" w:cs="Arial"/>
        </w:rPr>
        <w:instrText xml:space="preserve"> REF _Ref398281786 \h  \* MERGEFORMAT </w:instrText>
      </w:r>
      <w:r w:rsidRPr="00B62C96">
        <w:rPr>
          <w:rFonts w:ascii="Arial" w:hAnsi="Arial" w:cs="Arial"/>
        </w:rPr>
      </w:r>
      <w:r w:rsidRPr="00B62C96">
        <w:rPr>
          <w:rFonts w:ascii="Arial" w:hAnsi="Arial" w:cs="Arial"/>
        </w:rPr>
        <w:fldChar w:fldCharType="separate"/>
      </w:r>
      <w:r w:rsidR="006709B5" w:rsidRPr="00B62C96">
        <w:rPr>
          <w:rFonts w:ascii="Arial" w:hAnsi="Arial" w:cs="Arial"/>
        </w:rPr>
        <w:t xml:space="preserve">Figure </w:t>
      </w:r>
      <w:r w:rsidR="006709B5">
        <w:rPr>
          <w:rFonts w:ascii="Arial" w:hAnsi="Arial" w:cs="Arial"/>
          <w:noProof/>
        </w:rPr>
        <w:t>11</w:t>
      </w:r>
      <w:r w:rsidRPr="00B62C96">
        <w:rPr>
          <w:rFonts w:ascii="Arial" w:hAnsi="Arial" w:cs="Arial"/>
        </w:rPr>
        <w:fldChar w:fldCharType="end"/>
      </w:r>
      <w:r w:rsidRPr="00B62C96">
        <w:rPr>
          <w:rFonts w:ascii="Arial" w:hAnsi="Arial" w:cs="Arial"/>
        </w:rPr>
        <w:t xml:space="preserve"> and </w:t>
      </w:r>
      <w:r w:rsidRPr="00B62C96">
        <w:rPr>
          <w:rFonts w:ascii="Arial" w:hAnsi="Arial" w:cs="Arial"/>
        </w:rPr>
        <w:fldChar w:fldCharType="begin"/>
      </w:r>
      <w:r w:rsidRPr="00B62C96">
        <w:rPr>
          <w:rFonts w:ascii="Arial" w:hAnsi="Arial" w:cs="Arial"/>
        </w:rPr>
        <w:instrText xml:space="preserve"> REF _Ref398298450 \h  \* MERGEFORMAT </w:instrText>
      </w:r>
      <w:r w:rsidRPr="00B62C96">
        <w:rPr>
          <w:rFonts w:ascii="Arial" w:hAnsi="Arial" w:cs="Arial"/>
        </w:rPr>
      </w:r>
      <w:r w:rsidRPr="00B62C96">
        <w:rPr>
          <w:rFonts w:ascii="Arial" w:hAnsi="Arial" w:cs="Arial"/>
        </w:rPr>
        <w:fldChar w:fldCharType="separate"/>
      </w:r>
      <w:r w:rsidR="006709B5" w:rsidRPr="00B62C96">
        <w:rPr>
          <w:rFonts w:ascii="Arial" w:hAnsi="Arial" w:cs="Arial"/>
        </w:rPr>
        <w:t xml:space="preserve">Figure </w:t>
      </w:r>
      <w:r w:rsidR="006709B5">
        <w:rPr>
          <w:rFonts w:ascii="Arial" w:hAnsi="Arial" w:cs="Arial"/>
          <w:noProof/>
        </w:rPr>
        <w:t>12</w:t>
      </w:r>
      <w:r w:rsidRPr="00B62C96">
        <w:rPr>
          <w:rFonts w:ascii="Arial" w:hAnsi="Arial" w:cs="Arial"/>
        </w:rPr>
        <w:fldChar w:fldCharType="end"/>
      </w:r>
      <w:r w:rsidRPr="00B62C96">
        <w:rPr>
          <w:rFonts w:ascii="Arial" w:hAnsi="Arial" w:cs="Arial"/>
        </w:rPr>
        <w:t xml:space="preserve"> provide an example of the </w:t>
      </w:r>
      <w:r w:rsidRPr="00B62C96">
        <w:rPr>
          <w:rStyle w:val="AERtextbold"/>
          <w:rFonts w:ascii="Arial" w:hAnsi="Arial" w:cs="Arial"/>
        </w:rPr>
        <w:t>Forecast revenues</w:t>
      </w:r>
      <w:r w:rsidRPr="00B62C96">
        <w:rPr>
          <w:rFonts w:ascii="Arial" w:hAnsi="Arial" w:cs="Arial"/>
        </w:rPr>
        <w:t xml:space="preserve"> sheet.</w:t>
      </w:r>
    </w:p>
    <w:p w:rsidR="008270B1" w:rsidRPr="00B62C96" w:rsidRDefault="008270B1" w:rsidP="008270B1">
      <w:pPr>
        <w:pStyle w:val="Caption"/>
        <w:rPr>
          <w:rFonts w:ascii="Arial" w:hAnsi="Arial" w:cs="Arial"/>
        </w:rPr>
      </w:pPr>
      <w:bookmarkStart w:id="102" w:name="_Ref398281786"/>
      <w:r w:rsidRPr="00B62C96">
        <w:rPr>
          <w:rFonts w:ascii="Arial" w:hAnsi="Arial" w:cs="Arial"/>
        </w:rPr>
        <w:t xml:space="preserve">Figure </w:t>
      </w:r>
      <w:r w:rsidRPr="00B62C96">
        <w:rPr>
          <w:rFonts w:ascii="Arial" w:hAnsi="Arial" w:cs="Arial"/>
        </w:rPr>
        <w:fldChar w:fldCharType="begin"/>
      </w:r>
      <w:r w:rsidRPr="00B62C96">
        <w:rPr>
          <w:rFonts w:ascii="Arial" w:hAnsi="Arial" w:cs="Arial"/>
        </w:rPr>
        <w:instrText xml:space="preserve"> SEQ Figure \* ARABIC </w:instrText>
      </w:r>
      <w:r w:rsidRPr="00B62C96">
        <w:rPr>
          <w:rFonts w:ascii="Arial" w:hAnsi="Arial" w:cs="Arial"/>
        </w:rPr>
        <w:fldChar w:fldCharType="separate"/>
      </w:r>
      <w:r w:rsidR="006709B5">
        <w:rPr>
          <w:rFonts w:ascii="Arial" w:hAnsi="Arial" w:cs="Arial"/>
          <w:noProof/>
        </w:rPr>
        <w:t>11</w:t>
      </w:r>
      <w:r w:rsidRPr="00B62C96">
        <w:rPr>
          <w:rFonts w:ascii="Arial" w:hAnsi="Arial" w:cs="Arial"/>
          <w:noProof/>
        </w:rPr>
        <w:fldChar w:fldCharType="end"/>
      </w:r>
      <w:bookmarkEnd w:id="102"/>
      <w:r w:rsidRPr="00B62C96">
        <w:rPr>
          <w:rFonts w:ascii="Arial" w:hAnsi="Arial" w:cs="Arial"/>
        </w:rPr>
        <w:tab/>
        <w:t>Forecast revenues sheet–first screenshot</w:t>
      </w:r>
    </w:p>
    <w:p w:rsidR="008270B1" w:rsidRPr="00B62C96" w:rsidRDefault="0071749B" w:rsidP="008270B1">
      <w:pPr>
        <w:pStyle w:val="AERbodytext"/>
        <w:numPr>
          <w:ilvl w:val="0"/>
          <w:numId w:val="9"/>
        </w:numPr>
        <w:rPr>
          <w:rFonts w:ascii="Arial" w:hAnsi="Arial" w:cs="Arial"/>
        </w:rPr>
      </w:pPr>
      <w:r>
        <w:rPr>
          <w:noProof/>
          <w:lang w:eastAsia="en-AU"/>
        </w:rPr>
        <w:drawing>
          <wp:inline distT="0" distB="0" distL="0" distR="0" wp14:anchorId="13D61482" wp14:editId="16DD8643">
            <wp:extent cx="5731510" cy="434088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4340884"/>
                    </a:xfrm>
                    <a:prstGeom prst="rect">
                      <a:avLst/>
                    </a:prstGeom>
                  </pic:spPr>
                </pic:pic>
              </a:graphicData>
            </a:graphic>
          </wp:inline>
        </w:drawing>
      </w:r>
    </w:p>
    <w:p w:rsidR="008270B1" w:rsidRPr="00B62C96" w:rsidRDefault="008270B1" w:rsidP="008270B1">
      <w:pPr>
        <w:pStyle w:val="Caption"/>
        <w:rPr>
          <w:rFonts w:ascii="Arial" w:hAnsi="Arial" w:cs="Arial"/>
        </w:rPr>
      </w:pPr>
      <w:bookmarkStart w:id="103" w:name="_Ref398298450"/>
      <w:r w:rsidRPr="00B62C96">
        <w:rPr>
          <w:rFonts w:ascii="Arial" w:hAnsi="Arial" w:cs="Arial"/>
        </w:rPr>
        <w:lastRenderedPageBreak/>
        <w:t xml:space="preserve">Figure </w:t>
      </w:r>
      <w:r w:rsidRPr="00B62C96">
        <w:rPr>
          <w:rFonts w:ascii="Arial" w:hAnsi="Arial" w:cs="Arial"/>
        </w:rPr>
        <w:fldChar w:fldCharType="begin"/>
      </w:r>
      <w:r w:rsidRPr="00B62C96">
        <w:rPr>
          <w:rFonts w:ascii="Arial" w:hAnsi="Arial" w:cs="Arial"/>
        </w:rPr>
        <w:instrText xml:space="preserve"> SEQ Figure \* ARABIC </w:instrText>
      </w:r>
      <w:r w:rsidRPr="00B62C96">
        <w:rPr>
          <w:rFonts w:ascii="Arial" w:hAnsi="Arial" w:cs="Arial"/>
        </w:rPr>
        <w:fldChar w:fldCharType="separate"/>
      </w:r>
      <w:r w:rsidR="006709B5">
        <w:rPr>
          <w:rFonts w:ascii="Arial" w:hAnsi="Arial" w:cs="Arial"/>
          <w:noProof/>
        </w:rPr>
        <w:t>12</w:t>
      </w:r>
      <w:r w:rsidRPr="00B62C96">
        <w:rPr>
          <w:rFonts w:ascii="Arial" w:hAnsi="Arial" w:cs="Arial"/>
          <w:noProof/>
        </w:rPr>
        <w:fldChar w:fldCharType="end"/>
      </w:r>
      <w:bookmarkEnd w:id="103"/>
      <w:r w:rsidRPr="00B62C96">
        <w:rPr>
          <w:rFonts w:ascii="Arial" w:hAnsi="Arial" w:cs="Arial"/>
        </w:rPr>
        <w:tab/>
        <w:t>Forecast revenues sheet–second screenshot</w:t>
      </w:r>
    </w:p>
    <w:p w:rsidR="008270B1" w:rsidRPr="00B62C96" w:rsidRDefault="0071749B" w:rsidP="008270B1">
      <w:pPr>
        <w:pStyle w:val="AERbodytext"/>
        <w:numPr>
          <w:ilvl w:val="0"/>
          <w:numId w:val="9"/>
        </w:numPr>
        <w:rPr>
          <w:rFonts w:ascii="Arial" w:hAnsi="Arial" w:cs="Arial"/>
        </w:rPr>
      </w:pPr>
      <w:r>
        <w:rPr>
          <w:noProof/>
          <w:lang w:eastAsia="en-AU"/>
        </w:rPr>
        <w:drawing>
          <wp:inline distT="0" distB="0" distL="0" distR="0" wp14:anchorId="4B74734F" wp14:editId="4D7875AA">
            <wp:extent cx="5731510" cy="641182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31510" cy="6411821"/>
                    </a:xfrm>
                    <a:prstGeom prst="rect">
                      <a:avLst/>
                    </a:prstGeom>
                  </pic:spPr>
                </pic:pic>
              </a:graphicData>
            </a:graphic>
          </wp:inline>
        </w:drawing>
      </w:r>
    </w:p>
    <w:p w:rsidR="008270B1" w:rsidRPr="00B62C96" w:rsidRDefault="008270B1" w:rsidP="00B62C96">
      <w:pPr>
        <w:pStyle w:val="Heading2"/>
        <w:numPr>
          <w:ilvl w:val="2"/>
          <w:numId w:val="10"/>
        </w:numPr>
        <w:rPr>
          <w:rFonts w:ascii="Arial" w:hAnsi="Arial" w:cs="Arial"/>
        </w:rPr>
      </w:pPr>
      <w:bookmarkStart w:id="104" w:name="_Toc399339685"/>
      <w:bookmarkStart w:id="105" w:name="_Toc409709125"/>
      <w:bookmarkStart w:id="106" w:name="_Toc410224091"/>
      <w:r w:rsidRPr="00B62C96">
        <w:rPr>
          <w:rFonts w:ascii="Arial" w:hAnsi="Arial" w:cs="Arial"/>
        </w:rPr>
        <w:t>X factors sheet</w:t>
      </w:r>
      <w:bookmarkEnd w:id="104"/>
      <w:bookmarkEnd w:id="105"/>
      <w:bookmarkEnd w:id="106"/>
    </w:p>
    <w:p w:rsidR="008270B1" w:rsidRPr="00B62C96" w:rsidRDefault="008270B1" w:rsidP="008270B1">
      <w:pPr>
        <w:pStyle w:val="AERbodytext"/>
        <w:numPr>
          <w:ilvl w:val="0"/>
          <w:numId w:val="9"/>
        </w:numPr>
        <w:rPr>
          <w:rFonts w:ascii="Arial" w:hAnsi="Arial" w:cs="Arial"/>
        </w:rPr>
      </w:pPr>
      <w:r w:rsidRPr="00B62C96">
        <w:rPr>
          <w:rFonts w:ascii="Arial" w:hAnsi="Arial" w:cs="Arial"/>
        </w:rPr>
        <w:t xml:space="preserve">The </w:t>
      </w:r>
      <w:r w:rsidRPr="00B62C96">
        <w:rPr>
          <w:rStyle w:val="AERtextbold"/>
          <w:rFonts w:ascii="Arial" w:hAnsi="Arial" w:cs="Arial"/>
        </w:rPr>
        <w:t>X factors</w:t>
      </w:r>
      <w:r w:rsidRPr="00B62C96">
        <w:rPr>
          <w:rFonts w:ascii="Arial" w:hAnsi="Arial" w:cs="Arial"/>
        </w:rPr>
        <w:t xml:space="preserve"> sheet reflects the requirements of clause 6.2.6 and 6.5.9 regarding the setting of X</w:t>
      </w:r>
      <w:r w:rsidR="006737A5" w:rsidRPr="00B62C96">
        <w:rPr>
          <w:rFonts w:ascii="Arial" w:hAnsi="Arial" w:cs="Arial"/>
        </w:rPr>
        <w:t> </w:t>
      </w:r>
      <w:r w:rsidRPr="00B62C96">
        <w:rPr>
          <w:rFonts w:ascii="Arial" w:hAnsi="Arial" w:cs="Arial"/>
        </w:rPr>
        <w:t>factors, namely, that they are to comprise part of the CPI–X constraint on direct control services, and that they must be set such that the following conditions are met:</w:t>
      </w:r>
    </w:p>
    <w:p w:rsidR="008270B1" w:rsidRPr="00B62C96" w:rsidRDefault="008270B1" w:rsidP="005C3CBC">
      <w:pPr>
        <w:pStyle w:val="AERbulletlistfirststyle"/>
        <w:ind w:left="426" w:hanging="426"/>
        <w:rPr>
          <w:rFonts w:ascii="Arial" w:hAnsi="Arial" w:cs="Arial"/>
        </w:rPr>
      </w:pPr>
      <w:r w:rsidRPr="00B62C96">
        <w:rPr>
          <w:rFonts w:ascii="Arial" w:hAnsi="Arial" w:cs="Arial"/>
        </w:rPr>
        <w:t>the ARR and forecast expected revenues are to be equal in NPV terms</w:t>
      </w:r>
    </w:p>
    <w:p w:rsidR="008270B1" w:rsidRPr="00B62C96" w:rsidRDefault="008270B1" w:rsidP="005C3CBC">
      <w:pPr>
        <w:pStyle w:val="AERbulletlistfirststyle"/>
        <w:tabs>
          <w:tab w:val="clear" w:pos="357"/>
          <w:tab w:val="left" w:pos="426"/>
        </w:tabs>
        <w:ind w:left="426" w:hanging="426"/>
        <w:rPr>
          <w:rFonts w:ascii="Arial" w:hAnsi="Arial" w:cs="Arial"/>
        </w:rPr>
      </w:pPr>
      <w:proofErr w:type="gramStart"/>
      <w:r w:rsidRPr="00B62C96">
        <w:rPr>
          <w:rFonts w:ascii="Arial" w:hAnsi="Arial" w:cs="Arial"/>
        </w:rPr>
        <w:lastRenderedPageBreak/>
        <w:t>the</w:t>
      </w:r>
      <w:proofErr w:type="gramEnd"/>
      <w:r w:rsidRPr="00B62C96">
        <w:rPr>
          <w:rFonts w:ascii="Arial" w:hAnsi="Arial" w:cs="Arial"/>
        </w:rPr>
        <w:t xml:space="preserve"> value of expected revenue and the ARR in the final regulatory year of the period must be as close as reasonably possible.</w:t>
      </w:r>
      <w:r w:rsidRPr="00B62C96">
        <w:rPr>
          <w:rStyle w:val="FootnoteReference"/>
          <w:rFonts w:ascii="Arial" w:hAnsi="Arial" w:cs="Arial"/>
        </w:rPr>
        <w:footnoteReference w:id="20"/>
      </w:r>
    </w:p>
    <w:p w:rsidR="008270B1" w:rsidRPr="00B62C96" w:rsidRDefault="008270B1" w:rsidP="008270B1">
      <w:pPr>
        <w:pStyle w:val="AERbodytext"/>
        <w:numPr>
          <w:ilvl w:val="0"/>
          <w:numId w:val="9"/>
        </w:numPr>
        <w:rPr>
          <w:rFonts w:ascii="Arial" w:hAnsi="Arial" w:cs="Arial"/>
        </w:rPr>
      </w:pPr>
      <w:r w:rsidRPr="00B62C96">
        <w:rPr>
          <w:rFonts w:ascii="Arial" w:hAnsi="Arial" w:cs="Arial"/>
        </w:rPr>
        <w:t xml:space="preserve">DNSPs must propose X factors in submitting a completed PTRM with its building block proposal in accordance with clause </w:t>
      </w:r>
      <w:proofErr w:type="gramStart"/>
      <w:r w:rsidRPr="00B62C96">
        <w:rPr>
          <w:rFonts w:ascii="Arial" w:hAnsi="Arial" w:cs="Arial"/>
        </w:rPr>
        <w:t>S6.1.3(</w:t>
      </w:r>
      <w:proofErr w:type="gramEnd"/>
      <w:r w:rsidRPr="00B62C96">
        <w:rPr>
          <w:rFonts w:ascii="Arial" w:hAnsi="Arial" w:cs="Arial"/>
        </w:rPr>
        <w:t>6) of the NER. The AER will assess this in accordance with the provisions listed above, but may also consider other relevant factors such as price stability, cash-flow adequacy and longer term pricing goals.</w:t>
      </w:r>
    </w:p>
    <w:p w:rsidR="008270B1" w:rsidRPr="00B62C96" w:rsidRDefault="008270B1" w:rsidP="008270B1">
      <w:pPr>
        <w:pStyle w:val="AERbodytext"/>
        <w:numPr>
          <w:ilvl w:val="0"/>
          <w:numId w:val="9"/>
        </w:numPr>
        <w:rPr>
          <w:rFonts w:ascii="Arial" w:hAnsi="Arial" w:cs="Arial"/>
        </w:rPr>
      </w:pPr>
      <w:r w:rsidRPr="00B62C96">
        <w:rPr>
          <w:rFonts w:ascii="Arial" w:hAnsi="Arial" w:cs="Arial"/>
        </w:rPr>
        <w:t>The PTRM provides for X factor calculations (usually called 'smoothing') under three basic forms of control, namely a WAPC, revenue cap and revenue yield cap. Through these calculations the X factor is simply a price or revenue adjustment mechanism. It does not relate to actual productivity improvements in the operations of a DNSP. However, this does not mean that the AER ignores productivity improvements when assessing a DNSP’s building block proposal. Instead, the AER includes any expectation of productivity gains directly into the forecasts of costs.</w:t>
      </w:r>
    </w:p>
    <w:p w:rsidR="008270B1" w:rsidRPr="00C4660C" w:rsidRDefault="008270B1" w:rsidP="008270B1">
      <w:pPr>
        <w:pStyle w:val="AERbodytext"/>
        <w:numPr>
          <w:ilvl w:val="0"/>
          <w:numId w:val="9"/>
        </w:numPr>
        <w:rPr>
          <w:rFonts w:ascii="Arial" w:hAnsi="Arial" w:cs="Arial"/>
        </w:rPr>
      </w:pPr>
      <w:r w:rsidRPr="00C4660C">
        <w:rPr>
          <w:rFonts w:ascii="Arial" w:hAnsi="Arial" w:cs="Arial"/>
        </w:rPr>
        <w:t>When smoothing across the regulatory control period, it is necessary to iteratively update equity raising costs as well. This is because the estimate of equity raising costs is dependent on the smoothed revenue (expected revenue) profile, but in turn the expected revenue is dependent on the estimate of equity raising costs. Hence, there are a number of macros built into the PTRM which jointly smooth revenues while iteratively updating equity raising costs. It is possible to stop the automatic updating of equity raising costs using the drop down menu in cell H16.</w:t>
      </w:r>
    </w:p>
    <w:p w:rsidR="008270B1" w:rsidRPr="00C4660C" w:rsidRDefault="008270B1" w:rsidP="008270B1">
      <w:pPr>
        <w:pStyle w:val="AERbodytext"/>
        <w:numPr>
          <w:ilvl w:val="0"/>
          <w:numId w:val="9"/>
        </w:numPr>
        <w:rPr>
          <w:rFonts w:ascii="Arial" w:hAnsi="Arial" w:cs="Arial"/>
        </w:rPr>
      </w:pPr>
      <w:r w:rsidRPr="00C4660C">
        <w:rPr>
          <w:rFonts w:ascii="Arial" w:hAnsi="Arial" w:cs="Arial"/>
        </w:rPr>
        <w:t>Across each of the three forms of control (WAPC, revenue cap or revenue yield cap) there are two basic types of smoothing operation:</w:t>
      </w:r>
    </w:p>
    <w:p w:rsidR="008270B1" w:rsidRPr="00C4660C" w:rsidRDefault="008270B1" w:rsidP="005C3CBC">
      <w:pPr>
        <w:pStyle w:val="AERbulletlistfirststyle"/>
        <w:tabs>
          <w:tab w:val="clear" w:pos="357"/>
          <w:tab w:val="left" w:pos="426"/>
        </w:tabs>
        <w:ind w:left="426" w:hanging="426"/>
        <w:rPr>
          <w:rFonts w:ascii="Arial" w:hAnsi="Arial" w:cs="Arial"/>
        </w:rPr>
      </w:pPr>
      <w:r w:rsidRPr="00C4660C">
        <w:rPr>
          <w:rFonts w:ascii="Arial" w:hAnsi="Arial" w:cs="Arial"/>
        </w:rPr>
        <w:t>Select the 'Apply default smoothing' button that changes all X factors. This default path first entails setting the expected revenue (calculated using the relevant form of control) for the first year equal to the ARR for that year (this will show as a change to the X factor in year 1, sometimes referred to as P0). Next, the macro calculates the single (constant) X factor which can be applied to all remaining years of the next regulatory control period so that the NPVs of smoothed revenue (expected revenue) and unsmoothed revenue (ARR) across the entire period are equal. Equity raising costs will be updated as well.</w:t>
      </w:r>
    </w:p>
    <w:p w:rsidR="008270B1" w:rsidRPr="00C4660C" w:rsidRDefault="008270B1" w:rsidP="005C3CBC">
      <w:pPr>
        <w:pStyle w:val="AERbulletlistfirststyle"/>
        <w:tabs>
          <w:tab w:val="clear" w:pos="357"/>
          <w:tab w:val="left" w:pos="426"/>
        </w:tabs>
        <w:ind w:left="426" w:hanging="426"/>
        <w:rPr>
          <w:rFonts w:ascii="Arial" w:hAnsi="Arial" w:cs="Arial"/>
        </w:rPr>
      </w:pPr>
      <w:r w:rsidRPr="00C4660C">
        <w:rPr>
          <w:rFonts w:ascii="Arial" w:hAnsi="Arial" w:cs="Arial"/>
        </w:rPr>
        <w:t>Alternatively, it might be necessary (including during the annual debt update) to adjust the X factor for a specific year only. This type of smoothing changes just one X factor so that the NPVs of smoothed revenue (expected revenue) and unsmoothed revenue (ARR) across the regulatory control period are equal.</w:t>
      </w:r>
    </w:p>
    <w:p w:rsidR="008270B1" w:rsidRPr="00C4660C" w:rsidRDefault="008270B1" w:rsidP="008270B1">
      <w:pPr>
        <w:pStyle w:val="AERbodytext"/>
        <w:numPr>
          <w:ilvl w:val="0"/>
          <w:numId w:val="9"/>
        </w:numPr>
        <w:rPr>
          <w:rFonts w:ascii="Arial" w:hAnsi="Arial" w:cs="Arial"/>
        </w:rPr>
      </w:pPr>
      <w:r w:rsidRPr="00C4660C">
        <w:rPr>
          <w:rFonts w:ascii="Arial" w:hAnsi="Arial" w:cs="Arial"/>
        </w:rPr>
        <w:t>In both cases, equity raising costs will be iteratively updated while smoothing (unless this default option is turned off, as noted above).</w:t>
      </w:r>
    </w:p>
    <w:p w:rsidR="008270B1" w:rsidRPr="00C4660C" w:rsidRDefault="008270B1" w:rsidP="008270B1">
      <w:pPr>
        <w:pStyle w:val="AERbodytext"/>
        <w:numPr>
          <w:ilvl w:val="0"/>
          <w:numId w:val="9"/>
        </w:numPr>
        <w:rPr>
          <w:rFonts w:ascii="Arial" w:hAnsi="Arial" w:cs="Arial"/>
        </w:rPr>
      </w:pPr>
      <w:r w:rsidRPr="00C4660C">
        <w:rPr>
          <w:rFonts w:ascii="Arial" w:hAnsi="Arial" w:cs="Arial"/>
        </w:rPr>
        <w:t xml:space="preserve">The WACC (row 7), values of forecast inflation rates (row 10) and building block </w:t>
      </w:r>
      <w:r w:rsidR="006737A5" w:rsidRPr="00C4660C">
        <w:rPr>
          <w:rFonts w:ascii="Arial" w:hAnsi="Arial" w:cs="Arial"/>
        </w:rPr>
        <w:t>ARR</w:t>
      </w:r>
      <w:r w:rsidRPr="00C4660C">
        <w:rPr>
          <w:rFonts w:ascii="Arial" w:hAnsi="Arial" w:cs="Arial"/>
        </w:rPr>
        <w:t xml:space="preserve"> (rows 30 to 35) are sourced from other sections of the model and are used for the calculations in all three forms of control. All NPV calculations in this sheet now reflect the time varying WACC (row 7) which arises as a result of the return on debt (potentially) varying each year. The cumulative discount rate is </w:t>
      </w:r>
      <w:r w:rsidRPr="00C4660C">
        <w:rPr>
          <w:rFonts w:ascii="Arial" w:hAnsi="Arial" w:cs="Arial"/>
        </w:rPr>
        <w:lastRenderedPageBreak/>
        <w:t>calculated in row 8. When the return on debt is updated within the regulatory control period, these discount rates will change as a result, and so too will the NPV of the ARR and expected revenue.</w:t>
      </w:r>
      <w:r w:rsidRPr="00C4660C">
        <w:rPr>
          <w:rFonts w:ascii="Arial" w:hAnsi="Arial" w:cs="Arial"/>
          <w:vertAlign w:val="superscript"/>
        </w:rPr>
        <w:footnoteReference w:id="21"/>
      </w:r>
    </w:p>
    <w:p w:rsidR="008270B1" w:rsidRPr="00C4660C" w:rsidRDefault="008270B1" w:rsidP="008270B1">
      <w:pPr>
        <w:pStyle w:val="AERbodytext"/>
        <w:numPr>
          <w:ilvl w:val="0"/>
          <w:numId w:val="9"/>
        </w:numPr>
        <w:rPr>
          <w:rFonts w:ascii="Arial" w:hAnsi="Arial" w:cs="Arial"/>
        </w:rPr>
      </w:pPr>
      <w:r w:rsidRPr="00C4660C">
        <w:rPr>
          <w:rFonts w:ascii="Arial" w:hAnsi="Arial" w:cs="Arial"/>
        </w:rPr>
        <w:t xml:space="preserve">The process for annually updating the return on debt is described further in chapter 3. There is a drop down menu in cell F21 which allows the user to input the year of the annual return on debt update. This drop down menu will not affect underlying calculations, but instead drives the presentation of content-sensitive help in this sheet (and in the </w:t>
      </w:r>
      <w:r w:rsidRPr="00C4660C">
        <w:rPr>
          <w:rFonts w:ascii="Arial" w:hAnsi="Arial" w:cs="Arial"/>
          <w:b/>
        </w:rPr>
        <w:t xml:space="preserve">Input </w:t>
      </w:r>
      <w:r w:rsidRPr="00C4660C">
        <w:rPr>
          <w:rFonts w:ascii="Arial" w:hAnsi="Arial" w:cs="Arial"/>
        </w:rPr>
        <w:t>sheet). Rows 23 to 26, 51, 67 and 87, will display caution notes/guidance based on logical tests of the PTRM.</w:t>
      </w:r>
    </w:p>
    <w:p w:rsidR="008270B1" w:rsidRPr="00C4660C" w:rsidRDefault="008270B1" w:rsidP="008270B1">
      <w:pPr>
        <w:pStyle w:val="HeadingBoldBlue"/>
        <w:numPr>
          <w:ilvl w:val="0"/>
          <w:numId w:val="9"/>
        </w:numPr>
        <w:rPr>
          <w:rFonts w:ascii="Arial" w:hAnsi="Arial" w:cs="Arial"/>
        </w:rPr>
      </w:pPr>
      <w:r w:rsidRPr="00C4660C">
        <w:rPr>
          <w:rFonts w:ascii="Arial" w:hAnsi="Arial" w:cs="Arial"/>
        </w:rPr>
        <w:t>X factors under a price cap</w:t>
      </w:r>
    </w:p>
    <w:p w:rsidR="008270B1" w:rsidRPr="00C4660C" w:rsidRDefault="008270B1" w:rsidP="008270B1">
      <w:pPr>
        <w:pStyle w:val="AERbodytext"/>
        <w:numPr>
          <w:ilvl w:val="0"/>
          <w:numId w:val="9"/>
        </w:numPr>
        <w:rPr>
          <w:rFonts w:ascii="Arial" w:hAnsi="Arial" w:cs="Arial"/>
        </w:rPr>
      </w:pPr>
      <w:r w:rsidRPr="00C4660C">
        <w:rPr>
          <w:rFonts w:ascii="Arial" w:hAnsi="Arial" w:cs="Arial"/>
        </w:rPr>
        <w:t xml:space="preserve">Under the WAPC form of control, row 47 provides the inputs for the profile of X factors. These are used along with the expected inflation rate to escalate prices in the </w:t>
      </w:r>
      <w:r w:rsidRPr="00C4660C">
        <w:rPr>
          <w:rFonts w:ascii="Arial" w:hAnsi="Arial" w:cs="Arial"/>
          <w:b/>
        </w:rPr>
        <w:t>Forecast revenues</w:t>
      </w:r>
      <w:r w:rsidRPr="00C4660C">
        <w:rPr>
          <w:rFonts w:ascii="Arial" w:hAnsi="Arial" w:cs="Arial"/>
        </w:rPr>
        <w:t xml:space="preserve"> sheet and derive the forecast smoothed expected revenues which are listed in row 44. Revenue can be smoothed using the buttons at rows 49 to 50, either by applying the default smoothing approach (changing all X factors as described above) or changing a single specific year's X factor. Smoothing operations will equate the NPV of the forecast expected revenue (cell R44) and the NPV of the ARR (cell R39). </w:t>
      </w:r>
    </w:p>
    <w:p w:rsidR="008270B1" w:rsidRPr="00C4660C" w:rsidRDefault="008270B1" w:rsidP="008270B1">
      <w:pPr>
        <w:pStyle w:val="AERbodytext"/>
        <w:numPr>
          <w:ilvl w:val="0"/>
          <w:numId w:val="9"/>
        </w:numPr>
        <w:rPr>
          <w:rFonts w:ascii="Arial" w:hAnsi="Arial" w:cs="Arial"/>
        </w:rPr>
      </w:pPr>
      <w:r w:rsidRPr="00C4660C">
        <w:rPr>
          <w:rFonts w:ascii="Arial" w:hAnsi="Arial" w:cs="Arial"/>
        </w:rPr>
        <w:t>The difference between the values of the ARR and forecast expected revenue for the final year of the regulatory control period is listed in cells R41 (nominal dollars) and R42 (percentage of unsmoothed revenue).</w:t>
      </w:r>
    </w:p>
    <w:p w:rsidR="008270B1" w:rsidRPr="00C4660C" w:rsidRDefault="008270B1" w:rsidP="008270B1">
      <w:pPr>
        <w:pStyle w:val="HeadingBoldBlue"/>
        <w:numPr>
          <w:ilvl w:val="0"/>
          <w:numId w:val="9"/>
        </w:numPr>
        <w:rPr>
          <w:rFonts w:ascii="Arial" w:hAnsi="Arial" w:cs="Arial"/>
        </w:rPr>
      </w:pPr>
      <w:r w:rsidRPr="00C4660C">
        <w:rPr>
          <w:rFonts w:ascii="Arial" w:hAnsi="Arial" w:cs="Arial"/>
        </w:rPr>
        <w:t>X factors under a revenue cap</w:t>
      </w:r>
    </w:p>
    <w:p w:rsidR="008270B1" w:rsidRPr="00C4660C" w:rsidRDefault="008270B1" w:rsidP="008270B1">
      <w:pPr>
        <w:pStyle w:val="AERbodytext"/>
        <w:numPr>
          <w:ilvl w:val="0"/>
          <w:numId w:val="9"/>
        </w:numPr>
        <w:rPr>
          <w:rFonts w:ascii="Arial" w:hAnsi="Arial" w:cs="Arial"/>
        </w:rPr>
      </w:pPr>
      <w:r w:rsidRPr="00C4660C">
        <w:rPr>
          <w:rFonts w:ascii="Arial" w:hAnsi="Arial" w:cs="Arial"/>
        </w:rPr>
        <w:t>Under the revenue cap form of control, row 63 provides the inputs for the profile of X factors. These are used, along with the expected inflation rate, to derive the nominal smoothed expected revenue for each regulatory year of the regulatory control period in row 60. The value of the expected revenue is escalated directly by CPI–X. Revenue can be smoothed using the buttons at rows 65 to 66, either by applying the default smoothing approach (changing all X factors as described above) or changing a single specific year's X factor. Smoothing operations will equate the NPV of the forecast expected revenue (cell R60) and the NPV of the ARR (cell R55).</w:t>
      </w:r>
    </w:p>
    <w:p w:rsidR="008270B1" w:rsidRPr="00C4660C" w:rsidRDefault="008270B1" w:rsidP="008270B1">
      <w:pPr>
        <w:pStyle w:val="AERbodytext"/>
        <w:numPr>
          <w:ilvl w:val="0"/>
          <w:numId w:val="9"/>
        </w:numPr>
        <w:rPr>
          <w:rFonts w:ascii="Arial" w:hAnsi="Arial" w:cs="Arial"/>
        </w:rPr>
      </w:pPr>
      <w:r w:rsidRPr="00C4660C">
        <w:rPr>
          <w:rFonts w:ascii="Arial" w:hAnsi="Arial" w:cs="Arial"/>
        </w:rPr>
        <w:t>The difference between the values of the ARR and forecast expected revenue for the final year of the regulatory control period is listed in cells R57 (nominal dollars) and R58 (percentage of unsmoothed revenue).</w:t>
      </w:r>
    </w:p>
    <w:p w:rsidR="008270B1" w:rsidRPr="00C4660C" w:rsidRDefault="008270B1" w:rsidP="008270B1">
      <w:pPr>
        <w:pStyle w:val="HeadingBoldBlue"/>
        <w:numPr>
          <w:ilvl w:val="0"/>
          <w:numId w:val="9"/>
        </w:numPr>
        <w:rPr>
          <w:rFonts w:ascii="Arial" w:hAnsi="Arial" w:cs="Arial"/>
        </w:rPr>
      </w:pPr>
      <w:r w:rsidRPr="00C4660C">
        <w:rPr>
          <w:rFonts w:ascii="Arial" w:hAnsi="Arial" w:cs="Arial"/>
        </w:rPr>
        <w:t>X factors under a revenue yield</w:t>
      </w:r>
    </w:p>
    <w:p w:rsidR="008270B1" w:rsidRPr="00C4660C" w:rsidRDefault="008270B1" w:rsidP="008270B1">
      <w:pPr>
        <w:pStyle w:val="AERbodytext"/>
        <w:numPr>
          <w:ilvl w:val="0"/>
          <w:numId w:val="9"/>
        </w:numPr>
        <w:rPr>
          <w:rFonts w:ascii="Arial" w:hAnsi="Arial" w:cs="Arial"/>
        </w:rPr>
      </w:pPr>
      <w:r w:rsidRPr="00C4660C">
        <w:rPr>
          <w:rFonts w:ascii="Arial" w:hAnsi="Arial" w:cs="Arial"/>
        </w:rPr>
        <w:t xml:space="preserve">Under the revenue yield form of control, row 83 provides the inputs for the profile of X factors. These are used, along with the expected inflation rate, to derive a nominal revenue yield value for each regulatory year of the regulatory control period in row 78. The value of the revenue yield is multiplied by the forecast energy throughput to derive </w:t>
      </w:r>
      <w:proofErr w:type="gramStart"/>
      <w:r w:rsidRPr="00C4660C">
        <w:rPr>
          <w:rFonts w:ascii="Arial" w:hAnsi="Arial" w:cs="Arial"/>
        </w:rPr>
        <w:t>a nominal</w:t>
      </w:r>
      <w:proofErr w:type="gramEnd"/>
      <w:r w:rsidRPr="00C4660C">
        <w:rPr>
          <w:rFonts w:ascii="Arial" w:hAnsi="Arial" w:cs="Arial"/>
        </w:rPr>
        <w:t xml:space="preserve"> smoothed expected revenue for each regulatory year of the regulatory control period in row 80. Revenue can be smoothed using the buttons at row 85 to 86, either by applying the default smoothing approach (changing all X factors as described above) or changing a single specific year's X factor.</w:t>
      </w:r>
      <w:r w:rsidRPr="00C4660C" w:rsidDel="00FA1841">
        <w:rPr>
          <w:rFonts w:ascii="Arial" w:hAnsi="Arial" w:cs="Arial"/>
        </w:rPr>
        <w:t xml:space="preserve"> </w:t>
      </w:r>
      <w:r w:rsidRPr="00C4660C">
        <w:rPr>
          <w:rFonts w:ascii="Arial" w:hAnsi="Arial" w:cs="Arial"/>
        </w:rPr>
        <w:t>Smoothing operations will equate the NPV of the forecast expected revenue (cell R80) and the NPV of the ARR (cell 71).</w:t>
      </w:r>
    </w:p>
    <w:p w:rsidR="008270B1" w:rsidRPr="00C4660C" w:rsidRDefault="008270B1" w:rsidP="008270B1">
      <w:pPr>
        <w:pStyle w:val="AERbodytext"/>
        <w:numPr>
          <w:ilvl w:val="0"/>
          <w:numId w:val="9"/>
        </w:numPr>
        <w:rPr>
          <w:rFonts w:ascii="Arial" w:hAnsi="Arial" w:cs="Arial"/>
        </w:rPr>
      </w:pPr>
      <w:r w:rsidRPr="00C4660C">
        <w:rPr>
          <w:rFonts w:ascii="Arial" w:hAnsi="Arial" w:cs="Arial"/>
        </w:rPr>
        <w:lastRenderedPageBreak/>
        <w:t>The differen</w:t>
      </w:r>
      <w:bookmarkStart w:id="107" w:name="_GoBack"/>
      <w:bookmarkEnd w:id="107"/>
      <w:r w:rsidRPr="00C4660C">
        <w:rPr>
          <w:rFonts w:ascii="Arial" w:hAnsi="Arial" w:cs="Arial"/>
        </w:rPr>
        <w:t>ce between the values of the ARR and the forecast expected revenue is listed in cells R73 (nominal dollars) and R74 (percentage of unsmoothed revenue).</w:t>
      </w:r>
    </w:p>
    <w:p w:rsidR="008270B1" w:rsidRPr="00B62C96" w:rsidRDefault="00EF60D0" w:rsidP="008270B1">
      <w:pPr>
        <w:pStyle w:val="AERbodytext"/>
        <w:numPr>
          <w:ilvl w:val="0"/>
          <w:numId w:val="9"/>
        </w:numPr>
        <w:rPr>
          <w:rStyle w:val="AERtexthighlight"/>
          <w:rFonts w:ascii="Arial" w:hAnsi="Arial" w:cs="Arial"/>
          <w:shd w:val="clear" w:color="auto" w:fill="auto"/>
        </w:rPr>
      </w:pPr>
      <w:r>
        <w:rPr>
          <w:rStyle w:val="AERtexthighlight"/>
          <w:rFonts w:ascii="Arial" w:hAnsi="Arial" w:cs="Arial"/>
          <w:shd w:val="clear" w:color="auto" w:fill="auto"/>
        </w:rPr>
        <w:fldChar w:fldCharType="begin"/>
      </w:r>
      <w:r>
        <w:rPr>
          <w:rStyle w:val="AERtexthighlight"/>
          <w:rFonts w:ascii="Arial" w:hAnsi="Arial" w:cs="Arial"/>
          <w:shd w:val="clear" w:color="auto" w:fill="auto"/>
        </w:rPr>
        <w:instrText xml:space="preserve"> REF _Ref397601159 \h </w:instrText>
      </w:r>
      <w:r>
        <w:rPr>
          <w:rStyle w:val="AERtexthighlight"/>
          <w:rFonts w:ascii="Arial" w:hAnsi="Arial" w:cs="Arial"/>
          <w:shd w:val="clear" w:color="auto" w:fill="auto"/>
        </w:rPr>
      </w:r>
      <w:r>
        <w:rPr>
          <w:rStyle w:val="AERtexthighlight"/>
          <w:rFonts w:ascii="Arial" w:hAnsi="Arial" w:cs="Arial"/>
          <w:shd w:val="clear" w:color="auto" w:fill="auto"/>
        </w:rPr>
        <w:fldChar w:fldCharType="separate"/>
      </w:r>
      <w:r w:rsidR="006709B5" w:rsidRPr="00B62C96">
        <w:rPr>
          <w:rFonts w:ascii="Arial" w:hAnsi="Arial" w:cs="Arial"/>
        </w:rPr>
        <w:t xml:space="preserve">Figure </w:t>
      </w:r>
      <w:r w:rsidR="006709B5">
        <w:rPr>
          <w:rFonts w:ascii="Arial" w:hAnsi="Arial" w:cs="Arial"/>
          <w:noProof/>
        </w:rPr>
        <w:t>13</w:t>
      </w:r>
      <w:r>
        <w:rPr>
          <w:rStyle w:val="AERtexthighlight"/>
          <w:rFonts w:ascii="Arial" w:hAnsi="Arial" w:cs="Arial"/>
          <w:shd w:val="clear" w:color="auto" w:fill="auto"/>
        </w:rPr>
        <w:fldChar w:fldCharType="end"/>
      </w:r>
      <w:r>
        <w:rPr>
          <w:rStyle w:val="AERtexthighlight"/>
          <w:rFonts w:ascii="Arial" w:hAnsi="Arial" w:cs="Arial"/>
          <w:shd w:val="clear" w:color="auto" w:fill="auto"/>
        </w:rPr>
        <w:t xml:space="preserve"> </w:t>
      </w:r>
      <w:r w:rsidR="008270B1" w:rsidRPr="009B7701">
        <w:rPr>
          <w:rFonts w:ascii="Arial" w:eastAsia="Calibri" w:hAnsi="Arial" w:cs="Arial"/>
          <w:szCs w:val="20"/>
        </w:rPr>
        <w:t>a</w:t>
      </w:r>
      <w:r w:rsidR="008270B1" w:rsidRPr="00B62C96">
        <w:rPr>
          <w:rFonts w:ascii="Arial" w:eastAsia="Calibri" w:hAnsi="Arial" w:cs="Arial"/>
          <w:szCs w:val="20"/>
        </w:rPr>
        <w:t xml:space="preserve">nd </w:t>
      </w:r>
      <w:r w:rsidR="008270B1" w:rsidRPr="00B62C96">
        <w:rPr>
          <w:rFonts w:ascii="Arial" w:hAnsi="Arial" w:cs="Arial"/>
        </w:rPr>
        <w:fldChar w:fldCharType="begin"/>
      </w:r>
      <w:r w:rsidR="008270B1" w:rsidRPr="00B62C96">
        <w:rPr>
          <w:rFonts w:ascii="Arial" w:hAnsi="Arial" w:cs="Arial"/>
        </w:rPr>
        <w:instrText xml:space="preserve"> REF _Ref398539029 \h  \* MERGEFORMAT </w:instrText>
      </w:r>
      <w:r w:rsidR="008270B1" w:rsidRPr="00B62C96">
        <w:rPr>
          <w:rFonts w:ascii="Arial" w:hAnsi="Arial" w:cs="Arial"/>
        </w:rPr>
      </w:r>
      <w:r w:rsidR="008270B1" w:rsidRPr="00B62C96">
        <w:rPr>
          <w:rFonts w:ascii="Arial" w:hAnsi="Arial" w:cs="Arial"/>
        </w:rPr>
        <w:fldChar w:fldCharType="separate"/>
      </w:r>
      <w:r w:rsidR="006709B5" w:rsidRPr="00B62C96">
        <w:rPr>
          <w:rFonts w:ascii="Arial" w:hAnsi="Arial" w:cs="Arial"/>
        </w:rPr>
        <w:t xml:space="preserve">Figure </w:t>
      </w:r>
      <w:r w:rsidR="006709B5">
        <w:rPr>
          <w:rFonts w:ascii="Arial" w:hAnsi="Arial" w:cs="Arial"/>
          <w:noProof/>
        </w:rPr>
        <w:t>14</w:t>
      </w:r>
      <w:r w:rsidR="008270B1" w:rsidRPr="00B62C96">
        <w:rPr>
          <w:rFonts w:ascii="Arial" w:hAnsi="Arial" w:cs="Arial"/>
        </w:rPr>
        <w:fldChar w:fldCharType="end"/>
      </w:r>
      <w:r w:rsidR="008270B1" w:rsidRPr="00B62C96">
        <w:rPr>
          <w:rFonts w:ascii="Arial" w:hAnsi="Arial" w:cs="Arial"/>
        </w:rPr>
        <w:t xml:space="preserve"> </w:t>
      </w:r>
      <w:r w:rsidR="008270B1" w:rsidRPr="00B62C96">
        <w:rPr>
          <w:rStyle w:val="AERtexthighlight"/>
          <w:rFonts w:ascii="Arial" w:hAnsi="Arial" w:cs="Arial"/>
          <w:shd w:val="clear" w:color="auto" w:fill="auto"/>
        </w:rPr>
        <w:t>provide example</w:t>
      </w:r>
      <w:r w:rsidR="008270B1" w:rsidRPr="00B62C96">
        <w:rPr>
          <w:rStyle w:val="AERbody"/>
          <w:rFonts w:ascii="Arial" w:hAnsi="Arial" w:cs="Arial"/>
        </w:rPr>
        <w:t>s</w:t>
      </w:r>
      <w:r w:rsidR="008270B1" w:rsidRPr="00B62C96">
        <w:rPr>
          <w:rStyle w:val="AERtexthighlight"/>
          <w:rFonts w:ascii="Arial" w:hAnsi="Arial" w:cs="Arial"/>
          <w:shd w:val="clear" w:color="auto" w:fill="auto"/>
        </w:rPr>
        <w:t xml:space="preserve"> of the </w:t>
      </w:r>
      <w:r w:rsidR="008270B1" w:rsidRPr="00B62C96">
        <w:rPr>
          <w:rStyle w:val="AERtextbold"/>
          <w:rFonts w:ascii="Arial" w:eastAsia="Calibri" w:hAnsi="Arial" w:cs="Arial"/>
          <w:szCs w:val="20"/>
        </w:rPr>
        <w:t>X factor</w:t>
      </w:r>
      <w:r w:rsidR="008270B1" w:rsidRPr="00B62C96">
        <w:rPr>
          <w:rStyle w:val="AERtextbold"/>
          <w:rFonts w:ascii="Arial" w:eastAsia="Calibri" w:hAnsi="Arial" w:cs="Arial"/>
        </w:rPr>
        <w:t>s</w:t>
      </w:r>
      <w:r w:rsidR="008270B1" w:rsidRPr="00B62C96">
        <w:rPr>
          <w:rStyle w:val="AERtexthighlight"/>
          <w:rFonts w:ascii="Arial" w:hAnsi="Arial" w:cs="Arial"/>
          <w:shd w:val="clear" w:color="auto" w:fill="auto"/>
        </w:rPr>
        <w:t xml:space="preserve"> sheet.</w:t>
      </w:r>
    </w:p>
    <w:p w:rsidR="008270B1" w:rsidRPr="00B62C96" w:rsidRDefault="008270B1" w:rsidP="008270B1">
      <w:pPr>
        <w:pStyle w:val="Caption"/>
        <w:rPr>
          <w:rFonts w:ascii="Arial" w:hAnsi="Arial" w:cs="Arial"/>
        </w:rPr>
      </w:pPr>
      <w:bookmarkStart w:id="108" w:name="_Ref397601159"/>
      <w:r w:rsidRPr="00B62C96">
        <w:rPr>
          <w:rFonts w:ascii="Arial" w:hAnsi="Arial" w:cs="Arial"/>
        </w:rPr>
        <w:t xml:space="preserve">Figure </w:t>
      </w:r>
      <w:r w:rsidRPr="00B62C96">
        <w:rPr>
          <w:rFonts w:ascii="Arial" w:hAnsi="Arial" w:cs="Arial"/>
        </w:rPr>
        <w:fldChar w:fldCharType="begin"/>
      </w:r>
      <w:r w:rsidRPr="00B62C96">
        <w:rPr>
          <w:rFonts w:ascii="Arial" w:hAnsi="Arial" w:cs="Arial"/>
        </w:rPr>
        <w:instrText xml:space="preserve"> SEQ Figure \* ARABIC </w:instrText>
      </w:r>
      <w:r w:rsidRPr="00B62C96">
        <w:rPr>
          <w:rFonts w:ascii="Arial" w:hAnsi="Arial" w:cs="Arial"/>
        </w:rPr>
        <w:fldChar w:fldCharType="separate"/>
      </w:r>
      <w:r w:rsidR="006709B5">
        <w:rPr>
          <w:rFonts w:ascii="Arial" w:hAnsi="Arial" w:cs="Arial"/>
          <w:noProof/>
        </w:rPr>
        <w:t>13</w:t>
      </w:r>
      <w:r w:rsidRPr="00B62C96">
        <w:rPr>
          <w:rFonts w:ascii="Arial" w:hAnsi="Arial" w:cs="Arial"/>
          <w:noProof/>
        </w:rPr>
        <w:fldChar w:fldCharType="end"/>
      </w:r>
      <w:bookmarkEnd w:id="108"/>
      <w:r w:rsidRPr="00B62C96">
        <w:rPr>
          <w:rFonts w:ascii="Arial" w:hAnsi="Arial" w:cs="Arial"/>
        </w:rPr>
        <w:tab/>
        <w:t>X factors sheet–first screenshot</w:t>
      </w:r>
    </w:p>
    <w:p w:rsidR="008270B1" w:rsidRPr="00B62C96" w:rsidRDefault="00722A23" w:rsidP="008270B1">
      <w:pPr>
        <w:pStyle w:val="AERbodytext"/>
        <w:numPr>
          <w:ilvl w:val="0"/>
          <w:numId w:val="9"/>
        </w:numPr>
        <w:rPr>
          <w:rFonts w:ascii="Arial" w:hAnsi="Arial" w:cs="Arial"/>
        </w:rPr>
      </w:pPr>
      <w:r>
        <w:rPr>
          <w:noProof/>
          <w:lang w:eastAsia="en-AU"/>
        </w:rPr>
        <w:drawing>
          <wp:inline distT="0" distB="0" distL="0" distR="0" wp14:anchorId="2146DE0A" wp14:editId="36C0F2F6">
            <wp:extent cx="5731510" cy="397592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31510" cy="3975929"/>
                    </a:xfrm>
                    <a:prstGeom prst="rect">
                      <a:avLst/>
                    </a:prstGeom>
                  </pic:spPr>
                </pic:pic>
              </a:graphicData>
            </a:graphic>
          </wp:inline>
        </w:drawing>
      </w:r>
    </w:p>
    <w:p w:rsidR="008270B1" w:rsidRPr="00B62C96" w:rsidRDefault="008270B1" w:rsidP="008270B1">
      <w:pPr>
        <w:pStyle w:val="Caption"/>
        <w:rPr>
          <w:rFonts w:ascii="Arial" w:hAnsi="Arial" w:cs="Arial"/>
        </w:rPr>
      </w:pPr>
      <w:bookmarkStart w:id="109" w:name="_Ref398539029"/>
      <w:bookmarkStart w:id="110" w:name="_Ref398539006"/>
      <w:r w:rsidRPr="00B62C96">
        <w:rPr>
          <w:rFonts w:ascii="Arial" w:hAnsi="Arial" w:cs="Arial"/>
        </w:rPr>
        <w:t xml:space="preserve">Figure </w:t>
      </w:r>
      <w:r w:rsidRPr="00B62C96">
        <w:rPr>
          <w:rFonts w:ascii="Arial" w:hAnsi="Arial" w:cs="Arial"/>
        </w:rPr>
        <w:fldChar w:fldCharType="begin"/>
      </w:r>
      <w:r w:rsidRPr="00B62C96">
        <w:rPr>
          <w:rFonts w:ascii="Arial" w:hAnsi="Arial" w:cs="Arial"/>
        </w:rPr>
        <w:instrText xml:space="preserve"> SEQ Figure \* ARABIC </w:instrText>
      </w:r>
      <w:r w:rsidRPr="00B62C96">
        <w:rPr>
          <w:rFonts w:ascii="Arial" w:hAnsi="Arial" w:cs="Arial"/>
        </w:rPr>
        <w:fldChar w:fldCharType="separate"/>
      </w:r>
      <w:r w:rsidR="006709B5">
        <w:rPr>
          <w:rFonts w:ascii="Arial" w:hAnsi="Arial" w:cs="Arial"/>
          <w:noProof/>
        </w:rPr>
        <w:t>14</w:t>
      </w:r>
      <w:r w:rsidRPr="00B62C96">
        <w:rPr>
          <w:rFonts w:ascii="Arial" w:hAnsi="Arial" w:cs="Arial"/>
          <w:noProof/>
        </w:rPr>
        <w:fldChar w:fldCharType="end"/>
      </w:r>
      <w:bookmarkEnd w:id="109"/>
      <w:r w:rsidRPr="00B62C96">
        <w:rPr>
          <w:rFonts w:ascii="Arial" w:hAnsi="Arial" w:cs="Arial"/>
        </w:rPr>
        <w:tab/>
        <w:t>X factors sheet–second s</w:t>
      </w:r>
      <w:bookmarkEnd w:id="110"/>
      <w:r w:rsidRPr="00B62C96">
        <w:rPr>
          <w:rFonts w:ascii="Arial" w:hAnsi="Arial" w:cs="Arial"/>
        </w:rPr>
        <w:t>creenshot</w:t>
      </w:r>
    </w:p>
    <w:p w:rsidR="008270B1" w:rsidRPr="00B62C96" w:rsidRDefault="00722A23" w:rsidP="008270B1">
      <w:pPr>
        <w:pStyle w:val="AERbodytext"/>
        <w:numPr>
          <w:ilvl w:val="0"/>
          <w:numId w:val="9"/>
        </w:numPr>
        <w:rPr>
          <w:rFonts w:ascii="Arial" w:hAnsi="Arial" w:cs="Arial"/>
        </w:rPr>
      </w:pPr>
      <w:r>
        <w:rPr>
          <w:noProof/>
          <w:lang w:eastAsia="en-AU"/>
        </w:rPr>
        <w:drawing>
          <wp:inline distT="0" distB="0" distL="0" distR="0" wp14:anchorId="23358C3A" wp14:editId="58516423">
            <wp:extent cx="5731510" cy="2636127"/>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31510" cy="2636127"/>
                    </a:xfrm>
                    <a:prstGeom prst="rect">
                      <a:avLst/>
                    </a:prstGeom>
                  </pic:spPr>
                </pic:pic>
              </a:graphicData>
            </a:graphic>
          </wp:inline>
        </w:drawing>
      </w:r>
    </w:p>
    <w:p w:rsidR="008270B1" w:rsidRPr="00142F67" w:rsidRDefault="008270B1" w:rsidP="00B62C96">
      <w:pPr>
        <w:pStyle w:val="Heading2"/>
        <w:numPr>
          <w:ilvl w:val="2"/>
          <w:numId w:val="10"/>
        </w:numPr>
        <w:rPr>
          <w:rFonts w:ascii="Arial" w:hAnsi="Arial" w:cs="Arial"/>
        </w:rPr>
      </w:pPr>
      <w:bookmarkStart w:id="111" w:name="_Toc399339686"/>
      <w:bookmarkStart w:id="112" w:name="_Toc409709126"/>
      <w:bookmarkStart w:id="113" w:name="_Toc410224092"/>
      <w:r w:rsidRPr="00142F67">
        <w:rPr>
          <w:rFonts w:ascii="Arial" w:hAnsi="Arial" w:cs="Arial"/>
        </w:rPr>
        <w:lastRenderedPageBreak/>
        <w:t>Revenue summary sheet</w:t>
      </w:r>
      <w:bookmarkEnd w:id="111"/>
      <w:bookmarkEnd w:id="112"/>
      <w:bookmarkEnd w:id="113"/>
    </w:p>
    <w:p w:rsidR="008270B1" w:rsidRPr="00142F67" w:rsidRDefault="008270B1" w:rsidP="008270B1">
      <w:pPr>
        <w:pStyle w:val="AERbodytext"/>
        <w:numPr>
          <w:ilvl w:val="0"/>
          <w:numId w:val="9"/>
        </w:numPr>
        <w:rPr>
          <w:rFonts w:ascii="Arial" w:hAnsi="Arial" w:cs="Arial"/>
        </w:rPr>
      </w:pPr>
      <w:r w:rsidRPr="00142F67">
        <w:rPr>
          <w:rFonts w:ascii="Arial" w:hAnsi="Arial" w:cs="Arial"/>
        </w:rPr>
        <w:t xml:space="preserve">The </w:t>
      </w:r>
      <w:r w:rsidRPr="00142F67">
        <w:rPr>
          <w:rFonts w:ascii="Arial" w:hAnsi="Arial" w:cs="Arial"/>
          <w:b/>
        </w:rPr>
        <w:t>Revenue summary</w:t>
      </w:r>
      <w:r w:rsidRPr="00142F67">
        <w:rPr>
          <w:rFonts w:ascii="Arial" w:hAnsi="Arial" w:cs="Arial"/>
        </w:rPr>
        <w:t xml:space="preserve"> sheet outlines the various building blocks, the unsmoothed forecast revenues (or the ARR) and smoothed expected revenues for the next regulatory control period:</w:t>
      </w:r>
    </w:p>
    <w:p w:rsidR="008270B1" w:rsidRPr="00142F67" w:rsidRDefault="008270B1" w:rsidP="005C3CBC">
      <w:pPr>
        <w:pStyle w:val="AERbulletlistfirststyle"/>
        <w:tabs>
          <w:tab w:val="clear" w:pos="357"/>
          <w:tab w:val="left" w:pos="426"/>
        </w:tabs>
        <w:ind w:left="426" w:hanging="426"/>
        <w:rPr>
          <w:rFonts w:ascii="Arial" w:hAnsi="Arial" w:cs="Arial"/>
        </w:rPr>
      </w:pPr>
      <w:r w:rsidRPr="00142F67">
        <w:rPr>
          <w:rFonts w:ascii="Arial" w:hAnsi="Arial" w:cs="Arial"/>
        </w:rPr>
        <w:t>rows 7 to 12 display the building blocks in nominal dollar terms</w:t>
      </w:r>
    </w:p>
    <w:p w:rsidR="008270B1" w:rsidRPr="00142F67" w:rsidRDefault="008270B1" w:rsidP="005C3CBC">
      <w:pPr>
        <w:pStyle w:val="AERbulletlistfirststyle"/>
        <w:tabs>
          <w:tab w:val="clear" w:pos="357"/>
          <w:tab w:val="left" w:pos="426"/>
        </w:tabs>
        <w:ind w:left="426" w:hanging="426"/>
        <w:rPr>
          <w:rFonts w:ascii="Arial" w:hAnsi="Arial" w:cs="Arial"/>
        </w:rPr>
      </w:pPr>
      <w:r w:rsidRPr="00142F67">
        <w:rPr>
          <w:rFonts w:ascii="Arial" w:hAnsi="Arial" w:cs="Arial"/>
        </w:rPr>
        <w:t>rows 17 to 26 display a summary of smoothed revenue amounts in nominal dollar terms and X factors for the three forms of control</w:t>
      </w:r>
    </w:p>
    <w:p w:rsidR="008270B1" w:rsidRPr="00142F67" w:rsidRDefault="008270B1" w:rsidP="005C3CBC">
      <w:pPr>
        <w:pStyle w:val="AERbulletlistfirststyle"/>
        <w:tabs>
          <w:tab w:val="clear" w:pos="357"/>
          <w:tab w:val="left" w:pos="426"/>
        </w:tabs>
        <w:ind w:left="426" w:hanging="426"/>
        <w:rPr>
          <w:rFonts w:ascii="Arial" w:hAnsi="Arial" w:cs="Arial"/>
        </w:rPr>
      </w:pPr>
      <w:r w:rsidRPr="00142F67">
        <w:rPr>
          <w:rFonts w:ascii="Arial" w:hAnsi="Arial" w:cs="Arial"/>
        </w:rPr>
        <w:t>rows 30 to 35 display the building blocks in real dollar terms (start of year one)</w:t>
      </w:r>
    </w:p>
    <w:p w:rsidR="008270B1" w:rsidRPr="00142F67" w:rsidRDefault="008270B1" w:rsidP="005C3CBC">
      <w:pPr>
        <w:pStyle w:val="AERbulletlistfirststyle"/>
        <w:tabs>
          <w:tab w:val="clear" w:pos="357"/>
          <w:tab w:val="left" w:pos="426"/>
        </w:tabs>
        <w:ind w:left="426" w:hanging="426"/>
        <w:rPr>
          <w:rFonts w:ascii="Arial" w:hAnsi="Arial" w:cs="Arial"/>
        </w:rPr>
      </w:pPr>
      <w:proofErr w:type="gramStart"/>
      <w:r w:rsidRPr="00142F67">
        <w:rPr>
          <w:rFonts w:ascii="Arial" w:hAnsi="Arial" w:cs="Arial"/>
        </w:rPr>
        <w:t>rows</w:t>
      </w:r>
      <w:proofErr w:type="gramEnd"/>
      <w:r w:rsidRPr="00142F67">
        <w:rPr>
          <w:rFonts w:ascii="Arial" w:hAnsi="Arial" w:cs="Arial"/>
        </w:rPr>
        <w:t xml:space="preserve"> 40 to 49 display a summary of smoothed revenue amounts in real dollar terms (start of year one) and X factors for the three forms of control</w:t>
      </w:r>
      <w:r w:rsidR="005C3CBC">
        <w:rPr>
          <w:rFonts w:ascii="Arial" w:hAnsi="Arial" w:cs="Arial"/>
        </w:rPr>
        <w:t>.</w:t>
      </w:r>
    </w:p>
    <w:p w:rsidR="008270B1" w:rsidRPr="00142F67" w:rsidRDefault="008270B1" w:rsidP="008270B1">
      <w:pPr>
        <w:pStyle w:val="AERbodytext"/>
        <w:numPr>
          <w:ilvl w:val="0"/>
          <w:numId w:val="9"/>
        </w:numPr>
        <w:rPr>
          <w:rFonts w:ascii="Arial" w:hAnsi="Arial" w:cs="Arial"/>
        </w:rPr>
      </w:pPr>
      <w:r w:rsidRPr="00142F67">
        <w:rPr>
          <w:rFonts w:ascii="Arial" w:hAnsi="Arial" w:cs="Arial"/>
        </w:rPr>
        <w:t xml:space="preserve">The </w:t>
      </w:r>
      <w:r w:rsidR="0076407F">
        <w:rPr>
          <w:rFonts w:ascii="Arial" w:hAnsi="Arial" w:cs="Arial"/>
        </w:rPr>
        <w:t>price path a</w:t>
      </w:r>
      <w:r w:rsidRPr="0076407F">
        <w:rPr>
          <w:rFonts w:ascii="Arial" w:hAnsi="Arial" w:cs="Arial"/>
        </w:rPr>
        <w:t>nalysis</w:t>
      </w:r>
      <w:r w:rsidRPr="00142F67">
        <w:rPr>
          <w:rFonts w:ascii="Arial" w:hAnsi="Arial" w:cs="Arial"/>
        </w:rPr>
        <w:t xml:space="preserve"> section presents summary values for the forecast price path, which in broad terms is the forecast revenue divided by forecast demand:</w:t>
      </w:r>
    </w:p>
    <w:p w:rsidR="008270B1" w:rsidRPr="00142F67" w:rsidRDefault="008270B1" w:rsidP="005C3CBC">
      <w:pPr>
        <w:pStyle w:val="AERbulletlistfirststyle"/>
        <w:tabs>
          <w:tab w:val="clear" w:pos="357"/>
          <w:tab w:val="left" w:pos="426"/>
        </w:tabs>
        <w:ind w:left="426" w:hanging="426"/>
        <w:rPr>
          <w:rFonts w:ascii="Arial" w:hAnsi="Arial" w:cs="Arial"/>
        </w:rPr>
      </w:pPr>
      <w:r w:rsidRPr="00142F67">
        <w:rPr>
          <w:rFonts w:ascii="Arial" w:hAnsi="Arial" w:cs="Arial"/>
        </w:rPr>
        <w:t>rows 53 and 78 display the DNSP’s forecast energy for the regulatory control period</w:t>
      </w:r>
    </w:p>
    <w:p w:rsidR="008270B1" w:rsidRPr="00142F67" w:rsidRDefault="008270B1" w:rsidP="005C3CBC">
      <w:pPr>
        <w:pStyle w:val="AERbulletlistfirststyle"/>
        <w:tabs>
          <w:tab w:val="clear" w:pos="357"/>
          <w:tab w:val="left" w:pos="426"/>
        </w:tabs>
        <w:ind w:left="426" w:hanging="426"/>
        <w:rPr>
          <w:rFonts w:ascii="Arial" w:hAnsi="Arial" w:cs="Arial"/>
        </w:rPr>
      </w:pPr>
      <w:r w:rsidRPr="00142F67">
        <w:rPr>
          <w:rFonts w:ascii="Arial" w:hAnsi="Arial" w:cs="Arial"/>
        </w:rPr>
        <w:t>rows 56 to 74 use the expected revenues for the three forms of control to calculate indicative revenue and price paths in nominal dollar terms</w:t>
      </w:r>
    </w:p>
    <w:p w:rsidR="008270B1" w:rsidRPr="00142F67" w:rsidRDefault="008270B1" w:rsidP="005C3CBC">
      <w:pPr>
        <w:pStyle w:val="AERbulletlistfirststyle"/>
        <w:tabs>
          <w:tab w:val="clear" w:pos="357"/>
          <w:tab w:val="left" w:pos="426"/>
        </w:tabs>
        <w:ind w:left="426" w:hanging="426"/>
        <w:rPr>
          <w:rFonts w:ascii="Arial" w:hAnsi="Arial" w:cs="Arial"/>
        </w:rPr>
      </w:pPr>
      <w:r w:rsidRPr="00142F67">
        <w:rPr>
          <w:rFonts w:ascii="Arial" w:hAnsi="Arial" w:cs="Arial"/>
        </w:rPr>
        <w:t>rows 81 to 99 use the expected revenues for the three forms of control and calculate indicative revenue and price paths in real dollar terms (start of year one).</w:t>
      </w:r>
    </w:p>
    <w:p w:rsidR="008270B1" w:rsidRPr="00142F67" w:rsidRDefault="008270B1" w:rsidP="008270B1">
      <w:pPr>
        <w:pStyle w:val="AERbodytext"/>
        <w:numPr>
          <w:ilvl w:val="0"/>
          <w:numId w:val="9"/>
        </w:numPr>
        <w:rPr>
          <w:rFonts w:ascii="Arial" w:hAnsi="Arial" w:cs="Arial"/>
        </w:rPr>
      </w:pPr>
      <w:r w:rsidRPr="00142F67">
        <w:rPr>
          <w:rFonts w:ascii="Arial" w:hAnsi="Arial" w:cs="Arial"/>
        </w:rPr>
        <w:t>The price path analysis differs slightly based on the form of control:</w:t>
      </w:r>
    </w:p>
    <w:p w:rsidR="008270B1" w:rsidRPr="00142F67" w:rsidRDefault="008270B1" w:rsidP="005C3CBC">
      <w:pPr>
        <w:pStyle w:val="AERbulletlistfirststyle"/>
        <w:tabs>
          <w:tab w:val="clear" w:pos="357"/>
          <w:tab w:val="left" w:pos="426"/>
        </w:tabs>
        <w:ind w:left="426" w:hanging="426"/>
        <w:rPr>
          <w:rFonts w:ascii="Arial" w:hAnsi="Arial" w:cs="Arial"/>
        </w:rPr>
      </w:pPr>
      <w:r w:rsidRPr="00142F67">
        <w:rPr>
          <w:rFonts w:ascii="Arial" w:hAnsi="Arial" w:cs="Arial"/>
        </w:rPr>
        <w:t xml:space="preserve">Under a WAPC, the expected revenue in each year reflects the tariff breakdown (forecast quantities x prices) sourced from the </w:t>
      </w:r>
      <w:r w:rsidRPr="00142F67">
        <w:rPr>
          <w:rFonts w:ascii="Arial" w:hAnsi="Arial" w:cs="Arial"/>
          <w:b/>
        </w:rPr>
        <w:t>Forecast revenues</w:t>
      </w:r>
      <w:r w:rsidRPr="00142F67">
        <w:rPr>
          <w:rFonts w:ascii="Arial" w:hAnsi="Arial" w:cs="Arial"/>
        </w:rPr>
        <w:t xml:space="preserve"> sheet. The starting point for the WAPC price path is an indicative price calculated as total revenue divided by forecast total energy demand.</w:t>
      </w:r>
      <w:r w:rsidRPr="009B70E8">
        <w:rPr>
          <w:rFonts w:ascii="Arial" w:hAnsi="Arial" w:cs="Arial"/>
          <w:vertAlign w:val="superscript"/>
        </w:rPr>
        <w:footnoteReference w:id="22"/>
      </w:r>
      <w:r w:rsidRPr="00142F67">
        <w:rPr>
          <w:rFonts w:ascii="Arial" w:hAnsi="Arial" w:cs="Arial"/>
        </w:rPr>
        <w:t xml:space="preserve"> To calculate the price path, this starting value is escalated each year of the regulatory control period using the CPI–X pricing formula. Hence, the X factors will align with the real change in this price path (row 85).</w:t>
      </w:r>
    </w:p>
    <w:p w:rsidR="008270B1" w:rsidRPr="00142F67" w:rsidRDefault="008270B1" w:rsidP="005C3CBC">
      <w:pPr>
        <w:pStyle w:val="AERbulletlistfirststyle"/>
        <w:tabs>
          <w:tab w:val="clear" w:pos="357"/>
          <w:tab w:val="left" w:pos="426"/>
        </w:tabs>
        <w:ind w:left="426" w:hanging="426"/>
        <w:rPr>
          <w:rFonts w:ascii="Arial" w:hAnsi="Arial" w:cs="Arial"/>
        </w:rPr>
      </w:pPr>
      <w:r w:rsidRPr="00142F67">
        <w:rPr>
          <w:rFonts w:ascii="Arial" w:hAnsi="Arial" w:cs="Arial"/>
        </w:rPr>
        <w:t>Under a revenue cap, the expected revenue is directly targeted by the form of control and so the X factors will align with the real change in revenue (row 89). The expected revenue is divided by forecast total energy demand to produce the indicative price path. This also illustrates the extent to which the revenue cap will adjust prices in response to changes in (forecast) demand.</w:t>
      </w:r>
    </w:p>
    <w:p w:rsidR="008270B1" w:rsidRPr="00142F67" w:rsidRDefault="008270B1" w:rsidP="005C3CBC">
      <w:pPr>
        <w:pStyle w:val="AERbulletlistfirststyle"/>
        <w:tabs>
          <w:tab w:val="clear" w:pos="357"/>
          <w:tab w:val="left" w:pos="426"/>
        </w:tabs>
        <w:ind w:left="426" w:hanging="426"/>
        <w:rPr>
          <w:rFonts w:ascii="Arial" w:hAnsi="Arial" w:cs="Arial"/>
        </w:rPr>
      </w:pPr>
      <w:r w:rsidRPr="00142F67">
        <w:rPr>
          <w:rFonts w:ascii="Arial" w:hAnsi="Arial" w:cs="Arial"/>
        </w:rPr>
        <w:t>Under a revenue yield cap, the revenue yield is directly targeted by the form of control and so the X factors will align with the real change in the price path (row 99). Hence, the price path is not just illustrative in this case, and is used to then derive the expected revenue (reversing the operation undertaken in the two other forms of control).</w:t>
      </w:r>
    </w:p>
    <w:p w:rsidR="008270B1" w:rsidRPr="00142F67" w:rsidRDefault="008270B1" w:rsidP="008270B1">
      <w:pPr>
        <w:rPr>
          <w:rFonts w:ascii="Arial" w:eastAsia="Times New Roman" w:hAnsi="Arial" w:cs="Arial"/>
          <w:szCs w:val="24"/>
        </w:rPr>
      </w:pPr>
      <w:r w:rsidRPr="00142F67">
        <w:rPr>
          <w:rFonts w:ascii="Arial" w:eastAsia="Times New Roman" w:hAnsi="Arial" w:cs="Arial"/>
          <w:szCs w:val="24"/>
        </w:rPr>
        <w:t>Under each form of control, calculations show the percentage change year-on-year (in both nominal and real terms) and the average yearly change across the regulatory control period.</w:t>
      </w:r>
      <w:r w:rsidRPr="00142F67">
        <w:rPr>
          <w:rFonts w:ascii="Arial" w:eastAsia="Times New Roman" w:hAnsi="Arial" w:cs="Arial"/>
          <w:szCs w:val="24"/>
          <w:vertAlign w:val="superscript"/>
        </w:rPr>
        <w:footnoteReference w:id="23"/>
      </w:r>
    </w:p>
    <w:p w:rsidR="008270B1" w:rsidRPr="00142F67" w:rsidRDefault="00D54A97" w:rsidP="008270B1">
      <w:pPr>
        <w:rPr>
          <w:rFonts w:ascii="Arial" w:eastAsia="Times New Roman" w:hAnsi="Arial" w:cs="Arial"/>
          <w:szCs w:val="24"/>
        </w:rPr>
      </w:pPr>
      <w:r w:rsidRPr="00142F67">
        <w:rPr>
          <w:rFonts w:ascii="Arial" w:eastAsia="Times New Roman" w:hAnsi="Arial" w:cs="Arial"/>
          <w:szCs w:val="24"/>
        </w:rPr>
        <w:lastRenderedPageBreak/>
        <w:fldChar w:fldCharType="begin"/>
      </w:r>
      <w:r w:rsidRPr="00142F67">
        <w:rPr>
          <w:rFonts w:ascii="Arial" w:eastAsia="Times New Roman" w:hAnsi="Arial" w:cs="Arial"/>
          <w:szCs w:val="24"/>
        </w:rPr>
        <w:instrText xml:space="preserve"> REF _Ref408928981 \h </w:instrText>
      </w:r>
      <w:r w:rsidR="00B62C96" w:rsidRPr="00142F67">
        <w:rPr>
          <w:rFonts w:ascii="Arial" w:eastAsia="Times New Roman" w:hAnsi="Arial" w:cs="Arial"/>
          <w:szCs w:val="24"/>
        </w:rPr>
        <w:instrText xml:space="preserve"> \* MERGEFORMAT </w:instrText>
      </w:r>
      <w:r w:rsidRPr="00142F67">
        <w:rPr>
          <w:rFonts w:ascii="Arial" w:eastAsia="Times New Roman" w:hAnsi="Arial" w:cs="Arial"/>
          <w:szCs w:val="24"/>
        </w:rPr>
      </w:r>
      <w:r w:rsidRPr="00142F67">
        <w:rPr>
          <w:rFonts w:ascii="Arial" w:eastAsia="Times New Roman" w:hAnsi="Arial" w:cs="Arial"/>
          <w:szCs w:val="24"/>
        </w:rPr>
        <w:fldChar w:fldCharType="separate"/>
      </w:r>
      <w:r w:rsidR="006709B5" w:rsidRPr="006709B5">
        <w:rPr>
          <w:rFonts w:ascii="Arial" w:eastAsia="Times New Roman" w:hAnsi="Arial" w:cs="Arial"/>
          <w:szCs w:val="24"/>
        </w:rPr>
        <w:t>Figure 15</w:t>
      </w:r>
      <w:r w:rsidRPr="00142F67">
        <w:rPr>
          <w:rFonts w:ascii="Arial" w:eastAsia="Times New Roman" w:hAnsi="Arial" w:cs="Arial"/>
          <w:szCs w:val="24"/>
        </w:rPr>
        <w:fldChar w:fldCharType="end"/>
      </w:r>
      <w:r w:rsidR="008270B1" w:rsidRPr="00142F67">
        <w:rPr>
          <w:rFonts w:ascii="Arial" w:eastAsia="Times New Roman" w:hAnsi="Arial" w:cs="Arial"/>
          <w:szCs w:val="24"/>
        </w:rPr>
        <w:t xml:space="preserve"> and </w:t>
      </w:r>
      <w:r w:rsidR="008270B1" w:rsidRPr="00142F67">
        <w:rPr>
          <w:rFonts w:ascii="Arial" w:eastAsia="Times New Roman" w:hAnsi="Arial" w:cs="Arial"/>
          <w:szCs w:val="24"/>
        </w:rPr>
        <w:fldChar w:fldCharType="begin"/>
      </w:r>
      <w:r w:rsidR="008270B1" w:rsidRPr="00142F67">
        <w:rPr>
          <w:rFonts w:ascii="Arial" w:eastAsia="Times New Roman" w:hAnsi="Arial" w:cs="Arial"/>
          <w:szCs w:val="24"/>
        </w:rPr>
        <w:instrText xml:space="preserve"> REF _Ref398283213 \h  \* MERGEFORMAT </w:instrText>
      </w:r>
      <w:r w:rsidR="008270B1" w:rsidRPr="00142F67">
        <w:rPr>
          <w:rFonts w:ascii="Arial" w:eastAsia="Times New Roman" w:hAnsi="Arial" w:cs="Arial"/>
          <w:szCs w:val="24"/>
        </w:rPr>
      </w:r>
      <w:r w:rsidR="008270B1" w:rsidRPr="00142F67">
        <w:rPr>
          <w:rFonts w:ascii="Arial" w:eastAsia="Times New Roman" w:hAnsi="Arial" w:cs="Arial"/>
          <w:szCs w:val="24"/>
        </w:rPr>
        <w:fldChar w:fldCharType="separate"/>
      </w:r>
      <w:r w:rsidR="006709B5" w:rsidRPr="006709B5">
        <w:rPr>
          <w:rFonts w:ascii="Arial" w:eastAsia="Times New Roman" w:hAnsi="Arial" w:cs="Arial"/>
          <w:szCs w:val="24"/>
        </w:rPr>
        <w:t>Figure 16</w:t>
      </w:r>
      <w:r w:rsidR="008270B1" w:rsidRPr="00142F67">
        <w:rPr>
          <w:rFonts w:ascii="Arial" w:eastAsia="Times New Roman" w:hAnsi="Arial" w:cs="Arial"/>
          <w:szCs w:val="24"/>
        </w:rPr>
        <w:fldChar w:fldCharType="end"/>
      </w:r>
      <w:r w:rsidR="008270B1" w:rsidRPr="00142F67">
        <w:rPr>
          <w:rFonts w:ascii="Arial" w:eastAsia="Times New Roman" w:hAnsi="Arial" w:cs="Arial"/>
          <w:szCs w:val="24"/>
        </w:rPr>
        <w:t xml:space="preserve"> provide examples of the </w:t>
      </w:r>
      <w:r w:rsidR="008270B1" w:rsidRPr="00142F67">
        <w:rPr>
          <w:rFonts w:ascii="Arial" w:eastAsia="Times New Roman" w:hAnsi="Arial" w:cs="Arial"/>
          <w:b/>
          <w:szCs w:val="24"/>
        </w:rPr>
        <w:t>Revenue summary</w:t>
      </w:r>
      <w:r w:rsidR="008270B1" w:rsidRPr="00142F67">
        <w:rPr>
          <w:rFonts w:ascii="Arial" w:eastAsia="Times New Roman" w:hAnsi="Arial" w:cs="Arial"/>
          <w:szCs w:val="24"/>
        </w:rPr>
        <w:t xml:space="preserve"> sheet.</w:t>
      </w:r>
      <w:r w:rsidR="008270B1" w:rsidRPr="00142F67">
        <w:rPr>
          <w:rFonts w:ascii="Arial" w:eastAsia="Times New Roman" w:hAnsi="Arial" w:cs="Arial"/>
          <w:b/>
          <w:szCs w:val="24"/>
        </w:rPr>
        <w:tab/>
      </w:r>
    </w:p>
    <w:p w:rsidR="008270B1" w:rsidRPr="00B62C96" w:rsidRDefault="008270B1" w:rsidP="008270B1">
      <w:pPr>
        <w:pStyle w:val="Caption"/>
        <w:rPr>
          <w:rStyle w:val="AERtextbold"/>
          <w:rFonts w:ascii="Arial" w:eastAsia="Calibri" w:hAnsi="Arial" w:cs="Arial"/>
          <w:b/>
          <w:bCs w:val="0"/>
          <w:szCs w:val="20"/>
        </w:rPr>
      </w:pPr>
      <w:bookmarkStart w:id="114" w:name="_Ref408928981"/>
      <w:r w:rsidRPr="00B62C96">
        <w:rPr>
          <w:rFonts w:ascii="Arial" w:hAnsi="Arial" w:cs="Arial"/>
        </w:rPr>
        <w:t xml:space="preserve">Figure </w:t>
      </w:r>
      <w:r w:rsidRPr="00B62C96">
        <w:rPr>
          <w:rFonts w:ascii="Arial" w:hAnsi="Arial" w:cs="Arial"/>
        </w:rPr>
        <w:fldChar w:fldCharType="begin"/>
      </w:r>
      <w:r w:rsidRPr="00B62C96">
        <w:rPr>
          <w:rFonts w:ascii="Arial" w:hAnsi="Arial" w:cs="Arial"/>
        </w:rPr>
        <w:instrText xml:space="preserve"> SEQ Figure \* ARABIC </w:instrText>
      </w:r>
      <w:r w:rsidRPr="00B62C96">
        <w:rPr>
          <w:rFonts w:ascii="Arial" w:hAnsi="Arial" w:cs="Arial"/>
        </w:rPr>
        <w:fldChar w:fldCharType="separate"/>
      </w:r>
      <w:r w:rsidR="006709B5">
        <w:rPr>
          <w:rFonts w:ascii="Arial" w:hAnsi="Arial" w:cs="Arial"/>
          <w:noProof/>
        </w:rPr>
        <w:t>15</w:t>
      </w:r>
      <w:r w:rsidRPr="00B62C96">
        <w:rPr>
          <w:rFonts w:ascii="Arial" w:hAnsi="Arial" w:cs="Arial"/>
          <w:noProof/>
        </w:rPr>
        <w:fldChar w:fldCharType="end"/>
      </w:r>
      <w:bookmarkEnd w:id="114"/>
      <w:r w:rsidRPr="00B62C96">
        <w:rPr>
          <w:rFonts w:ascii="Arial" w:hAnsi="Arial" w:cs="Arial"/>
        </w:rPr>
        <w:tab/>
        <w:t>Revenue summary sheet–first screenshot</w:t>
      </w:r>
    </w:p>
    <w:p w:rsidR="008270B1" w:rsidRPr="00B62C96" w:rsidRDefault="00294652" w:rsidP="008270B1">
      <w:pPr>
        <w:pStyle w:val="AERbodytext"/>
        <w:numPr>
          <w:ilvl w:val="0"/>
          <w:numId w:val="9"/>
        </w:numPr>
        <w:rPr>
          <w:rFonts w:ascii="Arial" w:hAnsi="Arial" w:cs="Arial"/>
        </w:rPr>
      </w:pPr>
      <w:r>
        <w:rPr>
          <w:noProof/>
          <w:lang w:eastAsia="en-AU"/>
        </w:rPr>
        <w:drawing>
          <wp:inline distT="0" distB="0" distL="0" distR="0" wp14:anchorId="457B6F1A" wp14:editId="2B6210DD">
            <wp:extent cx="5731510" cy="3955109"/>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31510" cy="3955109"/>
                    </a:xfrm>
                    <a:prstGeom prst="rect">
                      <a:avLst/>
                    </a:prstGeom>
                  </pic:spPr>
                </pic:pic>
              </a:graphicData>
            </a:graphic>
          </wp:inline>
        </w:drawing>
      </w:r>
    </w:p>
    <w:p w:rsidR="008270B1" w:rsidRPr="00B62C96" w:rsidRDefault="008270B1" w:rsidP="008270B1">
      <w:pPr>
        <w:pStyle w:val="Caption"/>
        <w:rPr>
          <w:rFonts w:ascii="Arial" w:hAnsi="Arial" w:cs="Arial"/>
        </w:rPr>
      </w:pPr>
      <w:bookmarkStart w:id="115" w:name="_Ref398283213"/>
      <w:r w:rsidRPr="00B62C96">
        <w:rPr>
          <w:rFonts w:ascii="Arial" w:hAnsi="Arial" w:cs="Arial"/>
        </w:rPr>
        <w:t xml:space="preserve">Figure </w:t>
      </w:r>
      <w:r w:rsidRPr="00B62C96">
        <w:rPr>
          <w:rFonts w:ascii="Arial" w:hAnsi="Arial" w:cs="Arial"/>
        </w:rPr>
        <w:fldChar w:fldCharType="begin"/>
      </w:r>
      <w:r w:rsidRPr="00B62C96">
        <w:rPr>
          <w:rFonts w:ascii="Arial" w:hAnsi="Arial" w:cs="Arial"/>
        </w:rPr>
        <w:instrText xml:space="preserve"> SEQ Figure \* ARABIC </w:instrText>
      </w:r>
      <w:r w:rsidRPr="00B62C96">
        <w:rPr>
          <w:rFonts w:ascii="Arial" w:hAnsi="Arial" w:cs="Arial"/>
        </w:rPr>
        <w:fldChar w:fldCharType="separate"/>
      </w:r>
      <w:r w:rsidR="006709B5">
        <w:rPr>
          <w:rFonts w:ascii="Arial" w:hAnsi="Arial" w:cs="Arial"/>
          <w:noProof/>
        </w:rPr>
        <w:t>16</w:t>
      </w:r>
      <w:r w:rsidRPr="00B62C96">
        <w:rPr>
          <w:rFonts w:ascii="Arial" w:hAnsi="Arial" w:cs="Arial"/>
          <w:noProof/>
        </w:rPr>
        <w:fldChar w:fldCharType="end"/>
      </w:r>
      <w:bookmarkEnd w:id="115"/>
      <w:r w:rsidRPr="00B62C96">
        <w:rPr>
          <w:rFonts w:ascii="Arial" w:hAnsi="Arial" w:cs="Arial"/>
        </w:rPr>
        <w:tab/>
        <w:t>Revenue summary sheet–second screenshot</w:t>
      </w:r>
    </w:p>
    <w:p w:rsidR="008270B1" w:rsidRPr="00B62C96" w:rsidRDefault="00294652" w:rsidP="008270B1">
      <w:pPr>
        <w:pStyle w:val="AERbodytext"/>
        <w:numPr>
          <w:ilvl w:val="0"/>
          <w:numId w:val="0"/>
        </w:numPr>
        <w:rPr>
          <w:rFonts w:ascii="Arial" w:hAnsi="Arial" w:cs="Arial"/>
        </w:rPr>
      </w:pPr>
      <w:r>
        <w:rPr>
          <w:noProof/>
          <w:lang w:eastAsia="en-AU"/>
        </w:rPr>
        <w:drawing>
          <wp:inline distT="0" distB="0" distL="0" distR="0" wp14:anchorId="6C2DAEA5" wp14:editId="2F91F145">
            <wp:extent cx="5731510" cy="3852848"/>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731510" cy="3852848"/>
                    </a:xfrm>
                    <a:prstGeom prst="rect">
                      <a:avLst/>
                    </a:prstGeom>
                  </pic:spPr>
                </pic:pic>
              </a:graphicData>
            </a:graphic>
          </wp:inline>
        </w:drawing>
      </w:r>
    </w:p>
    <w:p w:rsidR="008270B1" w:rsidRPr="00B46871" w:rsidRDefault="008270B1" w:rsidP="00B46871">
      <w:pPr>
        <w:pStyle w:val="Heading2"/>
        <w:numPr>
          <w:ilvl w:val="2"/>
          <w:numId w:val="10"/>
        </w:numPr>
        <w:rPr>
          <w:rFonts w:ascii="Arial" w:hAnsi="Arial" w:cs="Arial"/>
        </w:rPr>
      </w:pPr>
      <w:bookmarkStart w:id="116" w:name="_Toc399339687"/>
      <w:bookmarkStart w:id="117" w:name="_Toc409709127"/>
      <w:bookmarkStart w:id="118" w:name="_Toc410224093"/>
      <w:r w:rsidRPr="00B46871">
        <w:rPr>
          <w:rFonts w:ascii="Arial" w:hAnsi="Arial" w:cs="Arial"/>
        </w:rPr>
        <w:lastRenderedPageBreak/>
        <w:t>Equity raising cost</w:t>
      </w:r>
      <w:r w:rsidR="009B1E03" w:rsidRPr="00B46871">
        <w:rPr>
          <w:rFonts w:ascii="Arial" w:hAnsi="Arial" w:cs="Arial"/>
        </w:rPr>
        <w:t>s</w:t>
      </w:r>
      <w:r w:rsidRPr="00B46871">
        <w:rPr>
          <w:rFonts w:ascii="Arial" w:hAnsi="Arial" w:cs="Arial"/>
        </w:rPr>
        <w:t xml:space="preserve"> sheet</w:t>
      </w:r>
      <w:bookmarkEnd w:id="116"/>
      <w:bookmarkEnd w:id="117"/>
      <w:bookmarkEnd w:id="118"/>
    </w:p>
    <w:p w:rsidR="008270B1" w:rsidRPr="00142F67" w:rsidRDefault="008270B1" w:rsidP="008270B1">
      <w:pPr>
        <w:pStyle w:val="AERbodytext"/>
        <w:numPr>
          <w:ilvl w:val="0"/>
          <w:numId w:val="9"/>
        </w:numPr>
        <w:rPr>
          <w:rFonts w:ascii="Arial" w:hAnsi="Arial" w:cs="Arial"/>
        </w:rPr>
      </w:pPr>
      <w:r w:rsidRPr="00142F67">
        <w:rPr>
          <w:rFonts w:ascii="Arial" w:hAnsi="Arial" w:cs="Arial"/>
        </w:rPr>
        <w:t>In raising new equity capital a business may incur costs such as legal fees, brokerage fees, marketing costs and other transaction costs. These are upfront expenses, with little or no ongoing costs over the life of the equity. While the majority of the equity a firm will  raise is typically obtained at its inception, there may be points in the life of a firm—for example, during significant capital expansions—where it chooses additional external equity funding (instead of debt or internal funding) as a source of equity capital, and accordingly may incur equity raising costs.</w:t>
      </w:r>
    </w:p>
    <w:p w:rsidR="008270B1" w:rsidRPr="00142F67" w:rsidRDefault="008270B1" w:rsidP="008270B1">
      <w:pPr>
        <w:pStyle w:val="AERbodytext"/>
        <w:numPr>
          <w:ilvl w:val="0"/>
          <w:numId w:val="9"/>
        </w:numPr>
        <w:rPr>
          <w:rFonts w:ascii="Arial" w:hAnsi="Arial" w:cs="Arial"/>
        </w:rPr>
      </w:pPr>
      <w:r w:rsidRPr="00142F67">
        <w:rPr>
          <w:rFonts w:ascii="Arial" w:hAnsi="Arial" w:cs="Arial"/>
        </w:rPr>
        <w:t>The benchmark cash flow analysis applied by the AER to determine the extent to which equity raising associated with capex is required has been discussed in detail in previous electricity determinations.</w:t>
      </w:r>
      <w:r w:rsidRPr="009B70E8">
        <w:rPr>
          <w:rFonts w:ascii="Arial" w:hAnsi="Arial" w:cs="Arial"/>
          <w:vertAlign w:val="superscript"/>
        </w:rPr>
        <w:footnoteReference w:id="24"/>
      </w:r>
      <w:r w:rsidRPr="00142F67">
        <w:rPr>
          <w:rFonts w:ascii="Arial" w:hAnsi="Arial" w:cs="Arial"/>
        </w:rPr>
        <w:t xml:space="preserve"> Broadly, the analysis uses the PTRM cash flows to calculate the amount of retained earnings (taking account of cash flows such as revenue, </w:t>
      </w:r>
      <w:proofErr w:type="spellStart"/>
      <w:r w:rsidRPr="00142F67">
        <w:rPr>
          <w:rFonts w:ascii="Arial" w:hAnsi="Arial" w:cs="Arial"/>
        </w:rPr>
        <w:t>opex</w:t>
      </w:r>
      <w:proofErr w:type="spellEnd"/>
      <w:r w:rsidRPr="00142F67">
        <w:rPr>
          <w:rFonts w:ascii="Arial" w:hAnsi="Arial" w:cs="Arial"/>
        </w:rPr>
        <w:t xml:space="preserve">, interest payment, tax payment dividends, and dividend reinvestment plans). The amount of retained earnings is deducted from the equity component of forecast capex (while maintaining the benchmark level of gearing) to determine any external equity requirement. The </w:t>
      </w:r>
      <w:r w:rsidRPr="00142F67">
        <w:rPr>
          <w:rFonts w:ascii="Arial" w:hAnsi="Arial" w:cs="Arial"/>
          <w:b/>
        </w:rPr>
        <w:t>Equity raising cost</w:t>
      </w:r>
      <w:r w:rsidR="009B1E03" w:rsidRPr="00142F67">
        <w:rPr>
          <w:rFonts w:ascii="Arial" w:hAnsi="Arial" w:cs="Arial"/>
          <w:b/>
        </w:rPr>
        <w:t>s</w:t>
      </w:r>
      <w:r w:rsidRPr="00142F67">
        <w:rPr>
          <w:rFonts w:ascii="Arial" w:hAnsi="Arial" w:cs="Arial"/>
        </w:rPr>
        <w:t xml:space="preserve"> sheet sets out the benchmark cash flow analysis. </w:t>
      </w:r>
    </w:p>
    <w:p w:rsidR="008270B1" w:rsidRPr="00142F67" w:rsidRDefault="008270B1" w:rsidP="008270B1">
      <w:pPr>
        <w:pStyle w:val="AERbodytext"/>
        <w:numPr>
          <w:ilvl w:val="0"/>
          <w:numId w:val="9"/>
        </w:numPr>
        <w:rPr>
          <w:rFonts w:ascii="Arial" w:hAnsi="Arial" w:cs="Arial"/>
        </w:rPr>
      </w:pPr>
      <w:r w:rsidRPr="00142F67">
        <w:rPr>
          <w:rFonts w:ascii="Arial" w:hAnsi="Arial" w:cs="Arial"/>
        </w:rPr>
        <w:t xml:space="preserve">The opening RAB and capex values (rows 7 and 8) are sourced from the </w:t>
      </w:r>
      <w:r w:rsidRPr="00142F67">
        <w:rPr>
          <w:rFonts w:ascii="Arial" w:hAnsi="Arial" w:cs="Arial"/>
          <w:b/>
        </w:rPr>
        <w:t>Assets</w:t>
      </w:r>
      <w:r w:rsidRPr="00142F67">
        <w:rPr>
          <w:rFonts w:ascii="Arial" w:hAnsi="Arial" w:cs="Arial"/>
        </w:rPr>
        <w:t xml:space="preserve"> sheet. Based on this information the capex rate is calculated and displayed in row 9. The capex rate indicates the proportion of the capex relative to the opening RAB but does not affect the calculation of equity raising costs by itself.</w:t>
      </w:r>
    </w:p>
    <w:p w:rsidR="008270B1" w:rsidRPr="00142F67" w:rsidRDefault="008270B1" w:rsidP="008270B1">
      <w:pPr>
        <w:pStyle w:val="AERbodytext"/>
        <w:numPr>
          <w:ilvl w:val="0"/>
          <w:numId w:val="9"/>
        </w:numPr>
        <w:rPr>
          <w:rFonts w:ascii="Arial" w:hAnsi="Arial" w:cs="Arial"/>
        </w:rPr>
      </w:pPr>
      <w:r w:rsidRPr="00142F67">
        <w:rPr>
          <w:rFonts w:ascii="Arial" w:hAnsi="Arial" w:cs="Arial"/>
        </w:rPr>
        <w:t xml:space="preserve">The tax payable values (row 13) are sourced from the </w:t>
      </w:r>
      <w:r w:rsidRPr="00142F67">
        <w:rPr>
          <w:rFonts w:ascii="Arial" w:hAnsi="Arial" w:cs="Arial"/>
          <w:b/>
        </w:rPr>
        <w:t>Analysis</w:t>
      </w:r>
      <w:r w:rsidRPr="00142F67">
        <w:rPr>
          <w:rFonts w:ascii="Arial" w:hAnsi="Arial" w:cs="Arial"/>
        </w:rPr>
        <w:t xml:space="preserve"> sheet and are used in combination with parameters (such as the corporate tax rate and imputation credit payout ratio) from the </w:t>
      </w:r>
      <w:r w:rsidR="00E47B17" w:rsidRPr="004E0623">
        <w:rPr>
          <w:rFonts w:ascii="Arial" w:hAnsi="Arial" w:cs="Arial"/>
          <w:b/>
        </w:rPr>
        <w:t>PTRM i</w:t>
      </w:r>
      <w:r w:rsidRPr="004E0623">
        <w:rPr>
          <w:rFonts w:ascii="Arial" w:hAnsi="Arial" w:cs="Arial"/>
          <w:b/>
        </w:rPr>
        <w:t>np</w:t>
      </w:r>
      <w:r w:rsidRPr="00142F67">
        <w:rPr>
          <w:rFonts w:ascii="Arial" w:hAnsi="Arial" w:cs="Arial"/>
          <w:b/>
        </w:rPr>
        <w:t>ut</w:t>
      </w:r>
      <w:r w:rsidRPr="00142F67">
        <w:rPr>
          <w:rFonts w:ascii="Arial" w:hAnsi="Arial" w:cs="Arial"/>
        </w:rPr>
        <w:t xml:space="preserve"> sheet to calculate the dividends payable (row 14). A proportion of dividends that are paid out to investors are assumed to be reinvested in the business. The amount of dividends reinvested by investors is displayed at </w:t>
      </w:r>
      <w:r w:rsidR="00FF3045" w:rsidRPr="00142F67">
        <w:rPr>
          <w:rFonts w:ascii="Arial" w:hAnsi="Arial" w:cs="Arial"/>
        </w:rPr>
        <w:t>row 15</w:t>
      </w:r>
      <w:r w:rsidRPr="00142F67">
        <w:rPr>
          <w:rFonts w:ascii="Arial" w:hAnsi="Arial" w:cs="Arial"/>
        </w:rPr>
        <w:t xml:space="preserve"> and is used in the benchmark cash flow analysis to determine retained cash flows.</w:t>
      </w:r>
    </w:p>
    <w:p w:rsidR="008270B1" w:rsidRPr="00142F67" w:rsidRDefault="008270B1" w:rsidP="008270B1">
      <w:pPr>
        <w:pStyle w:val="AERbodytext"/>
        <w:numPr>
          <w:ilvl w:val="0"/>
          <w:numId w:val="9"/>
        </w:numPr>
        <w:rPr>
          <w:rFonts w:ascii="Arial" w:hAnsi="Arial" w:cs="Arial"/>
        </w:rPr>
      </w:pPr>
      <w:r w:rsidRPr="00142F67">
        <w:rPr>
          <w:rFonts w:ascii="Arial" w:hAnsi="Arial" w:cs="Arial"/>
        </w:rPr>
        <w:t xml:space="preserve">The drop down menu in row 19 allows the selection of the form of control so that the smoothed revenue cash flows are sourced from the correct section of the </w:t>
      </w:r>
      <w:r w:rsidRPr="00142F67">
        <w:rPr>
          <w:rFonts w:ascii="Arial" w:hAnsi="Arial" w:cs="Arial"/>
          <w:b/>
        </w:rPr>
        <w:t>X factors</w:t>
      </w:r>
      <w:r w:rsidRPr="00142F67">
        <w:rPr>
          <w:rFonts w:ascii="Arial" w:hAnsi="Arial" w:cs="Arial"/>
        </w:rPr>
        <w:t xml:space="preserve"> sheet. This drop down menu may be automatically updated when running a smoothing macro using the buttons in the </w:t>
      </w:r>
      <w:r w:rsidRPr="009B70E8">
        <w:rPr>
          <w:rFonts w:ascii="Arial" w:hAnsi="Arial" w:cs="Arial"/>
          <w:b/>
        </w:rPr>
        <w:t>X factors</w:t>
      </w:r>
      <w:r w:rsidRPr="00142F67">
        <w:rPr>
          <w:rFonts w:ascii="Arial" w:hAnsi="Arial" w:cs="Arial"/>
        </w:rPr>
        <w:t xml:space="preserve"> sheet. If the drop down option to 'update ERC when smoothing (default)' in the </w:t>
      </w:r>
      <w:r w:rsidRPr="009B70E8">
        <w:rPr>
          <w:rFonts w:ascii="Arial" w:hAnsi="Arial" w:cs="Arial"/>
          <w:b/>
        </w:rPr>
        <w:t>X factors</w:t>
      </w:r>
      <w:r w:rsidRPr="00142F67">
        <w:rPr>
          <w:rFonts w:ascii="Arial" w:hAnsi="Arial" w:cs="Arial"/>
        </w:rPr>
        <w:t xml:space="preserve"> sheet (cell H16) is selected, then running a smoothing macro will set the drop down menu in the </w:t>
      </w:r>
      <w:r w:rsidRPr="00142F67">
        <w:rPr>
          <w:rFonts w:ascii="Arial" w:hAnsi="Arial" w:cs="Arial"/>
          <w:b/>
        </w:rPr>
        <w:t>Equity raising cost</w:t>
      </w:r>
      <w:r w:rsidR="009B1E03" w:rsidRPr="00142F67">
        <w:rPr>
          <w:rFonts w:ascii="Arial" w:hAnsi="Arial" w:cs="Arial"/>
          <w:b/>
        </w:rPr>
        <w:t>s</w:t>
      </w:r>
      <w:r w:rsidRPr="00142F67">
        <w:rPr>
          <w:rFonts w:ascii="Arial" w:hAnsi="Arial" w:cs="Arial"/>
        </w:rPr>
        <w:t xml:space="preserve"> sheet (cell G19) to the relevant form of control (based on which smoothing button was pressed).</w:t>
      </w:r>
      <w:r w:rsidRPr="00142F67">
        <w:rPr>
          <w:rFonts w:ascii="Arial" w:hAnsi="Arial" w:cs="Arial"/>
          <w:vertAlign w:val="superscript"/>
        </w:rPr>
        <w:footnoteReference w:id="25"/>
      </w:r>
    </w:p>
    <w:p w:rsidR="008270B1" w:rsidRPr="00142F67" w:rsidRDefault="008270B1" w:rsidP="008270B1">
      <w:pPr>
        <w:pStyle w:val="AERbodytext"/>
        <w:numPr>
          <w:ilvl w:val="0"/>
          <w:numId w:val="9"/>
        </w:numPr>
        <w:rPr>
          <w:rFonts w:ascii="Arial" w:hAnsi="Arial" w:cs="Arial"/>
        </w:rPr>
      </w:pPr>
      <w:r w:rsidRPr="00142F67">
        <w:rPr>
          <w:rFonts w:ascii="Arial" w:hAnsi="Arial" w:cs="Arial"/>
        </w:rPr>
        <w:t>The benchmark cash flow analysis set out in rows 21 to 36 are undertaken in nominal dollar terms and is used to determine the equity raising costs as follows:</w:t>
      </w:r>
    </w:p>
    <w:p w:rsidR="008270B1" w:rsidRPr="00142F67" w:rsidRDefault="008270B1" w:rsidP="005C3CBC">
      <w:pPr>
        <w:pStyle w:val="AERbulletlistfirststyle"/>
        <w:tabs>
          <w:tab w:val="clear" w:pos="357"/>
          <w:tab w:val="left" w:pos="426"/>
        </w:tabs>
        <w:ind w:left="426" w:hanging="426"/>
        <w:rPr>
          <w:rFonts w:ascii="Arial" w:hAnsi="Arial" w:cs="Arial"/>
        </w:rPr>
      </w:pPr>
      <w:r w:rsidRPr="00142F67">
        <w:rPr>
          <w:rFonts w:ascii="Arial" w:hAnsi="Arial" w:cs="Arial"/>
        </w:rPr>
        <w:t xml:space="preserve">The revenues (row 21) sourced from the </w:t>
      </w:r>
      <w:r w:rsidRPr="00142F67">
        <w:rPr>
          <w:rFonts w:ascii="Arial" w:hAnsi="Arial" w:cs="Arial"/>
          <w:b/>
        </w:rPr>
        <w:t>X factors</w:t>
      </w:r>
      <w:r w:rsidRPr="00142F67">
        <w:rPr>
          <w:rFonts w:ascii="Arial" w:hAnsi="Arial" w:cs="Arial"/>
        </w:rPr>
        <w:t xml:space="preserve"> sheet less expenses such as </w:t>
      </w:r>
      <w:proofErr w:type="spellStart"/>
      <w:r w:rsidRPr="00142F67">
        <w:rPr>
          <w:rFonts w:ascii="Arial" w:hAnsi="Arial" w:cs="Arial"/>
        </w:rPr>
        <w:t>opex</w:t>
      </w:r>
      <w:proofErr w:type="spellEnd"/>
      <w:r w:rsidRPr="00142F67">
        <w:rPr>
          <w:rFonts w:ascii="Arial" w:hAnsi="Arial" w:cs="Arial"/>
        </w:rPr>
        <w:t xml:space="preserve">, interest payments, tax payable and other revenue adjustments (rows 22 to 25) sourced from the </w:t>
      </w:r>
      <w:r w:rsidRPr="00142F67">
        <w:rPr>
          <w:rFonts w:ascii="Arial" w:hAnsi="Arial" w:cs="Arial"/>
          <w:b/>
        </w:rPr>
        <w:t>Analysis</w:t>
      </w:r>
      <w:r w:rsidRPr="00142F67">
        <w:rPr>
          <w:rFonts w:ascii="Arial" w:hAnsi="Arial" w:cs="Arial"/>
        </w:rPr>
        <w:t xml:space="preserve"> sheet provides the internal cash flow (row 26).</w:t>
      </w:r>
    </w:p>
    <w:p w:rsidR="008270B1" w:rsidRPr="00142F67" w:rsidRDefault="008270B1" w:rsidP="005C3CBC">
      <w:pPr>
        <w:pStyle w:val="AERbulletlistfirststyle"/>
        <w:tabs>
          <w:tab w:val="clear" w:pos="357"/>
          <w:tab w:val="left" w:pos="426"/>
        </w:tabs>
        <w:ind w:left="426" w:hanging="426"/>
        <w:rPr>
          <w:rFonts w:ascii="Arial" w:hAnsi="Arial" w:cs="Arial"/>
        </w:rPr>
      </w:pPr>
      <w:r w:rsidRPr="00142F67">
        <w:rPr>
          <w:rFonts w:ascii="Arial" w:hAnsi="Arial" w:cs="Arial"/>
        </w:rPr>
        <w:t xml:space="preserve">The internal cash flow </w:t>
      </w:r>
      <w:proofErr w:type="gramStart"/>
      <w:r w:rsidRPr="00142F67">
        <w:rPr>
          <w:rFonts w:ascii="Arial" w:hAnsi="Arial" w:cs="Arial"/>
        </w:rPr>
        <w:t>less</w:t>
      </w:r>
      <w:proofErr w:type="gramEnd"/>
      <w:r w:rsidRPr="00142F67">
        <w:rPr>
          <w:rFonts w:ascii="Arial" w:hAnsi="Arial" w:cs="Arial"/>
        </w:rPr>
        <w:t xml:space="preserve"> dividends paid out to shareholders (row 27) provides the retained cash flow (row 28).</w:t>
      </w:r>
    </w:p>
    <w:p w:rsidR="008270B1" w:rsidRPr="00142F67" w:rsidRDefault="008270B1" w:rsidP="005C3CBC">
      <w:pPr>
        <w:pStyle w:val="AERbulletlistfirststyle"/>
        <w:tabs>
          <w:tab w:val="clear" w:pos="357"/>
          <w:tab w:val="left" w:pos="426"/>
        </w:tabs>
        <w:ind w:left="426" w:hanging="426"/>
        <w:rPr>
          <w:rFonts w:ascii="Arial" w:hAnsi="Arial" w:cs="Arial"/>
        </w:rPr>
      </w:pPr>
      <w:r w:rsidRPr="00142F67">
        <w:rPr>
          <w:rFonts w:ascii="Arial" w:hAnsi="Arial" w:cs="Arial"/>
        </w:rPr>
        <w:lastRenderedPageBreak/>
        <w:t xml:space="preserve">The capex funding requirement (row 32) is sourced from row 8, adjusted to remove the gross-up for the WACC provided in the PTRM to account for the assumed timing of the incurrence of capex, which is not relevant for financing purposes. The debt component (row 33) represents the increase in debt funding and is sourced from the </w:t>
      </w:r>
      <w:r w:rsidRPr="00142F67">
        <w:rPr>
          <w:rFonts w:ascii="Arial" w:hAnsi="Arial" w:cs="Arial"/>
          <w:b/>
        </w:rPr>
        <w:t>Analysis</w:t>
      </w:r>
      <w:r w:rsidRPr="00142F67">
        <w:rPr>
          <w:rFonts w:ascii="Arial" w:hAnsi="Arial" w:cs="Arial"/>
        </w:rPr>
        <w:t xml:space="preserve"> sheet, whereby to maintain the benchmark level of gearing, the level of debt must equal 60 per cent of the RAB rather than capex. The residual of capex funding requirement less the increase in debt funding gives the equity component (row 34), which represents the amount of capex that must be funded through retained earnings and then new equity.</w:t>
      </w:r>
    </w:p>
    <w:p w:rsidR="008270B1" w:rsidRPr="00142F67" w:rsidRDefault="008270B1" w:rsidP="005C3CBC">
      <w:pPr>
        <w:pStyle w:val="AERbulletlistfirststyle"/>
        <w:tabs>
          <w:tab w:val="clear" w:pos="357"/>
          <w:tab w:val="left" w:pos="426"/>
        </w:tabs>
        <w:ind w:left="426" w:hanging="426"/>
        <w:rPr>
          <w:rFonts w:ascii="Arial" w:hAnsi="Arial" w:cs="Arial"/>
        </w:rPr>
      </w:pPr>
      <w:r w:rsidRPr="00142F67">
        <w:rPr>
          <w:rFonts w:ascii="Arial" w:hAnsi="Arial" w:cs="Arial"/>
        </w:rPr>
        <w:t>The equity component less retained cash flow (row 35), where it is insufficient, indicates the additional equity requirement (row 36).</w:t>
      </w:r>
      <w:r w:rsidRPr="00142F67">
        <w:rPr>
          <w:rFonts w:ascii="Arial" w:hAnsi="Arial" w:cs="Arial"/>
          <w:vertAlign w:val="superscript"/>
        </w:rPr>
        <w:footnoteReference w:id="26"/>
      </w:r>
      <w:r w:rsidRPr="00142F67">
        <w:rPr>
          <w:rFonts w:ascii="Arial" w:hAnsi="Arial" w:cs="Arial"/>
          <w:vertAlign w:val="superscript"/>
        </w:rPr>
        <w:t xml:space="preserve"> </w:t>
      </w:r>
    </w:p>
    <w:p w:rsidR="008270B1" w:rsidRPr="00142F67" w:rsidRDefault="008270B1" w:rsidP="008270B1">
      <w:pPr>
        <w:pStyle w:val="AERbodytext"/>
        <w:numPr>
          <w:ilvl w:val="0"/>
          <w:numId w:val="9"/>
        </w:numPr>
        <w:rPr>
          <w:rFonts w:ascii="Arial" w:hAnsi="Arial" w:cs="Arial"/>
        </w:rPr>
      </w:pPr>
      <w:r w:rsidRPr="00142F67">
        <w:rPr>
          <w:rFonts w:ascii="Arial" w:hAnsi="Arial" w:cs="Arial"/>
        </w:rPr>
        <w:t xml:space="preserve">Rows 40 to 42 display the equity component, retained cash flow and additional equity requirement in real dollar terms (based on start of year one) by converting the nominal dollar equivalents set out in rows 34 to 36. Dividend reinvestment, also in real dollar terms, is displayed in row 44 by converting the nominal dollar equivalent as set out in row 15. </w:t>
      </w:r>
    </w:p>
    <w:p w:rsidR="008270B1" w:rsidRPr="00142F67" w:rsidRDefault="008270B1" w:rsidP="008270B1">
      <w:pPr>
        <w:pStyle w:val="AERbodytext"/>
        <w:numPr>
          <w:ilvl w:val="0"/>
          <w:numId w:val="9"/>
        </w:numPr>
        <w:rPr>
          <w:rFonts w:ascii="Arial" w:hAnsi="Arial" w:cs="Arial"/>
        </w:rPr>
      </w:pPr>
      <w:r w:rsidRPr="00142F67">
        <w:rPr>
          <w:rFonts w:ascii="Arial" w:hAnsi="Arial" w:cs="Arial"/>
        </w:rPr>
        <w:t xml:space="preserve">If the total equity requirement over the next regulatory control period is above zero, cell Q48 calculates the total dividend reinvestment plan requirement based on the total amount set out at Q44. The total external equity requirement over the next regulatory control period is calculated at cell Q49 by taking the difference between the total equity requirement and the total dividend reinvestment. Cell Q50 displays the sum of the total dividend reinvestment plan requirement and the total external equity requirement. This is the total equity requirement. </w:t>
      </w:r>
    </w:p>
    <w:p w:rsidR="008270B1" w:rsidRPr="00142F67" w:rsidRDefault="008270B1" w:rsidP="008270B1">
      <w:pPr>
        <w:pStyle w:val="AERbodytext"/>
        <w:numPr>
          <w:ilvl w:val="0"/>
          <w:numId w:val="9"/>
        </w:numPr>
        <w:rPr>
          <w:rFonts w:ascii="Arial" w:hAnsi="Arial" w:cs="Arial"/>
        </w:rPr>
      </w:pPr>
      <w:r w:rsidRPr="00142F67">
        <w:rPr>
          <w:rFonts w:ascii="Arial" w:hAnsi="Arial" w:cs="Arial"/>
        </w:rPr>
        <w:t xml:space="preserve">Based on the total amount of dividends reinvested (cell Q48) and the external equity requirement (cell Q49) the cost for each of these component (sourced from the </w:t>
      </w:r>
      <w:r w:rsidR="00800A1F" w:rsidRPr="009B70E8">
        <w:rPr>
          <w:rFonts w:ascii="Arial" w:hAnsi="Arial" w:cs="Arial"/>
          <w:b/>
        </w:rPr>
        <w:t>PTRM</w:t>
      </w:r>
      <w:r w:rsidR="00800A1F" w:rsidRPr="00142F67">
        <w:rPr>
          <w:rFonts w:ascii="Arial" w:hAnsi="Arial" w:cs="Arial"/>
        </w:rPr>
        <w:t xml:space="preserve"> </w:t>
      </w:r>
      <w:r w:rsidR="00E47B17" w:rsidRPr="00142F67">
        <w:rPr>
          <w:rFonts w:ascii="Arial" w:hAnsi="Arial" w:cs="Arial"/>
          <w:b/>
        </w:rPr>
        <w:t>i</w:t>
      </w:r>
      <w:r w:rsidRPr="00142F67">
        <w:rPr>
          <w:rFonts w:ascii="Arial" w:hAnsi="Arial" w:cs="Arial"/>
          <w:b/>
        </w:rPr>
        <w:t>nput</w:t>
      </w:r>
      <w:r w:rsidRPr="00142F67">
        <w:rPr>
          <w:rFonts w:ascii="Arial" w:hAnsi="Arial" w:cs="Arial"/>
        </w:rPr>
        <w:t xml:space="preserve"> sheet) is calculated in cells Q52 and Q53 respectively. The sum of these components provides the total equity raising costs in real dollar terms (start of year one) and is displayed at cell Q54. A positive value for the total equity raising costs over the next regulatory control period indicates that the calculated benchmark equity raising costs should be allowed and recovered by the DNSPs. </w:t>
      </w:r>
    </w:p>
    <w:p w:rsidR="008270B1" w:rsidRPr="00142F67" w:rsidRDefault="008270B1" w:rsidP="008270B1">
      <w:pPr>
        <w:pStyle w:val="AERbodytext"/>
        <w:numPr>
          <w:ilvl w:val="0"/>
          <w:numId w:val="9"/>
        </w:numPr>
        <w:rPr>
          <w:rFonts w:ascii="Arial" w:hAnsi="Arial" w:cs="Arial"/>
        </w:rPr>
      </w:pPr>
      <w:r w:rsidRPr="00142F67">
        <w:rPr>
          <w:rFonts w:ascii="Arial" w:hAnsi="Arial" w:cs="Arial"/>
        </w:rPr>
        <w:t>The equity raising cost calculations must be performed iteratively because they are both an input to and an output from the building block calculation.</w:t>
      </w:r>
      <w:r w:rsidRPr="00142F67">
        <w:rPr>
          <w:rFonts w:ascii="Arial" w:hAnsi="Arial" w:cs="Arial"/>
          <w:vertAlign w:val="superscript"/>
        </w:rPr>
        <w:footnoteReference w:id="27"/>
      </w:r>
      <w:r w:rsidRPr="00142F67">
        <w:rPr>
          <w:rFonts w:ascii="Arial" w:hAnsi="Arial" w:cs="Arial"/>
        </w:rPr>
        <w:t xml:space="preserve"> In other words, a change in the equity raising cost will change the ARR and expected revenue, which in turn changes the equity raising cost. Further, the equity raising cost calculation depends on both unsmoothed building block components (for instance, the outgoing cash flows each year) and the smoothed total revenue (for instance, the available revenue each year). Accordingly, changes to the smoothed revenue profile (the expected revenue) can change the required equity raising cost, starting the cycle again.</w:t>
      </w:r>
    </w:p>
    <w:p w:rsidR="008270B1" w:rsidRPr="00142F67" w:rsidRDefault="008270B1" w:rsidP="008270B1">
      <w:pPr>
        <w:pStyle w:val="AERbodytext"/>
        <w:numPr>
          <w:ilvl w:val="0"/>
          <w:numId w:val="9"/>
        </w:numPr>
        <w:rPr>
          <w:rFonts w:ascii="Arial" w:hAnsi="Arial" w:cs="Arial"/>
        </w:rPr>
      </w:pPr>
      <w:r w:rsidRPr="00142F67">
        <w:rPr>
          <w:rFonts w:ascii="Arial" w:hAnsi="Arial" w:cs="Arial"/>
        </w:rPr>
        <w:t xml:space="preserve">By default, the smoothing macros in the </w:t>
      </w:r>
      <w:r w:rsidRPr="00142F67">
        <w:rPr>
          <w:rFonts w:ascii="Arial" w:hAnsi="Arial" w:cs="Arial"/>
          <w:b/>
        </w:rPr>
        <w:t>X factors</w:t>
      </w:r>
      <w:r w:rsidRPr="00142F67">
        <w:rPr>
          <w:rFonts w:ascii="Arial" w:hAnsi="Arial" w:cs="Arial"/>
        </w:rPr>
        <w:t xml:space="preserve"> sheet perform these iterative calculations for equity raising costs at the same time. However, this function can be disabled using the drop-down menu in cell H16 of the </w:t>
      </w:r>
      <w:r w:rsidRPr="00142F67">
        <w:rPr>
          <w:rFonts w:ascii="Arial" w:hAnsi="Arial" w:cs="Arial"/>
          <w:b/>
        </w:rPr>
        <w:t>X factors</w:t>
      </w:r>
      <w:r w:rsidRPr="00142F67">
        <w:rPr>
          <w:rFonts w:ascii="Arial" w:hAnsi="Arial" w:cs="Arial"/>
        </w:rPr>
        <w:t xml:space="preserve"> sheet. </w:t>
      </w:r>
    </w:p>
    <w:p w:rsidR="008270B1" w:rsidRPr="00142F67" w:rsidRDefault="008270B1" w:rsidP="008270B1">
      <w:pPr>
        <w:pStyle w:val="AERbodytext"/>
        <w:numPr>
          <w:ilvl w:val="0"/>
          <w:numId w:val="9"/>
        </w:numPr>
        <w:rPr>
          <w:rFonts w:ascii="Arial" w:hAnsi="Arial" w:cs="Arial"/>
        </w:rPr>
      </w:pPr>
      <w:r w:rsidRPr="00142F67">
        <w:rPr>
          <w:rFonts w:ascii="Arial" w:hAnsi="Arial" w:cs="Arial"/>
        </w:rPr>
        <w:fldChar w:fldCharType="begin"/>
      </w:r>
      <w:r w:rsidRPr="00142F67">
        <w:rPr>
          <w:rFonts w:ascii="Arial" w:hAnsi="Arial" w:cs="Arial"/>
        </w:rPr>
        <w:instrText xml:space="preserve"> REF _Ref397601140 \h  \* MERGEFORMAT </w:instrText>
      </w:r>
      <w:r w:rsidRPr="00142F67">
        <w:rPr>
          <w:rFonts w:ascii="Arial" w:hAnsi="Arial" w:cs="Arial"/>
        </w:rPr>
      </w:r>
      <w:r w:rsidRPr="00142F67">
        <w:rPr>
          <w:rFonts w:ascii="Arial" w:hAnsi="Arial" w:cs="Arial"/>
        </w:rPr>
        <w:fldChar w:fldCharType="separate"/>
      </w:r>
      <w:r w:rsidR="006709B5" w:rsidRPr="00B62C96">
        <w:rPr>
          <w:rFonts w:ascii="Arial" w:hAnsi="Arial" w:cs="Arial"/>
        </w:rPr>
        <w:t xml:space="preserve">Figure </w:t>
      </w:r>
      <w:r w:rsidR="006709B5">
        <w:rPr>
          <w:rFonts w:ascii="Arial" w:hAnsi="Arial" w:cs="Arial"/>
        </w:rPr>
        <w:t>17</w:t>
      </w:r>
      <w:r w:rsidRPr="00142F67">
        <w:rPr>
          <w:rFonts w:ascii="Arial" w:hAnsi="Arial" w:cs="Arial"/>
        </w:rPr>
        <w:fldChar w:fldCharType="end"/>
      </w:r>
      <w:r w:rsidRPr="00142F67">
        <w:rPr>
          <w:rFonts w:ascii="Arial" w:hAnsi="Arial" w:cs="Arial"/>
        </w:rPr>
        <w:t xml:space="preserve"> provides an example of the </w:t>
      </w:r>
      <w:r w:rsidRPr="00142F67">
        <w:rPr>
          <w:rFonts w:ascii="Arial" w:hAnsi="Arial" w:cs="Arial"/>
          <w:b/>
        </w:rPr>
        <w:t>Equity raising costs</w:t>
      </w:r>
      <w:r w:rsidRPr="00142F67">
        <w:rPr>
          <w:rFonts w:ascii="Arial" w:hAnsi="Arial" w:cs="Arial"/>
        </w:rPr>
        <w:t xml:space="preserve"> sheet.</w:t>
      </w:r>
    </w:p>
    <w:p w:rsidR="008270B1" w:rsidRPr="00B62C96" w:rsidRDefault="008270B1" w:rsidP="008270B1">
      <w:pPr>
        <w:pStyle w:val="Caption"/>
        <w:rPr>
          <w:rFonts w:ascii="Arial" w:hAnsi="Arial" w:cs="Arial"/>
        </w:rPr>
      </w:pPr>
      <w:bookmarkStart w:id="119" w:name="_Ref397601140"/>
      <w:r w:rsidRPr="00B62C96">
        <w:rPr>
          <w:rFonts w:ascii="Arial" w:hAnsi="Arial" w:cs="Arial"/>
        </w:rPr>
        <w:lastRenderedPageBreak/>
        <w:t xml:space="preserve">Figure </w:t>
      </w:r>
      <w:r w:rsidRPr="00B62C96">
        <w:rPr>
          <w:rFonts w:ascii="Arial" w:hAnsi="Arial" w:cs="Arial"/>
        </w:rPr>
        <w:fldChar w:fldCharType="begin"/>
      </w:r>
      <w:r w:rsidRPr="00B62C96">
        <w:rPr>
          <w:rFonts w:ascii="Arial" w:hAnsi="Arial" w:cs="Arial"/>
        </w:rPr>
        <w:instrText xml:space="preserve"> SEQ Figure \* ARABIC </w:instrText>
      </w:r>
      <w:r w:rsidRPr="00B62C96">
        <w:rPr>
          <w:rFonts w:ascii="Arial" w:hAnsi="Arial" w:cs="Arial"/>
        </w:rPr>
        <w:fldChar w:fldCharType="separate"/>
      </w:r>
      <w:r w:rsidR="006709B5">
        <w:rPr>
          <w:rFonts w:ascii="Arial" w:hAnsi="Arial" w:cs="Arial"/>
          <w:noProof/>
        </w:rPr>
        <w:t>17</w:t>
      </w:r>
      <w:r w:rsidRPr="00B62C96">
        <w:rPr>
          <w:rFonts w:ascii="Arial" w:hAnsi="Arial" w:cs="Arial"/>
          <w:noProof/>
        </w:rPr>
        <w:fldChar w:fldCharType="end"/>
      </w:r>
      <w:bookmarkEnd w:id="119"/>
      <w:r w:rsidRPr="00B62C96">
        <w:rPr>
          <w:rFonts w:ascii="Arial" w:hAnsi="Arial" w:cs="Arial"/>
        </w:rPr>
        <w:tab/>
        <w:t xml:space="preserve">Equity </w:t>
      </w:r>
      <w:proofErr w:type="gramStart"/>
      <w:r w:rsidRPr="00B62C96">
        <w:rPr>
          <w:rFonts w:ascii="Arial" w:hAnsi="Arial" w:cs="Arial"/>
        </w:rPr>
        <w:t>raising</w:t>
      </w:r>
      <w:proofErr w:type="gramEnd"/>
      <w:r w:rsidRPr="00B62C96">
        <w:rPr>
          <w:rFonts w:ascii="Arial" w:hAnsi="Arial" w:cs="Arial"/>
        </w:rPr>
        <w:t xml:space="preserve"> cost</w:t>
      </w:r>
      <w:r w:rsidR="009B1E03" w:rsidRPr="00B62C96">
        <w:rPr>
          <w:rFonts w:ascii="Arial" w:hAnsi="Arial" w:cs="Arial"/>
        </w:rPr>
        <w:t>s</w:t>
      </w:r>
      <w:r w:rsidRPr="00B62C96">
        <w:rPr>
          <w:rFonts w:ascii="Arial" w:hAnsi="Arial" w:cs="Arial"/>
        </w:rPr>
        <w:t xml:space="preserve"> sheet</w:t>
      </w:r>
    </w:p>
    <w:p w:rsidR="008270B1" w:rsidRPr="00B62C96" w:rsidRDefault="00250C3B" w:rsidP="008270B1">
      <w:pPr>
        <w:pStyle w:val="AERbodytext"/>
        <w:numPr>
          <w:ilvl w:val="0"/>
          <w:numId w:val="9"/>
        </w:numPr>
        <w:rPr>
          <w:rFonts w:ascii="Arial" w:hAnsi="Arial" w:cs="Arial"/>
        </w:rPr>
      </w:pPr>
      <w:r w:rsidRPr="00250C3B">
        <w:rPr>
          <w:noProof/>
          <w:lang w:eastAsia="en-AU"/>
        </w:rPr>
        <w:drawing>
          <wp:inline distT="0" distB="0" distL="0" distR="0" wp14:anchorId="00A5D863" wp14:editId="756B0389">
            <wp:extent cx="5731510" cy="47064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731510" cy="4706451"/>
                    </a:xfrm>
                    <a:prstGeom prst="rect">
                      <a:avLst/>
                    </a:prstGeom>
                  </pic:spPr>
                </pic:pic>
              </a:graphicData>
            </a:graphic>
          </wp:inline>
        </w:drawing>
      </w:r>
    </w:p>
    <w:p w:rsidR="008270B1" w:rsidRPr="00B62C96" w:rsidRDefault="008270B1" w:rsidP="00B62C96">
      <w:pPr>
        <w:pStyle w:val="Heading2"/>
        <w:numPr>
          <w:ilvl w:val="2"/>
          <w:numId w:val="10"/>
        </w:numPr>
        <w:rPr>
          <w:rFonts w:ascii="Arial" w:hAnsi="Arial" w:cs="Arial"/>
        </w:rPr>
      </w:pPr>
      <w:bookmarkStart w:id="120" w:name="_Toc399339688"/>
      <w:bookmarkStart w:id="121" w:name="_Toc409709128"/>
      <w:bookmarkStart w:id="122" w:name="_Toc410224094"/>
      <w:r w:rsidRPr="00B62C96">
        <w:rPr>
          <w:rFonts w:ascii="Arial" w:hAnsi="Arial" w:cs="Arial"/>
        </w:rPr>
        <w:t>Chart 1—Revenue sheet</w:t>
      </w:r>
      <w:bookmarkEnd w:id="120"/>
      <w:bookmarkEnd w:id="121"/>
      <w:bookmarkEnd w:id="122"/>
    </w:p>
    <w:p w:rsidR="008270B1" w:rsidRPr="00B62C96" w:rsidRDefault="008270B1" w:rsidP="008270B1">
      <w:pPr>
        <w:pStyle w:val="AERbodytext"/>
        <w:numPr>
          <w:ilvl w:val="0"/>
          <w:numId w:val="9"/>
        </w:numPr>
        <w:rPr>
          <w:rFonts w:ascii="Arial" w:hAnsi="Arial" w:cs="Arial"/>
        </w:rPr>
      </w:pPr>
      <w:r w:rsidRPr="00B62C96">
        <w:rPr>
          <w:rFonts w:ascii="Arial" w:hAnsi="Arial" w:cs="Arial"/>
        </w:rPr>
        <w:t xml:space="preserve">The </w:t>
      </w:r>
      <w:r w:rsidRPr="00B62C96">
        <w:rPr>
          <w:rStyle w:val="AERtextbold"/>
          <w:rFonts w:ascii="Arial" w:hAnsi="Arial" w:cs="Arial"/>
        </w:rPr>
        <w:t>Chart 1–Revenue</w:t>
      </w:r>
      <w:r w:rsidRPr="00B62C96">
        <w:rPr>
          <w:rFonts w:ascii="Arial" w:hAnsi="Arial" w:cs="Arial"/>
        </w:rPr>
        <w:t xml:space="preserve"> sheet displays charts for each form of control that incorporates the:</w:t>
      </w:r>
    </w:p>
    <w:p w:rsidR="008270B1" w:rsidRPr="00B62C96" w:rsidRDefault="008270B1" w:rsidP="002E584B">
      <w:pPr>
        <w:pStyle w:val="AERbulletlistfirststyle"/>
        <w:ind w:left="426" w:hanging="426"/>
        <w:rPr>
          <w:rFonts w:ascii="Arial" w:hAnsi="Arial" w:cs="Arial"/>
        </w:rPr>
      </w:pPr>
      <w:r w:rsidRPr="00B62C96">
        <w:rPr>
          <w:rFonts w:ascii="Arial" w:hAnsi="Arial" w:cs="Arial"/>
        </w:rPr>
        <w:t>nominal and real ARR</w:t>
      </w:r>
    </w:p>
    <w:p w:rsidR="008270B1" w:rsidRPr="00B62C96" w:rsidRDefault="008270B1" w:rsidP="002E584B">
      <w:pPr>
        <w:pStyle w:val="AERbulletlistfirststyle"/>
        <w:ind w:left="426" w:hanging="426"/>
        <w:rPr>
          <w:rFonts w:ascii="Arial" w:hAnsi="Arial" w:cs="Arial"/>
        </w:rPr>
      </w:pPr>
      <w:proofErr w:type="gramStart"/>
      <w:r w:rsidRPr="00B62C96">
        <w:rPr>
          <w:rFonts w:ascii="Arial" w:hAnsi="Arial" w:cs="Arial"/>
        </w:rPr>
        <w:t>nominal</w:t>
      </w:r>
      <w:proofErr w:type="gramEnd"/>
      <w:r w:rsidRPr="00B62C96">
        <w:rPr>
          <w:rFonts w:ascii="Arial" w:hAnsi="Arial" w:cs="Arial"/>
        </w:rPr>
        <w:t xml:space="preserve"> and real forecast expected revenues derived under the three forms of control</w:t>
      </w:r>
      <w:r w:rsidR="008514C9" w:rsidRPr="00B62C96">
        <w:rPr>
          <w:rFonts w:ascii="Arial" w:hAnsi="Arial" w:cs="Arial"/>
        </w:rPr>
        <w:t>.</w:t>
      </w:r>
      <w:r w:rsidRPr="00B62C96">
        <w:rPr>
          <w:rFonts w:ascii="Arial" w:hAnsi="Arial" w:cs="Arial"/>
        </w:rPr>
        <w:t xml:space="preserve"> </w:t>
      </w:r>
    </w:p>
    <w:p w:rsidR="008270B1" w:rsidRPr="00B62C96" w:rsidRDefault="008270B1" w:rsidP="008270B1">
      <w:pPr>
        <w:pStyle w:val="AERbodytext"/>
        <w:numPr>
          <w:ilvl w:val="0"/>
          <w:numId w:val="9"/>
        </w:numPr>
        <w:rPr>
          <w:rFonts w:ascii="Arial" w:hAnsi="Arial" w:cs="Arial"/>
        </w:rPr>
      </w:pPr>
      <w:r w:rsidRPr="00B62C96">
        <w:rPr>
          <w:rFonts w:ascii="Arial" w:hAnsi="Arial" w:cs="Arial"/>
        </w:rPr>
        <w:t xml:space="preserve">This information is sourced from the </w:t>
      </w:r>
      <w:r w:rsidRPr="00B62C96">
        <w:rPr>
          <w:rStyle w:val="AERtextbold"/>
          <w:rFonts w:ascii="Arial" w:hAnsi="Arial" w:cs="Arial"/>
        </w:rPr>
        <w:t>Revenue summary</w:t>
      </w:r>
      <w:r w:rsidRPr="00B62C96">
        <w:rPr>
          <w:rFonts w:ascii="Arial" w:hAnsi="Arial" w:cs="Arial"/>
        </w:rPr>
        <w:t xml:space="preserve"> sheet. </w:t>
      </w:r>
    </w:p>
    <w:p w:rsidR="008270B1" w:rsidRPr="00B62C96" w:rsidRDefault="008270B1" w:rsidP="008270B1">
      <w:pPr>
        <w:pStyle w:val="AERbodytext"/>
        <w:numPr>
          <w:ilvl w:val="0"/>
          <w:numId w:val="9"/>
        </w:numPr>
        <w:rPr>
          <w:rFonts w:ascii="Arial" w:hAnsi="Arial" w:cs="Arial"/>
        </w:rPr>
      </w:pPr>
      <w:r w:rsidRPr="00B62C96">
        <w:rPr>
          <w:rFonts w:ascii="Arial" w:hAnsi="Arial" w:cs="Arial"/>
        </w:rPr>
        <w:fldChar w:fldCharType="begin"/>
      </w:r>
      <w:r w:rsidRPr="00B62C96">
        <w:rPr>
          <w:rFonts w:ascii="Arial" w:hAnsi="Arial" w:cs="Arial"/>
        </w:rPr>
        <w:instrText xml:space="preserve"> REF _Ref397601130 \h  \* MERGEFORMAT </w:instrText>
      </w:r>
      <w:r w:rsidRPr="00B62C96">
        <w:rPr>
          <w:rFonts w:ascii="Arial" w:hAnsi="Arial" w:cs="Arial"/>
        </w:rPr>
      </w:r>
      <w:r w:rsidRPr="00B62C96">
        <w:rPr>
          <w:rFonts w:ascii="Arial" w:hAnsi="Arial" w:cs="Arial"/>
        </w:rPr>
        <w:fldChar w:fldCharType="separate"/>
      </w:r>
      <w:r w:rsidR="006709B5" w:rsidRPr="00B62C96">
        <w:rPr>
          <w:rFonts w:ascii="Arial" w:hAnsi="Arial" w:cs="Arial"/>
        </w:rPr>
        <w:t xml:space="preserve">Figure </w:t>
      </w:r>
      <w:r w:rsidR="006709B5">
        <w:rPr>
          <w:rFonts w:ascii="Arial" w:hAnsi="Arial" w:cs="Arial"/>
          <w:noProof/>
        </w:rPr>
        <w:t>18</w:t>
      </w:r>
      <w:r w:rsidRPr="00B62C96">
        <w:rPr>
          <w:rFonts w:ascii="Arial" w:hAnsi="Arial" w:cs="Arial"/>
        </w:rPr>
        <w:fldChar w:fldCharType="end"/>
      </w:r>
      <w:r w:rsidRPr="00B62C96">
        <w:rPr>
          <w:rFonts w:ascii="Arial" w:hAnsi="Arial" w:cs="Arial"/>
        </w:rPr>
        <w:t xml:space="preserve"> provides an example of the </w:t>
      </w:r>
      <w:r w:rsidRPr="00B62C96">
        <w:rPr>
          <w:rStyle w:val="AERtextbold"/>
          <w:rFonts w:ascii="Arial" w:hAnsi="Arial" w:cs="Arial"/>
        </w:rPr>
        <w:t>Chart 1–Revenue</w:t>
      </w:r>
      <w:r w:rsidRPr="00B62C96">
        <w:rPr>
          <w:rFonts w:ascii="Arial" w:hAnsi="Arial" w:cs="Arial"/>
        </w:rPr>
        <w:t xml:space="preserve"> sheet.</w:t>
      </w:r>
    </w:p>
    <w:p w:rsidR="008270B1" w:rsidRPr="00B62C96" w:rsidRDefault="008270B1" w:rsidP="008270B1">
      <w:pPr>
        <w:pStyle w:val="Caption"/>
        <w:rPr>
          <w:rFonts w:ascii="Arial" w:hAnsi="Arial" w:cs="Arial"/>
        </w:rPr>
      </w:pPr>
      <w:bookmarkStart w:id="123" w:name="_Ref397601130"/>
      <w:r w:rsidRPr="00B62C96">
        <w:rPr>
          <w:rFonts w:ascii="Arial" w:hAnsi="Arial" w:cs="Arial"/>
        </w:rPr>
        <w:lastRenderedPageBreak/>
        <w:t xml:space="preserve">Figure </w:t>
      </w:r>
      <w:r w:rsidRPr="00B62C96">
        <w:rPr>
          <w:rFonts w:ascii="Arial" w:hAnsi="Arial" w:cs="Arial"/>
        </w:rPr>
        <w:fldChar w:fldCharType="begin"/>
      </w:r>
      <w:r w:rsidRPr="00B62C96">
        <w:rPr>
          <w:rFonts w:ascii="Arial" w:hAnsi="Arial" w:cs="Arial"/>
        </w:rPr>
        <w:instrText xml:space="preserve"> SEQ Figure \* ARABIC </w:instrText>
      </w:r>
      <w:r w:rsidRPr="00B62C96">
        <w:rPr>
          <w:rFonts w:ascii="Arial" w:hAnsi="Arial" w:cs="Arial"/>
        </w:rPr>
        <w:fldChar w:fldCharType="separate"/>
      </w:r>
      <w:r w:rsidR="006709B5">
        <w:rPr>
          <w:rFonts w:ascii="Arial" w:hAnsi="Arial" w:cs="Arial"/>
          <w:noProof/>
        </w:rPr>
        <w:t>18</w:t>
      </w:r>
      <w:r w:rsidRPr="00B62C96">
        <w:rPr>
          <w:rFonts w:ascii="Arial" w:hAnsi="Arial" w:cs="Arial"/>
          <w:noProof/>
        </w:rPr>
        <w:fldChar w:fldCharType="end"/>
      </w:r>
      <w:bookmarkEnd w:id="123"/>
      <w:r w:rsidRPr="00B62C96">
        <w:rPr>
          <w:rFonts w:ascii="Arial" w:hAnsi="Arial" w:cs="Arial"/>
        </w:rPr>
        <w:tab/>
        <w:t>Chart 1—Revenue sheet</w:t>
      </w:r>
    </w:p>
    <w:p w:rsidR="008270B1" w:rsidRPr="00B62C96" w:rsidRDefault="006A27F9" w:rsidP="008270B1">
      <w:pPr>
        <w:pStyle w:val="AERbodytext"/>
        <w:numPr>
          <w:ilvl w:val="0"/>
          <w:numId w:val="9"/>
        </w:numPr>
        <w:rPr>
          <w:rFonts w:ascii="Arial" w:hAnsi="Arial" w:cs="Arial"/>
        </w:rPr>
      </w:pPr>
      <w:r>
        <w:rPr>
          <w:noProof/>
          <w:lang w:eastAsia="en-AU"/>
        </w:rPr>
        <w:drawing>
          <wp:inline distT="0" distB="0" distL="0" distR="0" wp14:anchorId="239B875E" wp14:editId="20A4DE71">
            <wp:extent cx="5731510" cy="4260667"/>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731510" cy="4260667"/>
                    </a:xfrm>
                    <a:prstGeom prst="rect">
                      <a:avLst/>
                    </a:prstGeom>
                  </pic:spPr>
                </pic:pic>
              </a:graphicData>
            </a:graphic>
          </wp:inline>
        </w:drawing>
      </w:r>
    </w:p>
    <w:p w:rsidR="008270B1" w:rsidRPr="00B62C96" w:rsidRDefault="008270B1" w:rsidP="008270B1">
      <w:pPr>
        <w:pStyle w:val="AERtablesource"/>
        <w:rPr>
          <w:rFonts w:ascii="Arial" w:hAnsi="Arial" w:cs="Arial"/>
        </w:rPr>
      </w:pPr>
      <w:r w:rsidRPr="00B62C96">
        <w:rPr>
          <w:rFonts w:ascii="Arial" w:hAnsi="Arial" w:cs="Arial"/>
        </w:rPr>
        <w:t>Note:</w:t>
      </w:r>
      <w:r w:rsidRPr="00B62C96">
        <w:rPr>
          <w:rFonts w:ascii="Arial" w:hAnsi="Arial" w:cs="Arial"/>
        </w:rPr>
        <w:tab/>
        <w:t xml:space="preserve">This screenshot only shows an example chart for the weighted average price cap form of control. However, the </w:t>
      </w:r>
      <w:r w:rsidRPr="00B62C96">
        <w:rPr>
          <w:rStyle w:val="AERtextbold"/>
          <w:rFonts w:ascii="Arial" w:hAnsi="Arial" w:cs="Arial"/>
        </w:rPr>
        <w:t>Chart 1—Revenue</w:t>
      </w:r>
      <w:r w:rsidRPr="00B62C96">
        <w:rPr>
          <w:rFonts w:ascii="Arial" w:hAnsi="Arial" w:cs="Arial"/>
        </w:rPr>
        <w:t xml:space="preserve"> sheet also includes similar charts for the revenue cap and revenue yield forms of control.</w:t>
      </w:r>
    </w:p>
    <w:p w:rsidR="008270B1" w:rsidRPr="00B62C96" w:rsidRDefault="008270B1" w:rsidP="00B62C96">
      <w:pPr>
        <w:pStyle w:val="Heading2"/>
        <w:numPr>
          <w:ilvl w:val="2"/>
          <w:numId w:val="10"/>
        </w:numPr>
        <w:rPr>
          <w:rFonts w:ascii="Arial" w:hAnsi="Arial" w:cs="Arial"/>
        </w:rPr>
      </w:pPr>
      <w:bookmarkStart w:id="124" w:name="_Toc399339689"/>
      <w:bookmarkStart w:id="125" w:name="_Toc409709129"/>
      <w:bookmarkStart w:id="126" w:name="_Toc410224095"/>
      <w:r w:rsidRPr="00B62C96">
        <w:rPr>
          <w:rFonts w:ascii="Arial" w:hAnsi="Arial" w:cs="Arial"/>
        </w:rPr>
        <w:t>Chart 2—Price path sheet</w:t>
      </w:r>
      <w:bookmarkEnd w:id="124"/>
      <w:bookmarkEnd w:id="125"/>
      <w:bookmarkEnd w:id="126"/>
    </w:p>
    <w:p w:rsidR="008270B1" w:rsidRPr="00B62C96" w:rsidRDefault="008270B1" w:rsidP="008270B1">
      <w:pPr>
        <w:pStyle w:val="AERbodytext"/>
        <w:numPr>
          <w:ilvl w:val="0"/>
          <w:numId w:val="9"/>
        </w:numPr>
        <w:rPr>
          <w:rFonts w:ascii="Arial" w:hAnsi="Arial" w:cs="Arial"/>
        </w:rPr>
      </w:pPr>
      <w:r w:rsidRPr="00B62C96">
        <w:rPr>
          <w:rFonts w:ascii="Arial" w:hAnsi="Arial" w:cs="Arial"/>
        </w:rPr>
        <w:t xml:space="preserve">The </w:t>
      </w:r>
      <w:r w:rsidRPr="00B62C96">
        <w:rPr>
          <w:rStyle w:val="AERtextbold"/>
          <w:rFonts w:ascii="Arial" w:hAnsi="Arial" w:cs="Arial"/>
        </w:rPr>
        <w:t>Chart 2–Price path</w:t>
      </w:r>
      <w:r w:rsidRPr="00B62C96">
        <w:rPr>
          <w:rFonts w:ascii="Arial" w:hAnsi="Arial" w:cs="Arial"/>
        </w:rPr>
        <w:t xml:space="preserve"> sheet displays charts for each form of control that incorporate the value of average prices (approximated by total revenues divided by total energy demand forecast, or the revenue yield value) in nominal and real dollar terms (start of year one). This information is sourced from the </w:t>
      </w:r>
      <w:r w:rsidRPr="00B62C96">
        <w:rPr>
          <w:rStyle w:val="AERtextbold"/>
          <w:rFonts w:ascii="Arial" w:hAnsi="Arial" w:cs="Arial"/>
        </w:rPr>
        <w:t>Revenue summary</w:t>
      </w:r>
      <w:r w:rsidRPr="00B62C96">
        <w:rPr>
          <w:rFonts w:ascii="Arial" w:hAnsi="Arial" w:cs="Arial"/>
        </w:rPr>
        <w:t xml:space="preserve"> sheet.</w:t>
      </w:r>
    </w:p>
    <w:p w:rsidR="008270B1" w:rsidRPr="00B62C96" w:rsidRDefault="008270B1" w:rsidP="008270B1">
      <w:pPr>
        <w:pStyle w:val="AERbodytext"/>
        <w:numPr>
          <w:ilvl w:val="0"/>
          <w:numId w:val="9"/>
        </w:numPr>
        <w:rPr>
          <w:rFonts w:ascii="Arial" w:hAnsi="Arial" w:cs="Arial"/>
        </w:rPr>
      </w:pPr>
      <w:r w:rsidRPr="00B62C96">
        <w:rPr>
          <w:rFonts w:ascii="Arial" w:hAnsi="Arial" w:cs="Arial"/>
        </w:rPr>
        <w:fldChar w:fldCharType="begin"/>
      </w:r>
      <w:r w:rsidRPr="00B62C96">
        <w:rPr>
          <w:rFonts w:ascii="Arial" w:hAnsi="Arial" w:cs="Arial"/>
        </w:rPr>
        <w:instrText xml:space="preserve"> REF _Ref397601121 \h  \* MERGEFORMAT </w:instrText>
      </w:r>
      <w:r w:rsidRPr="00B62C96">
        <w:rPr>
          <w:rFonts w:ascii="Arial" w:hAnsi="Arial" w:cs="Arial"/>
        </w:rPr>
      </w:r>
      <w:r w:rsidRPr="00B62C96">
        <w:rPr>
          <w:rFonts w:ascii="Arial" w:hAnsi="Arial" w:cs="Arial"/>
        </w:rPr>
        <w:fldChar w:fldCharType="separate"/>
      </w:r>
      <w:r w:rsidR="006709B5" w:rsidRPr="00B62C96">
        <w:rPr>
          <w:rFonts w:ascii="Arial" w:hAnsi="Arial" w:cs="Arial"/>
        </w:rPr>
        <w:t xml:space="preserve">Figure </w:t>
      </w:r>
      <w:r w:rsidR="006709B5">
        <w:rPr>
          <w:rFonts w:ascii="Arial" w:hAnsi="Arial" w:cs="Arial"/>
          <w:noProof/>
        </w:rPr>
        <w:t>19</w:t>
      </w:r>
      <w:r w:rsidRPr="00B62C96">
        <w:rPr>
          <w:rFonts w:ascii="Arial" w:hAnsi="Arial" w:cs="Arial"/>
        </w:rPr>
        <w:fldChar w:fldCharType="end"/>
      </w:r>
      <w:r w:rsidRPr="00B62C96">
        <w:rPr>
          <w:rFonts w:ascii="Arial" w:hAnsi="Arial" w:cs="Arial"/>
        </w:rPr>
        <w:t xml:space="preserve"> provides an example of the </w:t>
      </w:r>
      <w:r w:rsidRPr="00B62C96">
        <w:rPr>
          <w:rStyle w:val="AERtextbold"/>
          <w:rFonts w:ascii="Arial" w:hAnsi="Arial" w:cs="Arial"/>
        </w:rPr>
        <w:t>Chart 2–Price path</w:t>
      </w:r>
      <w:r w:rsidRPr="00B62C96">
        <w:rPr>
          <w:rFonts w:ascii="Arial" w:hAnsi="Arial" w:cs="Arial"/>
        </w:rPr>
        <w:t xml:space="preserve"> sheet.</w:t>
      </w:r>
    </w:p>
    <w:p w:rsidR="008270B1" w:rsidRPr="00B62C96" w:rsidRDefault="008270B1" w:rsidP="008270B1">
      <w:pPr>
        <w:pStyle w:val="Caption"/>
        <w:rPr>
          <w:rFonts w:ascii="Arial" w:hAnsi="Arial" w:cs="Arial"/>
        </w:rPr>
      </w:pPr>
      <w:bookmarkStart w:id="127" w:name="_Ref397601121"/>
      <w:r w:rsidRPr="00B62C96">
        <w:rPr>
          <w:rFonts w:ascii="Arial" w:hAnsi="Arial" w:cs="Arial"/>
        </w:rPr>
        <w:lastRenderedPageBreak/>
        <w:t xml:space="preserve">Figure </w:t>
      </w:r>
      <w:r w:rsidRPr="00B62C96">
        <w:rPr>
          <w:rFonts w:ascii="Arial" w:hAnsi="Arial" w:cs="Arial"/>
        </w:rPr>
        <w:fldChar w:fldCharType="begin"/>
      </w:r>
      <w:r w:rsidRPr="00B62C96">
        <w:rPr>
          <w:rFonts w:ascii="Arial" w:hAnsi="Arial" w:cs="Arial"/>
        </w:rPr>
        <w:instrText xml:space="preserve"> SEQ Figure \* ARABIC </w:instrText>
      </w:r>
      <w:r w:rsidRPr="00B62C96">
        <w:rPr>
          <w:rFonts w:ascii="Arial" w:hAnsi="Arial" w:cs="Arial"/>
        </w:rPr>
        <w:fldChar w:fldCharType="separate"/>
      </w:r>
      <w:r w:rsidR="006709B5">
        <w:rPr>
          <w:rFonts w:ascii="Arial" w:hAnsi="Arial" w:cs="Arial"/>
          <w:noProof/>
        </w:rPr>
        <w:t>19</w:t>
      </w:r>
      <w:r w:rsidRPr="00B62C96">
        <w:rPr>
          <w:rFonts w:ascii="Arial" w:hAnsi="Arial" w:cs="Arial"/>
          <w:noProof/>
        </w:rPr>
        <w:fldChar w:fldCharType="end"/>
      </w:r>
      <w:bookmarkEnd w:id="127"/>
      <w:r w:rsidRPr="00B62C96">
        <w:rPr>
          <w:rFonts w:ascii="Arial" w:hAnsi="Arial" w:cs="Arial"/>
        </w:rPr>
        <w:tab/>
        <w:t>Chart 2–Price path sheet</w:t>
      </w:r>
    </w:p>
    <w:p w:rsidR="008270B1" w:rsidRPr="00B62C96" w:rsidRDefault="006A27F9" w:rsidP="008270B1">
      <w:pPr>
        <w:pStyle w:val="AERbodytext"/>
        <w:numPr>
          <w:ilvl w:val="0"/>
          <w:numId w:val="9"/>
        </w:numPr>
        <w:rPr>
          <w:rFonts w:ascii="Arial" w:hAnsi="Arial" w:cs="Arial"/>
        </w:rPr>
      </w:pPr>
      <w:r>
        <w:rPr>
          <w:noProof/>
          <w:lang w:eastAsia="en-AU"/>
        </w:rPr>
        <w:drawing>
          <wp:inline distT="0" distB="0" distL="0" distR="0" wp14:anchorId="6FF65EDA" wp14:editId="59A1CE2D">
            <wp:extent cx="5731510" cy="4245971"/>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731510" cy="4245971"/>
                    </a:xfrm>
                    <a:prstGeom prst="rect">
                      <a:avLst/>
                    </a:prstGeom>
                  </pic:spPr>
                </pic:pic>
              </a:graphicData>
            </a:graphic>
          </wp:inline>
        </w:drawing>
      </w:r>
    </w:p>
    <w:p w:rsidR="008270B1" w:rsidRPr="00B62C96" w:rsidRDefault="008270B1" w:rsidP="008270B1">
      <w:pPr>
        <w:pStyle w:val="AERtablesource"/>
        <w:rPr>
          <w:rFonts w:ascii="Arial" w:hAnsi="Arial" w:cs="Arial"/>
        </w:rPr>
      </w:pPr>
      <w:r w:rsidRPr="00B62C96">
        <w:rPr>
          <w:rFonts w:ascii="Arial" w:hAnsi="Arial" w:cs="Arial"/>
        </w:rPr>
        <w:t>Note:</w:t>
      </w:r>
      <w:r w:rsidRPr="00B62C96">
        <w:rPr>
          <w:rFonts w:ascii="Arial" w:hAnsi="Arial" w:cs="Arial"/>
        </w:rPr>
        <w:tab/>
        <w:t xml:space="preserve">This screenshot only shows an example chart for the weighted average price cap form of control. However, the </w:t>
      </w:r>
      <w:r w:rsidRPr="00B62C96">
        <w:rPr>
          <w:rStyle w:val="AERtextbold"/>
          <w:rFonts w:ascii="Arial" w:hAnsi="Arial" w:cs="Arial"/>
        </w:rPr>
        <w:t>Chart 2—Price path</w:t>
      </w:r>
      <w:r w:rsidRPr="00B62C96">
        <w:rPr>
          <w:rFonts w:ascii="Arial" w:hAnsi="Arial" w:cs="Arial"/>
        </w:rPr>
        <w:t xml:space="preserve"> sheet also includes similar charts for the revenue cap and revenue yield forms of control.</w:t>
      </w:r>
    </w:p>
    <w:p w:rsidR="008270B1" w:rsidRPr="00B62C96" w:rsidRDefault="008270B1" w:rsidP="00B62C96">
      <w:pPr>
        <w:pStyle w:val="Heading2"/>
        <w:numPr>
          <w:ilvl w:val="2"/>
          <w:numId w:val="10"/>
        </w:numPr>
        <w:rPr>
          <w:rFonts w:ascii="Arial" w:hAnsi="Arial" w:cs="Arial"/>
        </w:rPr>
      </w:pPr>
      <w:bookmarkStart w:id="128" w:name="_Toc399339690"/>
      <w:bookmarkStart w:id="129" w:name="_Toc409709130"/>
      <w:bookmarkStart w:id="130" w:name="_Toc410224096"/>
      <w:r w:rsidRPr="00B62C96">
        <w:rPr>
          <w:rFonts w:ascii="Arial" w:hAnsi="Arial" w:cs="Arial"/>
        </w:rPr>
        <w:t>Chart 3—Building blocks sheet</w:t>
      </w:r>
      <w:bookmarkEnd w:id="128"/>
      <w:bookmarkEnd w:id="129"/>
      <w:bookmarkEnd w:id="130"/>
    </w:p>
    <w:p w:rsidR="008270B1" w:rsidRPr="00B62C96" w:rsidRDefault="008270B1" w:rsidP="008270B1">
      <w:pPr>
        <w:pStyle w:val="AERbodytext"/>
        <w:numPr>
          <w:ilvl w:val="0"/>
          <w:numId w:val="9"/>
        </w:numPr>
        <w:rPr>
          <w:rFonts w:ascii="Arial" w:hAnsi="Arial" w:cs="Arial"/>
        </w:rPr>
      </w:pPr>
      <w:r w:rsidRPr="00B62C96">
        <w:rPr>
          <w:rFonts w:ascii="Arial" w:hAnsi="Arial" w:cs="Arial"/>
        </w:rPr>
        <w:t xml:space="preserve">The </w:t>
      </w:r>
      <w:r w:rsidRPr="00B62C96">
        <w:rPr>
          <w:rStyle w:val="AERtextbold"/>
          <w:rFonts w:ascii="Arial" w:hAnsi="Arial" w:cs="Arial"/>
        </w:rPr>
        <w:t>Chart 3–Building blocks</w:t>
      </w:r>
      <w:r w:rsidRPr="00B62C96">
        <w:rPr>
          <w:rFonts w:ascii="Arial" w:hAnsi="Arial" w:cs="Arial"/>
        </w:rPr>
        <w:t xml:space="preserve"> sheet displays the various building block cost components making up the ARR:</w:t>
      </w:r>
    </w:p>
    <w:p w:rsidR="008270B1" w:rsidRPr="00B62C96" w:rsidRDefault="008270B1" w:rsidP="005C3CBC">
      <w:pPr>
        <w:pStyle w:val="AERbulletlistfirststyle"/>
        <w:tabs>
          <w:tab w:val="clear" w:pos="357"/>
          <w:tab w:val="left" w:pos="426"/>
        </w:tabs>
        <w:ind w:left="426" w:hanging="426"/>
        <w:rPr>
          <w:rFonts w:ascii="Arial" w:hAnsi="Arial" w:cs="Arial"/>
        </w:rPr>
      </w:pPr>
      <w:r w:rsidRPr="00B62C96">
        <w:rPr>
          <w:rFonts w:ascii="Arial" w:hAnsi="Arial" w:cs="Arial"/>
        </w:rPr>
        <w:t xml:space="preserve">return on capital </w:t>
      </w:r>
    </w:p>
    <w:p w:rsidR="008270B1" w:rsidRPr="00B62C96" w:rsidRDefault="008270B1" w:rsidP="005C3CBC">
      <w:pPr>
        <w:pStyle w:val="AERbulletlistfirststyle"/>
        <w:tabs>
          <w:tab w:val="clear" w:pos="357"/>
          <w:tab w:val="left" w:pos="426"/>
        </w:tabs>
        <w:ind w:left="426" w:hanging="426"/>
        <w:rPr>
          <w:rFonts w:ascii="Arial" w:hAnsi="Arial" w:cs="Arial"/>
        </w:rPr>
      </w:pPr>
      <w:r w:rsidRPr="00B62C96">
        <w:rPr>
          <w:rFonts w:ascii="Arial" w:hAnsi="Arial" w:cs="Arial"/>
        </w:rPr>
        <w:t>regulatory depreciation</w:t>
      </w:r>
    </w:p>
    <w:p w:rsidR="008270B1" w:rsidRPr="00B62C96" w:rsidRDefault="008270B1" w:rsidP="005C3CBC">
      <w:pPr>
        <w:pStyle w:val="AERbulletlistfirststyle"/>
        <w:tabs>
          <w:tab w:val="clear" w:pos="357"/>
          <w:tab w:val="left" w:pos="426"/>
        </w:tabs>
        <w:ind w:left="426" w:hanging="426"/>
        <w:rPr>
          <w:rFonts w:ascii="Arial" w:hAnsi="Arial" w:cs="Arial"/>
        </w:rPr>
      </w:pPr>
      <w:proofErr w:type="spellStart"/>
      <w:r w:rsidRPr="00B62C96">
        <w:rPr>
          <w:rFonts w:ascii="Arial" w:hAnsi="Arial" w:cs="Arial"/>
        </w:rPr>
        <w:t>opex</w:t>
      </w:r>
      <w:proofErr w:type="spellEnd"/>
      <w:r w:rsidRPr="00B62C96">
        <w:rPr>
          <w:rFonts w:ascii="Arial" w:hAnsi="Arial" w:cs="Arial"/>
        </w:rPr>
        <w:t xml:space="preserve"> (excluding any carry-over amounts)</w:t>
      </w:r>
    </w:p>
    <w:p w:rsidR="008270B1" w:rsidRPr="00B62C96" w:rsidRDefault="008270B1" w:rsidP="005C3CBC">
      <w:pPr>
        <w:pStyle w:val="AERbulletlistfirststyle"/>
        <w:tabs>
          <w:tab w:val="clear" w:pos="357"/>
          <w:tab w:val="left" w:pos="426"/>
        </w:tabs>
        <w:ind w:left="426" w:hanging="426"/>
        <w:rPr>
          <w:rFonts w:ascii="Arial" w:hAnsi="Arial" w:cs="Arial"/>
        </w:rPr>
      </w:pPr>
      <w:r w:rsidRPr="00B62C96">
        <w:rPr>
          <w:rFonts w:ascii="Arial" w:hAnsi="Arial" w:cs="Arial"/>
        </w:rPr>
        <w:t xml:space="preserve">net tax costs </w:t>
      </w:r>
    </w:p>
    <w:p w:rsidR="008270B1" w:rsidRPr="00B62C96" w:rsidRDefault="008270B1" w:rsidP="005C3CBC">
      <w:pPr>
        <w:pStyle w:val="AERbulletlistfirststyle"/>
        <w:tabs>
          <w:tab w:val="clear" w:pos="357"/>
          <w:tab w:val="left" w:pos="426"/>
        </w:tabs>
        <w:ind w:left="426" w:hanging="426"/>
        <w:rPr>
          <w:rFonts w:ascii="Arial" w:hAnsi="Arial" w:cs="Arial"/>
        </w:rPr>
      </w:pPr>
      <w:proofErr w:type="gramStart"/>
      <w:r w:rsidRPr="00B62C96">
        <w:rPr>
          <w:rFonts w:ascii="Arial" w:hAnsi="Arial" w:cs="Arial"/>
        </w:rPr>
        <w:t>carry-over</w:t>
      </w:r>
      <w:proofErr w:type="gramEnd"/>
      <w:r w:rsidRPr="00B62C96">
        <w:rPr>
          <w:rFonts w:ascii="Arial" w:hAnsi="Arial" w:cs="Arial"/>
        </w:rPr>
        <w:t xml:space="preserve"> and other revenue adjustments. </w:t>
      </w:r>
    </w:p>
    <w:p w:rsidR="008270B1" w:rsidRPr="00B62C96" w:rsidRDefault="008270B1" w:rsidP="008270B1">
      <w:pPr>
        <w:pStyle w:val="AERbodytext"/>
        <w:numPr>
          <w:ilvl w:val="0"/>
          <w:numId w:val="9"/>
        </w:numPr>
        <w:rPr>
          <w:rFonts w:ascii="Arial" w:hAnsi="Arial" w:cs="Arial"/>
        </w:rPr>
      </w:pPr>
      <w:r w:rsidRPr="00B62C96">
        <w:rPr>
          <w:rFonts w:ascii="Arial" w:hAnsi="Arial" w:cs="Arial"/>
        </w:rPr>
        <w:t xml:space="preserve">This information is sourced from the </w:t>
      </w:r>
      <w:r w:rsidRPr="00B62C96">
        <w:rPr>
          <w:rStyle w:val="AERtextbold"/>
          <w:rFonts w:ascii="Arial" w:hAnsi="Arial" w:cs="Arial"/>
        </w:rPr>
        <w:t>Analysis</w:t>
      </w:r>
      <w:r w:rsidRPr="00B62C96">
        <w:rPr>
          <w:rFonts w:ascii="Arial" w:hAnsi="Arial" w:cs="Arial"/>
        </w:rPr>
        <w:t xml:space="preserve"> sheet. </w:t>
      </w:r>
    </w:p>
    <w:p w:rsidR="008270B1" w:rsidRPr="00B62C96" w:rsidRDefault="008270B1" w:rsidP="008270B1">
      <w:pPr>
        <w:pStyle w:val="AERbodytext"/>
        <w:numPr>
          <w:ilvl w:val="0"/>
          <w:numId w:val="9"/>
        </w:numPr>
        <w:rPr>
          <w:rFonts w:ascii="Arial" w:hAnsi="Arial" w:cs="Arial"/>
        </w:rPr>
      </w:pPr>
      <w:r w:rsidRPr="00B62C96">
        <w:rPr>
          <w:rFonts w:ascii="Arial" w:hAnsi="Arial" w:cs="Arial"/>
        </w:rPr>
        <w:fldChar w:fldCharType="begin"/>
      </w:r>
      <w:r w:rsidRPr="00B62C96">
        <w:rPr>
          <w:rFonts w:ascii="Arial" w:hAnsi="Arial" w:cs="Arial"/>
        </w:rPr>
        <w:instrText xml:space="preserve"> REF _Ref397601111 \h  \* MERGEFORMAT </w:instrText>
      </w:r>
      <w:r w:rsidRPr="00B62C96">
        <w:rPr>
          <w:rFonts w:ascii="Arial" w:hAnsi="Arial" w:cs="Arial"/>
        </w:rPr>
      </w:r>
      <w:r w:rsidRPr="00B62C96">
        <w:rPr>
          <w:rFonts w:ascii="Arial" w:hAnsi="Arial" w:cs="Arial"/>
        </w:rPr>
        <w:fldChar w:fldCharType="separate"/>
      </w:r>
      <w:r w:rsidR="006709B5" w:rsidRPr="00B62C96">
        <w:rPr>
          <w:rFonts w:ascii="Arial" w:hAnsi="Arial" w:cs="Arial"/>
        </w:rPr>
        <w:t xml:space="preserve">Figure </w:t>
      </w:r>
      <w:r w:rsidR="006709B5">
        <w:rPr>
          <w:rFonts w:ascii="Arial" w:hAnsi="Arial" w:cs="Arial"/>
          <w:noProof/>
        </w:rPr>
        <w:t>20</w:t>
      </w:r>
      <w:r w:rsidRPr="00B62C96">
        <w:rPr>
          <w:rFonts w:ascii="Arial" w:hAnsi="Arial" w:cs="Arial"/>
        </w:rPr>
        <w:fldChar w:fldCharType="end"/>
      </w:r>
      <w:r w:rsidRPr="00B62C96">
        <w:rPr>
          <w:rFonts w:ascii="Arial" w:hAnsi="Arial" w:cs="Arial"/>
        </w:rPr>
        <w:t xml:space="preserve"> provides an example of the </w:t>
      </w:r>
      <w:r w:rsidRPr="00B62C96">
        <w:rPr>
          <w:rStyle w:val="AERtextbold"/>
          <w:rFonts w:ascii="Arial" w:hAnsi="Arial" w:cs="Arial"/>
        </w:rPr>
        <w:t>Chart 3–Building blocks</w:t>
      </w:r>
      <w:r w:rsidRPr="00B62C96">
        <w:rPr>
          <w:rFonts w:ascii="Arial" w:hAnsi="Arial" w:cs="Arial"/>
        </w:rPr>
        <w:t xml:space="preserve"> sheet.</w:t>
      </w:r>
    </w:p>
    <w:p w:rsidR="008270B1" w:rsidRPr="00B62C96" w:rsidRDefault="008270B1" w:rsidP="008270B1">
      <w:pPr>
        <w:pStyle w:val="Caption"/>
        <w:rPr>
          <w:rFonts w:ascii="Arial" w:hAnsi="Arial" w:cs="Arial"/>
        </w:rPr>
      </w:pPr>
      <w:bookmarkStart w:id="131" w:name="_Ref397601111"/>
      <w:r w:rsidRPr="00B62C96">
        <w:rPr>
          <w:rFonts w:ascii="Arial" w:hAnsi="Arial" w:cs="Arial"/>
        </w:rPr>
        <w:lastRenderedPageBreak/>
        <w:t xml:space="preserve">Figure </w:t>
      </w:r>
      <w:r w:rsidRPr="00B62C96">
        <w:rPr>
          <w:rFonts w:ascii="Arial" w:hAnsi="Arial" w:cs="Arial"/>
        </w:rPr>
        <w:fldChar w:fldCharType="begin"/>
      </w:r>
      <w:r w:rsidRPr="00B62C96">
        <w:rPr>
          <w:rFonts w:ascii="Arial" w:hAnsi="Arial" w:cs="Arial"/>
        </w:rPr>
        <w:instrText xml:space="preserve"> SEQ Figure \* ARABIC </w:instrText>
      </w:r>
      <w:r w:rsidRPr="00B62C96">
        <w:rPr>
          <w:rFonts w:ascii="Arial" w:hAnsi="Arial" w:cs="Arial"/>
        </w:rPr>
        <w:fldChar w:fldCharType="separate"/>
      </w:r>
      <w:r w:rsidR="006709B5">
        <w:rPr>
          <w:rFonts w:ascii="Arial" w:hAnsi="Arial" w:cs="Arial"/>
          <w:noProof/>
        </w:rPr>
        <w:t>20</w:t>
      </w:r>
      <w:r w:rsidRPr="00B62C96">
        <w:rPr>
          <w:rFonts w:ascii="Arial" w:hAnsi="Arial" w:cs="Arial"/>
          <w:noProof/>
        </w:rPr>
        <w:fldChar w:fldCharType="end"/>
      </w:r>
      <w:bookmarkEnd w:id="131"/>
      <w:r w:rsidRPr="00B62C96">
        <w:rPr>
          <w:rFonts w:ascii="Arial" w:hAnsi="Arial" w:cs="Arial"/>
        </w:rPr>
        <w:tab/>
        <w:t>Chart 3–Building blocks sheet</w:t>
      </w:r>
    </w:p>
    <w:p w:rsidR="008270B1" w:rsidRDefault="006A27F9" w:rsidP="008270B1">
      <w:pPr>
        <w:pStyle w:val="AERbodytext"/>
        <w:numPr>
          <w:ilvl w:val="0"/>
          <w:numId w:val="9"/>
        </w:numPr>
        <w:rPr>
          <w:rFonts w:ascii="Arial" w:hAnsi="Arial" w:cs="Arial"/>
        </w:rPr>
      </w:pPr>
      <w:r>
        <w:rPr>
          <w:noProof/>
          <w:lang w:eastAsia="en-AU"/>
        </w:rPr>
        <w:drawing>
          <wp:inline distT="0" distB="0" distL="0" distR="0" wp14:anchorId="2F6F6D4A" wp14:editId="60C07AA9">
            <wp:extent cx="5731510" cy="3980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731510" cy="3980215"/>
                    </a:xfrm>
                    <a:prstGeom prst="rect">
                      <a:avLst/>
                    </a:prstGeom>
                  </pic:spPr>
                </pic:pic>
              </a:graphicData>
            </a:graphic>
          </wp:inline>
        </w:drawing>
      </w:r>
    </w:p>
    <w:p w:rsidR="00EA2C79" w:rsidRPr="00B62C96" w:rsidRDefault="00EA2C79" w:rsidP="008270B1">
      <w:pPr>
        <w:pStyle w:val="AERbodytext"/>
        <w:numPr>
          <w:ilvl w:val="0"/>
          <w:numId w:val="9"/>
        </w:numPr>
        <w:rPr>
          <w:rFonts w:ascii="Arial" w:hAnsi="Arial" w:cs="Arial"/>
        </w:rPr>
      </w:pPr>
    </w:p>
    <w:p w:rsidR="008270B1" w:rsidRPr="00EA2C79" w:rsidRDefault="008270B1" w:rsidP="00EA2C79">
      <w:pPr>
        <w:pStyle w:val="Heading1"/>
        <w:numPr>
          <w:ilvl w:val="1"/>
          <w:numId w:val="10"/>
        </w:numPr>
        <w:rPr>
          <w:rFonts w:ascii="Arial" w:hAnsi="Arial" w:cs="Arial"/>
        </w:rPr>
      </w:pPr>
      <w:bookmarkStart w:id="132" w:name="_Toc399339691"/>
      <w:bookmarkStart w:id="133" w:name="_Toc409709131"/>
      <w:bookmarkStart w:id="134" w:name="_Toc410224097"/>
      <w:r w:rsidRPr="00EA2C79">
        <w:rPr>
          <w:rFonts w:ascii="Arial" w:hAnsi="Arial" w:cs="Arial"/>
        </w:rPr>
        <w:lastRenderedPageBreak/>
        <w:t>Process for annual return on debt update</w:t>
      </w:r>
      <w:bookmarkEnd w:id="132"/>
      <w:bookmarkEnd w:id="133"/>
      <w:bookmarkEnd w:id="134"/>
    </w:p>
    <w:p w:rsidR="008270B1" w:rsidRPr="00EA2C79" w:rsidRDefault="008270B1" w:rsidP="008270B1">
      <w:pPr>
        <w:pStyle w:val="AERbodytext"/>
        <w:numPr>
          <w:ilvl w:val="0"/>
          <w:numId w:val="0"/>
        </w:numPr>
        <w:rPr>
          <w:rFonts w:ascii="Arial" w:hAnsi="Arial" w:cs="Arial"/>
        </w:rPr>
      </w:pPr>
      <w:r w:rsidRPr="00EA2C79">
        <w:rPr>
          <w:rFonts w:ascii="Arial" w:hAnsi="Arial" w:cs="Arial"/>
        </w:rPr>
        <w:t>This section sets out the process to set X factors at the time of the final decision, and the default process for annual updates of the return on debt. Some aspects of this approach will be guided by policy decisions to be made during individual determinations. However, following the process set out below will likely result in the basis for calculations that is consistent with the requirements of clauses 6.5.2(h)–(l) of the NER.</w:t>
      </w:r>
    </w:p>
    <w:p w:rsidR="008270B1" w:rsidRPr="00EA2C79" w:rsidRDefault="008270B1" w:rsidP="00B62C96">
      <w:pPr>
        <w:pStyle w:val="Heading2"/>
        <w:numPr>
          <w:ilvl w:val="2"/>
          <w:numId w:val="10"/>
        </w:numPr>
        <w:rPr>
          <w:rFonts w:ascii="Arial" w:hAnsi="Arial" w:cs="Arial"/>
        </w:rPr>
      </w:pPr>
      <w:bookmarkStart w:id="135" w:name="_Toc399339692"/>
      <w:bookmarkStart w:id="136" w:name="_Toc409709132"/>
      <w:bookmarkStart w:id="137" w:name="_Toc410224098"/>
      <w:r w:rsidRPr="00EA2C79">
        <w:rPr>
          <w:rFonts w:ascii="Arial" w:hAnsi="Arial" w:cs="Arial"/>
        </w:rPr>
        <w:t>Setting X factors for the final decision before the start of the regulatory control period</w:t>
      </w:r>
      <w:bookmarkEnd w:id="135"/>
      <w:bookmarkEnd w:id="136"/>
      <w:bookmarkEnd w:id="137"/>
    </w:p>
    <w:p w:rsidR="008270B1" w:rsidRPr="00EA2C79" w:rsidRDefault="008270B1" w:rsidP="00EA2C79">
      <w:pPr>
        <w:pStyle w:val="AERnumberedlistfirststyle"/>
        <w:rPr>
          <w:rFonts w:ascii="Arial" w:hAnsi="Arial" w:cs="Arial"/>
        </w:rPr>
      </w:pPr>
      <w:r w:rsidRPr="00EA2C79">
        <w:rPr>
          <w:rFonts w:ascii="Arial" w:hAnsi="Arial" w:cs="Arial"/>
        </w:rPr>
        <w:t xml:space="preserve">Complete all inputs to the </w:t>
      </w:r>
      <w:r w:rsidR="00E47B17" w:rsidRPr="009B70E8">
        <w:rPr>
          <w:rFonts w:ascii="Arial" w:hAnsi="Arial" w:cs="Arial"/>
          <w:b/>
        </w:rPr>
        <w:t>PTRM</w:t>
      </w:r>
      <w:r w:rsidR="00E47B17" w:rsidRPr="00EA2C79">
        <w:rPr>
          <w:rFonts w:ascii="Arial" w:hAnsi="Arial" w:cs="Arial"/>
        </w:rPr>
        <w:t xml:space="preserve"> </w:t>
      </w:r>
      <w:r w:rsidR="00E47B17" w:rsidRPr="00EA2C79">
        <w:rPr>
          <w:rFonts w:ascii="Arial" w:hAnsi="Arial" w:cs="Arial"/>
          <w:b/>
        </w:rPr>
        <w:t>i</w:t>
      </w:r>
      <w:r w:rsidRPr="00EA2C79">
        <w:rPr>
          <w:rFonts w:ascii="Arial" w:hAnsi="Arial" w:cs="Arial"/>
          <w:b/>
        </w:rPr>
        <w:t>nput</w:t>
      </w:r>
      <w:r w:rsidRPr="00EA2C79">
        <w:rPr>
          <w:rFonts w:ascii="Arial" w:hAnsi="Arial" w:cs="Arial"/>
        </w:rPr>
        <w:t xml:space="preserve"> sheet. This requires a trailing average portfolio return on debt value only in G210.</w:t>
      </w:r>
      <w:r w:rsidRPr="009B70E8">
        <w:rPr>
          <w:rFonts w:ascii="Arial" w:hAnsi="Arial" w:cs="Arial"/>
          <w:vertAlign w:val="superscript"/>
        </w:rPr>
        <w:footnoteReference w:id="28"/>
      </w:r>
      <w:r w:rsidRPr="00EA2C79">
        <w:rPr>
          <w:rFonts w:ascii="Arial" w:hAnsi="Arial" w:cs="Arial"/>
        </w:rPr>
        <w:t xml:space="preserve"> By default, the PTRM approach adopts the most recent trailing average portfolio return on debt that is entered, where there is no further forecast values entered for other years in the regulatory control period. Accordingly, it is not necessary to enter the return on debt for later years in the regulatory control period at this stage.</w:t>
      </w:r>
      <w:r w:rsidRPr="009B70E8">
        <w:rPr>
          <w:rFonts w:ascii="Arial" w:hAnsi="Arial" w:cs="Arial"/>
          <w:vertAlign w:val="superscript"/>
        </w:rPr>
        <w:footnoteReference w:id="29"/>
      </w:r>
    </w:p>
    <w:p w:rsidR="008270B1" w:rsidRPr="00EA2C79" w:rsidRDefault="008270B1" w:rsidP="00EA2C79">
      <w:pPr>
        <w:pStyle w:val="AERnumberedlistfirststyle"/>
        <w:rPr>
          <w:rFonts w:ascii="Arial" w:hAnsi="Arial" w:cs="Arial"/>
        </w:rPr>
      </w:pPr>
      <w:r w:rsidRPr="00EA2C79">
        <w:rPr>
          <w:rFonts w:ascii="Arial" w:hAnsi="Arial" w:cs="Arial"/>
        </w:rPr>
        <w:t xml:space="preserve">In the </w:t>
      </w:r>
      <w:r w:rsidRPr="00EA2C79">
        <w:rPr>
          <w:rFonts w:ascii="Arial" w:hAnsi="Arial" w:cs="Arial"/>
          <w:b/>
        </w:rPr>
        <w:t>X factors</w:t>
      </w:r>
      <w:r w:rsidRPr="00EA2C79">
        <w:rPr>
          <w:rFonts w:ascii="Arial" w:hAnsi="Arial" w:cs="Arial"/>
        </w:rPr>
        <w:t xml:space="preserve"> sheet, ensure that the equity raising cost</w:t>
      </w:r>
      <w:r w:rsidR="009B1E03" w:rsidRPr="00EA2C79">
        <w:rPr>
          <w:rFonts w:ascii="Arial" w:hAnsi="Arial" w:cs="Arial"/>
        </w:rPr>
        <w:t>s</w:t>
      </w:r>
      <w:r w:rsidRPr="00EA2C79">
        <w:rPr>
          <w:rFonts w:ascii="Arial" w:hAnsi="Arial" w:cs="Arial"/>
        </w:rPr>
        <w:t xml:space="preserve"> update option (cell H16) is set to ‘update ERC when smoothing (default)’. This will ensure the equity raising cost calculations are iteratively updated as part of setting the X factors.</w:t>
      </w:r>
      <w:r w:rsidRPr="009B70E8">
        <w:rPr>
          <w:rFonts w:ascii="Arial" w:hAnsi="Arial" w:cs="Arial"/>
          <w:vertAlign w:val="superscript"/>
        </w:rPr>
        <w:footnoteReference w:id="30"/>
      </w:r>
    </w:p>
    <w:p w:rsidR="008270B1" w:rsidRPr="00EA2C79" w:rsidRDefault="008270B1" w:rsidP="00EA2C79">
      <w:pPr>
        <w:pStyle w:val="AERnumberedlistfirststyle"/>
        <w:rPr>
          <w:rFonts w:ascii="Arial" w:hAnsi="Arial" w:cs="Arial"/>
        </w:rPr>
      </w:pPr>
      <w:r w:rsidRPr="00EA2C79">
        <w:rPr>
          <w:rFonts w:ascii="Arial" w:hAnsi="Arial" w:cs="Arial"/>
        </w:rPr>
        <w:t xml:space="preserve">In the </w:t>
      </w:r>
      <w:r w:rsidRPr="00EA2C79">
        <w:rPr>
          <w:rFonts w:ascii="Arial" w:hAnsi="Arial" w:cs="Arial"/>
          <w:b/>
        </w:rPr>
        <w:t>X factors</w:t>
      </w:r>
      <w:r w:rsidRPr="00EA2C79">
        <w:rPr>
          <w:rFonts w:ascii="Arial" w:hAnsi="Arial" w:cs="Arial"/>
        </w:rPr>
        <w:t xml:space="preserve"> sheet, check that cell F21 is set to the first year of the next regulatory control period. This will ensure the correct checks and warnings operate for the model.</w:t>
      </w:r>
    </w:p>
    <w:p w:rsidR="008270B1" w:rsidRPr="00EA2C79" w:rsidRDefault="008270B1" w:rsidP="00EA2C79">
      <w:pPr>
        <w:pStyle w:val="AERnumberedlistfirststyle"/>
        <w:rPr>
          <w:rFonts w:ascii="Arial" w:hAnsi="Arial" w:cs="Arial"/>
        </w:rPr>
      </w:pPr>
      <w:r w:rsidRPr="00EA2C79">
        <w:rPr>
          <w:rFonts w:ascii="Arial" w:hAnsi="Arial" w:cs="Arial"/>
        </w:rPr>
        <w:t xml:space="preserve">In the </w:t>
      </w:r>
      <w:r w:rsidRPr="00EA2C79">
        <w:rPr>
          <w:rFonts w:ascii="Arial" w:hAnsi="Arial" w:cs="Arial"/>
          <w:b/>
        </w:rPr>
        <w:t>X factors</w:t>
      </w:r>
      <w:r w:rsidRPr="00EA2C79">
        <w:rPr>
          <w:rFonts w:ascii="Arial" w:hAnsi="Arial" w:cs="Arial"/>
        </w:rPr>
        <w:t xml:space="preserve"> sheet, apply revenue smoothing in the section relating to the chosen form of control:</w:t>
      </w:r>
    </w:p>
    <w:p w:rsidR="008270B1" w:rsidRPr="00EA2C79" w:rsidRDefault="008270B1" w:rsidP="00EA2C79">
      <w:pPr>
        <w:pStyle w:val="AERnumberedlistsecondstyle"/>
        <w:rPr>
          <w:rFonts w:ascii="Arial" w:hAnsi="Arial" w:cs="Arial"/>
        </w:rPr>
      </w:pPr>
      <w:r w:rsidRPr="00EA2C79">
        <w:rPr>
          <w:rFonts w:ascii="Arial" w:hAnsi="Arial" w:cs="Arial"/>
        </w:rPr>
        <w:t xml:space="preserve">If applying the default X factor path (year 1 ARR = year 1 expected revenue; X2=X3=X4=X5; </w:t>
      </w:r>
      <w:proofErr w:type="gramStart"/>
      <w:r w:rsidRPr="00EA2C79">
        <w:rPr>
          <w:rFonts w:ascii="Arial" w:hAnsi="Arial" w:cs="Arial"/>
        </w:rPr>
        <w:t>NPV(</w:t>
      </w:r>
      <w:proofErr w:type="gramEnd"/>
      <w:r w:rsidRPr="00EA2C79">
        <w:rPr>
          <w:rFonts w:ascii="Arial" w:hAnsi="Arial" w:cs="Arial"/>
        </w:rPr>
        <w:t>ARR) = NPV(expected revenue)), press the button labelled 'Apply default smoothing (…)' where ‘(…)’ describes the relevant form of control (either WAPC, revenue cap or revenue yield).</w:t>
      </w:r>
    </w:p>
    <w:p w:rsidR="008270B1" w:rsidRPr="00EA2C79" w:rsidRDefault="008270B1" w:rsidP="008270B1">
      <w:pPr>
        <w:pStyle w:val="AERnumberedlistsecondstyle"/>
        <w:numPr>
          <w:ilvl w:val="2"/>
          <w:numId w:val="9"/>
        </w:numPr>
        <w:rPr>
          <w:rFonts w:ascii="Arial" w:hAnsi="Arial" w:cs="Arial"/>
        </w:rPr>
      </w:pPr>
      <w:r w:rsidRPr="00EA2C79">
        <w:rPr>
          <w:rFonts w:ascii="Arial" w:hAnsi="Arial" w:cs="Arial"/>
        </w:rPr>
        <w:t xml:space="preserve">If applying an alternative smoothing path, in the section relating to your chosen form of control (WAPC, revenue cap or revenue yield), manually enter values for all X factors except one. Then press the relevant button to calculate the final remaining X factor (so that </w:t>
      </w:r>
      <w:proofErr w:type="gramStart"/>
      <w:r w:rsidRPr="00EA2C79">
        <w:rPr>
          <w:rFonts w:ascii="Arial" w:hAnsi="Arial" w:cs="Arial"/>
        </w:rPr>
        <w:t>NPV(</w:t>
      </w:r>
      <w:proofErr w:type="gramEnd"/>
      <w:r w:rsidRPr="00EA2C79">
        <w:rPr>
          <w:rFonts w:ascii="Arial" w:hAnsi="Arial" w:cs="Arial"/>
        </w:rPr>
        <w:t>ARR) = NPV(expected revenue)). This final X factor can be any of the X factors in the regulatory control period (including the first year, which is labelled as 'P0' by convention instead of 'X1').  These buttons are located under the relevant X factors and are also labelled with the relevant form of control.</w:t>
      </w:r>
    </w:p>
    <w:p w:rsidR="008270B1" w:rsidRPr="00EA2C79" w:rsidRDefault="008270B1" w:rsidP="008270B1">
      <w:pPr>
        <w:pStyle w:val="AERnumberedlistsecondstyle"/>
        <w:numPr>
          <w:ilvl w:val="2"/>
          <w:numId w:val="9"/>
        </w:numPr>
        <w:rPr>
          <w:rFonts w:ascii="Arial" w:hAnsi="Arial" w:cs="Arial"/>
        </w:rPr>
      </w:pPr>
      <w:r w:rsidRPr="00EA2C79">
        <w:rPr>
          <w:rFonts w:ascii="Arial" w:hAnsi="Arial" w:cs="Arial"/>
        </w:rPr>
        <w:t xml:space="preserve">In either case, it is necessary to consider the resulting difference between the final year ARR and expected revenue for the chosen form of control (shown in cells R41 and R42 for the WAPC; in cells R57 and R58 for the revenue cap; and cells R73 and R74 for the revenue </w:t>
      </w:r>
      <w:r w:rsidRPr="00EA2C79">
        <w:rPr>
          <w:rFonts w:ascii="Arial" w:hAnsi="Arial" w:cs="Arial"/>
        </w:rPr>
        <w:lastRenderedPageBreak/>
        <w:t>yield). If this difference would not meet the requirements of NER clause 6.5.9(b)(2), return to step (b) and manually adjust one or more X factors again (ensuring that the final X factor adjustment uses the relevant button so as to jointly smooth the revenue and equity raising cost calculations).</w:t>
      </w:r>
    </w:p>
    <w:p w:rsidR="008270B1" w:rsidRPr="00EA2C79" w:rsidRDefault="008270B1" w:rsidP="00EA2C79">
      <w:pPr>
        <w:pStyle w:val="AERnumberedlistfirststyle"/>
        <w:rPr>
          <w:rFonts w:ascii="Arial" w:hAnsi="Arial" w:cs="Arial"/>
        </w:rPr>
      </w:pPr>
      <w:r w:rsidRPr="00EA2C79">
        <w:rPr>
          <w:rFonts w:ascii="Arial" w:hAnsi="Arial" w:cs="Arial"/>
        </w:rPr>
        <w:t xml:space="preserve">In the </w:t>
      </w:r>
      <w:r w:rsidRPr="00EA2C79">
        <w:rPr>
          <w:rFonts w:ascii="Arial" w:hAnsi="Arial" w:cs="Arial"/>
          <w:b/>
        </w:rPr>
        <w:t>WACC</w:t>
      </w:r>
      <w:r w:rsidRPr="00EA2C79">
        <w:rPr>
          <w:rFonts w:ascii="Arial" w:hAnsi="Arial" w:cs="Arial"/>
        </w:rPr>
        <w:t xml:space="preserve"> sheet, press the 'Set </w:t>
      </w:r>
      <w:proofErr w:type="spellStart"/>
      <w:r w:rsidRPr="00EA2C79">
        <w:rPr>
          <w:rFonts w:ascii="Arial" w:hAnsi="Arial" w:cs="Arial"/>
        </w:rPr>
        <w:t>Te</w:t>
      </w:r>
      <w:proofErr w:type="spellEnd"/>
      <w:r w:rsidRPr="00EA2C79">
        <w:rPr>
          <w:rFonts w:ascii="Arial" w:hAnsi="Arial" w:cs="Arial"/>
        </w:rPr>
        <w:t xml:space="preserve"> and Td' button to copy the cash-flow derived effective tax rates for equity and debt from the </w:t>
      </w:r>
      <w:r w:rsidRPr="00EA2C79">
        <w:rPr>
          <w:rFonts w:ascii="Arial" w:hAnsi="Arial" w:cs="Arial"/>
          <w:b/>
        </w:rPr>
        <w:t>Analysis</w:t>
      </w:r>
      <w:r w:rsidRPr="00EA2C79">
        <w:rPr>
          <w:rFonts w:ascii="Arial" w:hAnsi="Arial" w:cs="Arial"/>
        </w:rPr>
        <w:t xml:space="preserve"> sheet to the appropriate cells in the </w:t>
      </w:r>
      <w:r w:rsidRPr="00EA2C79">
        <w:rPr>
          <w:rFonts w:ascii="Arial" w:hAnsi="Arial" w:cs="Arial"/>
          <w:b/>
        </w:rPr>
        <w:t>WACC</w:t>
      </w:r>
      <w:r w:rsidRPr="00EA2C79">
        <w:rPr>
          <w:rFonts w:ascii="Arial" w:hAnsi="Arial" w:cs="Arial"/>
        </w:rPr>
        <w:t xml:space="preserve"> sheet.  </w:t>
      </w:r>
    </w:p>
    <w:p w:rsidR="008270B1" w:rsidRPr="00EA2C79" w:rsidRDefault="008270B1" w:rsidP="00B62C96">
      <w:pPr>
        <w:pStyle w:val="Heading2"/>
        <w:numPr>
          <w:ilvl w:val="2"/>
          <w:numId w:val="10"/>
        </w:numPr>
        <w:rPr>
          <w:rFonts w:ascii="Arial" w:hAnsi="Arial" w:cs="Arial"/>
        </w:rPr>
      </w:pPr>
      <w:bookmarkStart w:id="138" w:name="_Toc399339693"/>
      <w:bookmarkStart w:id="139" w:name="_Toc409709133"/>
      <w:bookmarkStart w:id="140" w:name="_Toc410224099"/>
      <w:r w:rsidRPr="00EA2C79">
        <w:rPr>
          <w:rFonts w:ascii="Arial" w:hAnsi="Arial" w:cs="Arial"/>
        </w:rPr>
        <w:t>Updating X factors to incorporate the annual update to the trailing average portfolio return on debt</w:t>
      </w:r>
      <w:bookmarkEnd w:id="138"/>
      <w:bookmarkEnd w:id="139"/>
      <w:bookmarkEnd w:id="140"/>
    </w:p>
    <w:p w:rsidR="008270B1" w:rsidRPr="00B46871" w:rsidRDefault="008270B1" w:rsidP="005C3CBC">
      <w:pPr>
        <w:pStyle w:val="AERnumberedlistfirststyle"/>
        <w:numPr>
          <w:ilvl w:val="1"/>
          <w:numId w:val="39"/>
        </w:numPr>
        <w:tabs>
          <w:tab w:val="clear" w:pos="499"/>
          <w:tab w:val="num" w:pos="567"/>
        </w:tabs>
        <w:rPr>
          <w:rFonts w:ascii="Arial" w:hAnsi="Arial" w:cs="Arial"/>
        </w:rPr>
      </w:pPr>
      <w:r w:rsidRPr="00B46871">
        <w:rPr>
          <w:rFonts w:ascii="Arial" w:hAnsi="Arial" w:cs="Arial"/>
        </w:rPr>
        <w:t xml:space="preserve">In the </w:t>
      </w:r>
      <w:r w:rsidRPr="00B46871">
        <w:rPr>
          <w:rFonts w:ascii="Arial" w:hAnsi="Arial" w:cs="Arial"/>
          <w:b/>
        </w:rPr>
        <w:t>X factors</w:t>
      </w:r>
      <w:r w:rsidRPr="00B46871">
        <w:rPr>
          <w:rFonts w:ascii="Arial" w:hAnsi="Arial" w:cs="Arial"/>
        </w:rPr>
        <w:t xml:space="preserve"> sheet, select the relevant year of update in cell F21.</w:t>
      </w:r>
    </w:p>
    <w:p w:rsidR="008270B1" w:rsidRPr="00EA2C79" w:rsidRDefault="008270B1" w:rsidP="00EA2C79">
      <w:pPr>
        <w:pStyle w:val="AERnumberedlistfirststyle"/>
        <w:rPr>
          <w:rFonts w:ascii="Arial" w:hAnsi="Arial" w:cs="Arial"/>
        </w:rPr>
      </w:pPr>
      <w:r w:rsidRPr="00EA2C79">
        <w:rPr>
          <w:rFonts w:ascii="Arial" w:hAnsi="Arial" w:cs="Arial"/>
        </w:rPr>
        <w:t xml:space="preserve">In the </w:t>
      </w:r>
      <w:r w:rsidR="009B70E8" w:rsidRPr="009B70E8">
        <w:rPr>
          <w:rFonts w:ascii="Arial" w:hAnsi="Arial" w:cs="Arial"/>
          <w:b/>
        </w:rPr>
        <w:t>PTRM</w:t>
      </w:r>
      <w:r w:rsidR="009B70E8">
        <w:rPr>
          <w:rFonts w:ascii="Arial" w:hAnsi="Arial" w:cs="Arial"/>
        </w:rPr>
        <w:t xml:space="preserve"> </w:t>
      </w:r>
      <w:r w:rsidR="009B70E8" w:rsidRPr="009B70E8">
        <w:rPr>
          <w:rFonts w:ascii="Arial" w:hAnsi="Arial" w:cs="Arial"/>
          <w:b/>
        </w:rPr>
        <w:t>i</w:t>
      </w:r>
      <w:r w:rsidRPr="009B70E8">
        <w:rPr>
          <w:rFonts w:ascii="Arial" w:hAnsi="Arial" w:cs="Arial"/>
          <w:b/>
        </w:rPr>
        <w:t>nput</w:t>
      </w:r>
      <w:r w:rsidRPr="00EA2C79">
        <w:rPr>
          <w:rFonts w:ascii="Arial" w:hAnsi="Arial" w:cs="Arial"/>
        </w:rPr>
        <w:t xml:space="preserve"> sheet (row 210), enter the trailing average portfolio return on debt values up to and including the relevant year of update, consistent with that selected in cell F21 of the </w:t>
      </w:r>
      <w:r w:rsidRPr="00EA2C79">
        <w:rPr>
          <w:rFonts w:ascii="Arial" w:hAnsi="Arial" w:cs="Arial"/>
          <w:b/>
        </w:rPr>
        <w:t>X factors</w:t>
      </w:r>
      <w:r w:rsidRPr="00EA2C79">
        <w:rPr>
          <w:rFonts w:ascii="Arial" w:hAnsi="Arial" w:cs="Arial"/>
        </w:rPr>
        <w:t xml:space="preserve"> sheet.</w:t>
      </w:r>
      <w:r w:rsidRPr="009B70E8">
        <w:rPr>
          <w:rFonts w:ascii="Arial" w:hAnsi="Arial" w:cs="Arial"/>
          <w:vertAlign w:val="superscript"/>
        </w:rPr>
        <w:footnoteReference w:id="31"/>
      </w:r>
      <w:r w:rsidRPr="00EA2C79">
        <w:rPr>
          <w:rFonts w:ascii="Arial" w:hAnsi="Arial" w:cs="Arial"/>
        </w:rPr>
        <w:t xml:space="preserve"> Caution notes will appear in rows 211 to 212 of the </w:t>
      </w:r>
      <w:r w:rsidR="00E47B17" w:rsidRPr="009B70E8">
        <w:rPr>
          <w:rFonts w:ascii="Arial" w:hAnsi="Arial" w:cs="Arial"/>
          <w:b/>
        </w:rPr>
        <w:t>PTRM</w:t>
      </w:r>
      <w:r w:rsidR="00E47B17" w:rsidRPr="00EA2C79">
        <w:rPr>
          <w:rFonts w:ascii="Arial" w:hAnsi="Arial" w:cs="Arial"/>
        </w:rPr>
        <w:t xml:space="preserve"> </w:t>
      </w:r>
      <w:r w:rsidR="00E47B17" w:rsidRPr="00EA2C79">
        <w:rPr>
          <w:rFonts w:ascii="Arial" w:hAnsi="Arial" w:cs="Arial"/>
          <w:b/>
        </w:rPr>
        <w:t>i</w:t>
      </w:r>
      <w:r w:rsidRPr="00EA2C79">
        <w:rPr>
          <w:rFonts w:ascii="Arial" w:hAnsi="Arial" w:cs="Arial"/>
          <w:b/>
        </w:rPr>
        <w:t>nput</w:t>
      </w:r>
      <w:r w:rsidRPr="00EA2C79">
        <w:rPr>
          <w:rFonts w:ascii="Arial" w:hAnsi="Arial" w:cs="Arial"/>
        </w:rPr>
        <w:t xml:space="preserve"> sheet to show which inputs are necessary. No other inputs should be changed.</w:t>
      </w:r>
    </w:p>
    <w:p w:rsidR="008270B1" w:rsidRPr="00EA2C79" w:rsidRDefault="008270B1" w:rsidP="00EA2C79">
      <w:pPr>
        <w:pStyle w:val="AERnumberedlistfirststyle"/>
        <w:rPr>
          <w:rFonts w:ascii="Arial" w:hAnsi="Arial" w:cs="Arial"/>
        </w:rPr>
      </w:pPr>
      <w:r w:rsidRPr="00EA2C79">
        <w:rPr>
          <w:rFonts w:ascii="Arial" w:hAnsi="Arial" w:cs="Arial"/>
        </w:rPr>
        <w:t xml:space="preserve">In the </w:t>
      </w:r>
      <w:r w:rsidRPr="00EA2C79">
        <w:rPr>
          <w:rFonts w:ascii="Arial" w:hAnsi="Arial" w:cs="Arial"/>
          <w:b/>
        </w:rPr>
        <w:t>X factors</w:t>
      </w:r>
      <w:r w:rsidRPr="00EA2C79">
        <w:rPr>
          <w:rFonts w:ascii="Arial" w:hAnsi="Arial" w:cs="Arial"/>
        </w:rPr>
        <w:t xml:space="preserve"> sheet, ensure the equity raising cost update option (cell H16) is set to 'update ERC when smoothing (default)'.  </w:t>
      </w:r>
    </w:p>
    <w:p w:rsidR="008270B1" w:rsidRPr="00EA2C79" w:rsidRDefault="008270B1" w:rsidP="00EA2C79">
      <w:pPr>
        <w:pStyle w:val="AERnumberedlistfirststyle"/>
        <w:rPr>
          <w:rFonts w:ascii="Arial" w:hAnsi="Arial" w:cs="Arial"/>
        </w:rPr>
      </w:pPr>
      <w:r w:rsidRPr="00EA2C79">
        <w:rPr>
          <w:rFonts w:ascii="Arial" w:hAnsi="Arial" w:cs="Arial"/>
        </w:rPr>
        <w:t xml:space="preserve">In the </w:t>
      </w:r>
      <w:r w:rsidRPr="00EA2C79">
        <w:rPr>
          <w:rFonts w:ascii="Arial" w:hAnsi="Arial" w:cs="Arial"/>
          <w:b/>
        </w:rPr>
        <w:t>X factors</w:t>
      </w:r>
      <w:r w:rsidRPr="00EA2C79">
        <w:rPr>
          <w:rFonts w:ascii="Arial" w:hAnsi="Arial" w:cs="Arial"/>
        </w:rPr>
        <w:t xml:space="preserve"> sheet, apply smoothing to recalculate the X factor by using the button for the relevant year as identified in step 1 and for the relevant form of control. The correct year for update will be identified by a caution note in the rows (rows 51, 67 and 87) under the smoothing X factor buttons for the three forms of control. Only the relevant form of control should be used. It is important that the X factors for past years in the regulatory control period are not altered, since these X factors reflect the revenue (and price) outcomes from those years. Further, the default approach is that only the X factor for the year of update should be altered (rather than multiple X factors, for this year and remaining years within the regulatory control period).</w:t>
      </w:r>
      <w:r w:rsidRPr="00A10218">
        <w:rPr>
          <w:rFonts w:ascii="Arial" w:hAnsi="Arial" w:cs="Arial"/>
          <w:vertAlign w:val="superscript"/>
        </w:rPr>
        <w:footnoteReference w:id="32"/>
      </w:r>
      <w:r w:rsidRPr="00EA2C79">
        <w:rPr>
          <w:rFonts w:ascii="Arial" w:hAnsi="Arial" w:cs="Arial"/>
        </w:rPr>
        <w:t xml:space="preserve"> This means that the impact of increases/decrease in that year's return on debt will be fully reflected in price changes in that year. For example, under a revenue cap form of control, to re-smooth for a return on debt update in year 2 the button labelled 'Set X2 (rev cap)' would be used, and all other X factors as determined during the final decision process would remain unaltered.</w:t>
      </w:r>
    </w:p>
    <w:p w:rsidR="00CE42E7" w:rsidRPr="00B62C96" w:rsidRDefault="00CE42E7" w:rsidP="008270B1">
      <w:pPr>
        <w:pStyle w:val="AERbodytext"/>
        <w:numPr>
          <w:ilvl w:val="0"/>
          <w:numId w:val="9"/>
        </w:numPr>
        <w:rPr>
          <w:rFonts w:ascii="Arial" w:hAnsi="Arial" w:cs="Arial"/>
          <w:shd w:val="clear" w:color="auto" w:fill="FFFF00"/>
        </w:rPr>
      </w:pPr>
    </w:p>
    <w:sectPr w:rsidR="00CE42E7" w:rsidRPr="00B62C96" w:rsidSect="00120245">
      <w:footerReference w:type="even" r:id="rId31"/>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871" w:rsidRPr="00AB4345" w:rsidRDefault="00B46871" w:rsidP="00AB4345">
      <w:r>
        <w:separator/>
      </w:r>
    </w:p>
  </w:endnote>
  <w:endnote w:type="continuationSeparator" w:id="0">
    <w:p w:rsidR="00B46871" w:rsidRPr="00AB4345" w:rsidRDefault="00B46871"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954882516"/>
      <w:docPartObj>
        <w:docPartGallery w:val="Page Numbers (Bottom of Page)"/>
        <w:docPartUnique/>
      </w:docPartObj>
    </w:sdtPr>
    <w:sdtEndPr/>
    <w:sdtContent>
      <w:p w:rsidR="00B46871" w:rsidRPr="00120245" w:rsidRDefault="00B46871" w:rsidP="00824CC8">
        <w:pPr>
          <w:pStyle w:val="Footer"/>
          <w:rPr>
            <w:rFonts w:ascii="Arial" w:hAnsi="Arial" w:cs="Arial"/>
          </w:rPr>
        </w:pPr>
        <w:r w:rsidRPr="00120245">
          <w:rPr>
            <w:rFonts w:ascii="Arial" w:hAnsi="Arial" w:cs="Arial"/>
          </w:rPr>
          <w:fldChar w:fldCharType="begin"/>
        </w:r>
        <w:r w:rsidRPr="00120245">
          <w:rPr>
            <w:rFonts w:ascii="Arial" w:hAnsi="Arial" w:cs="Arial"/>
          </w:rPr>
          <w:instrText xml:space="preserve"> PAGE   \* MERGEFORMAT </w:instrText>
        </w:r>
        <w:r w:rsidRPr="00120245">
          <w:rPr>
            <w:rFonts w:ascii="Arial" w:hAnsi="Arial" w:cs="Arial"/>
          </w:rPr>
          <w:fldChar w:fldCharType="separate"/>
        </w:r>
        <w:r w:rsidR="006709B5">
          <w:rPr>
            <w:rFonts w:ascii="Arial" w:hAnsi="Arial" w:cs="Arial"/>
            <w:noProof/>
          </w:rPr>
          <w:t>36</w:t>
        </w:r>
        <w:r w:rsidRPr="00120245">
          <w:rPr>
            <w:rFonts w:ascii="Arial" w:hAnsi="Arial" w:cs="Arial"/>
          </w:rPr>
          <w:fldChar w:fldCharType="end"/>
        </w:r>
        <w:r w:rsidRPr="00120245">
          <w:rPr>
            <w:rFonts w:ascii="Arial" w:hAnsi="Arial" w:cs="Arial"/>
          </w:rPr>
          <w:tab/>
        </w:r>
        <w:r>
          <w:rPr>
            <w:rFonts w:ascii="Arial" w:hAnsi="Arial" w:cs="Arial"/>
          </w:rPr>
          <w:t xml:space="preserve">                         </w:t>
        </w:r>
        <w:r>
          <w:rPr>
            <w:rStyle w:val="AERbody"/>
            <w:rFonts w:ascii="Arial" w:hAnsi="Arial" w:cs="Arial"/>
          </w:rPr>
          <w:t>Post-tax revenue model handbook</w:t>
        </w:r>
        <w:r w:rsidRPr="00120245">
          <w:rPr>
            <w:rStyle w:val="AERbody"/>
            <w:rFonts w:ascii="Arial" w:hAnsi="Arial" w:cs="Arial"/>
          </w:rPr>
          <w:t xml:space="preserve"> | </w:t>
        </w:r>
        <w:r>
          <w:rPr>
            <w:rStyle w:val="AERbody"/>
            <w:rFonts w:ascii="Arial" w:hAnsi="Arial" w:cs="Arial"/>
          </w:rPr>
          <w:t>Electricity distribution network service providers</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871" w:rsidRPr="00120245" w:rsidRDefault="00B46871" w:rsidP="00120245">
    <w:pPr>
      <w:pStyle w:val="Footer"/>
      <w:jc w:val="left"/>
      <w:rPr>
        <w:rStyle w:val="AERbody"/>
        <w:rFonts w:ascii="Arial" w:hAnsi="Arial" w:cs="Arial"/>
      </w:rPr>
    </w:pPr>
    <w:r w:rsidRPr="00120245">
      <w:rPr>
        <w:rStyle w:val="AERbody"/>
        <w:rFonts w:ascii="Arial" w:hAnsi="Arial" w:cs="Arial"/>
      </w:rPr>
      <w:t xml:space="preserve">Post-tax revenue model handbook | Electricity distribution network service providers </w:t>
    </w:r>
    <w:r w:rsidRPr="00120245">
      <w:rPr>
        <w:rStyle w:val="AERbody"/>
        <w:rFonts w:ascii="Arial" w:hAnsi="Arial" w:cs="Arial"/>
      </w:rPr>
      <w:tab/>
    </w:r>
    <w:r w:rsidRPr="00120245">
      <w:rPr>
        <w:rStyle w:val="AERbody"/>
        <w:rFonts w:ascii="Arial" w:hAnsi="Arial" w:cs="Arial"/>
      </w:rPr>
      <w:fldChar w:fldCharType="begin"/>
    </w:r>
    <w:r w:rsidRPr="00120245">
      <w:rPr>
        <w:rStyle w:val="AERbody"/>
        <w:rFonts w:ascii="Arial" w:hAnsi="Arial" w:cs="Arial"/>
      </w:rPr>
      <w:instrText xml:space="preserve"> PAGE   \* MERGEFORMAT </w:instrText>
    </w:r>
    <w:r w:rsidRPr="00120245">
      <w:rPr>
        <w:rStyle w:val="AERbody"/>
        <w:rFonts w:ascii="Arial" w:hAnsi="Arial" w:cs="Arial"/>
      </w:rPr>
      <w:fldChar w:fldCharType="separate"/>
    </w:r>
    <w:r w:rsidR="006709B5">
      <w:rPr>
        <w:rStyle w:val="AERbody"/>
        <w:rFonts w:ascii="Arial" w:hAnsi="Arial" w:cs="Arial"/>
        <w:noProof/>
      </w:rPr>
      <w:t>37</w:t>
    </w:r>
    <w:r w:rsidRPr="00120245">
      <w:rPr>
        <w:rStyle w:val="AERbody"/>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871" w:rsidRPr="00AB4345" w:rsidRDefault="00B46871" w:rsidP="00AB4345">
      <w:r>
        <w:separator/>
      </w:r>
    </w:p>
  </w:footnote>
  <w:footnote w:type="continuationSeparator" w:id="0">
    <w:p w:rsidR="00B46871" w:rsidRPr="00AB4345" w:rsidRDefault="00B46871" w:rsidP="00AB4345">
      <w:r>
        <w:continuationSeparator/>
      </w:r>
    </w:p>
  </w:footnote>
  <w:footnote w:id="1">
    <w:p w:rsidR="00B46871" w:rsidRPr="003B5473" w:rsidRDefault="00B46871" w:rsidP="00683756">
      <w:pPr>
        <w:pStyle w:val="FootnoteText"/>
        <w:rPr>
          <w:rFonts w:ascii="Arial" w:hAnsi="Arial" w:cs="Arial"/>
        </w:rPr>
      </w:pPr>
      <w:r w:rsidRPr="003B5473">
        <w:rPr>
          <w:rStyle w:val="FootnoteReference"/>
          <w:rFonts w:ascii="Arial" w:hAnsi="Arial" w:cs="Arial"/>
        </w:rPr>
        <w:footnoteRef/>
      </w:r>
      <w:r w:rsidRPr="003B5473">
        <w:rPr>
          <w:rFonts w:ascii="Arial" w:hAnsi="Arial" w:cs="Arial"/>
        </w:rPr>
        <w:t xml:space="preserve"> </w:t>
      </w:r>
      <w:r w:rsidRPr="003B5473">
        <w:rPr>
          <w:rFonts w:ascii="Arial" w:hAnsi="Arial" w:cs="Arial"/>
        </w:rPr>
        <w:tab/>
        <w:t>The set of Microsoft Excel spreadsheets which constitute the PTRM were created in Microsoft Excel 20</w:t>
      </w:r>
      <w:r>
        <w:rPr>
          <w:rFonts w:ascii="Arial" w:hAnsi="Arial" w:cs="Arial"/>
        </w:rPr>
        <w:t>10</w:t>
      </w:r>
      <w:r w:rsidRPr="003B5473">
        <w:rPr>
          <w:rFonts w:ascii="Arial" w:hAnsi="Arial" w:cs="Arial"/>
        </w:rPr>
        <w:t>. The AER recommends this or a later version of Microsoft Excel be used in applying these spreadsheets.</w:t>
      </w:r>
    </w:p>
  </w:footnote>
  <w:footnote w:id="2">
    <w:p w:rsidR="00B46871" w:rsidRPr="00D346A2" w:rsidRDefault="00B46871">
      <w:pPr>
        <w:pStyle w:val="FootnoteText"/>
        <w:rPr>
          <w:rFonts w:ascii="Arial" w:hAnsi="Arial" w:cs="Arial"/>
        </w:rPr>
      </w:pPr>
      <w:r w:rsidRPr="00D346A2">
        <w:rPr>
          <w:rStyle w:val="FootnoteReference"/>
          <w:rFonts w:ascii="Arial" w:hAnsi="Arial" w:cs="Arial"/>
        </w:rPr>
        <w:footnoteRef/>
      </w:r>
      <w:r w:rsidRPr="00D346A2">
        <w:rPr>
          <w:rFonts w:ascii="Arial" w:hAnsi="Arial" w:cs="Arial"/>
        </w:rPr>
        <w:t xml:space="preserve"> </w:t>
      </w:r>
      <w:r w:rsidRPr="00D346A2">
        <w:rPr>
          <w:rFonts w:ascii="Arial" w:hAnsi="Arial" w:cs="Arial"/>
        </w:rPr>
        <w:tab/>
        <w:t>This requires</w:t>
      </w:r>
      <w:r>
        <w:rPr>
          <w:rFonts w:ascii="Arial" w:hAnsi="Arial" w:cs="Arial"/>
        </w:rPr>
        <w:t xml:space="preserve"> the total smoothed and unsmoothed revenues to be equal in net present value (NPV) terms.</w:t>
      </w:r>
    </w:p>
  </w:footnote>
  <w:footnote w:id="3">
    <w:p w:rsidR="00B46871" w:rsidRPr="00E326CF" w:rsidRDefault="00B46871">
      <w:pPr>
        <w:pStyle w:val="FootnoteText"/>
        <w:rPr>
          <w:rFonts w:ascii="Arial" w:hAnsi="Arial" w:cs="Arial"/>
        </w:rPr>
      </w:pPr>
      <w:r w:rsidRPr="00E326CF">
        <w:rPr>
          <w:rStyle w:val="FootnoteReference"/>
          <w:rFonts w:ascii="Arial" w:hAnsi="Arial" w:cs="Arial"/>
        </w:rPr>
        <w:footnoteRef/>
      </w:r>
      <w:r w:rsidRPr="00E326CF">
        <w:rPr>
          <w:rFonts w:ascii="Arial" w:hAnsi="Arial" w:cs="Arial"/>
        </w:rPr>
        <w:t xml:space="preserve"> </w:t>
      </w:r>
      <w:r w:rsidRPr="00E326CF">
        <w:rPr>
          <w:rFonts w:ascii="Arial" w:hAnsi="Arial" w:cs="Arial"/>
        </w:rPr>
        <w:tab/>
        <w:t>Note that this is an iterative process, because changing smoothed revenue alters equity raising costs, changing equity raising costs alters unsmoothed revenue, and changing unsmoothed revenue alters smoothed revenue</w:t>
      </w:r>
      <w:r>
        <w:rPr>
          <w:rFonts w:ascii="Arial" w:hAnsi="Arial" w:cs="Arial"/>
        </w:rPr>
        <w:t>.</w:t>
      </w:r>
    </w:p>
  </w:footnote>
  <w:footnote w:id="4">
    <w:p w:rsidR="00B46871" w:rsidRPr="00955F62" w:rsidRDefault="00B46871">
      <w:pPr>
        <w:pStyle w:val="FootnoteText"/>
        <w:rPr>
          <w:rFonts w:ascii="Arial" w:hAnsi="Arial" w:cs="Arial"/>
        </w:rPr>
      </w:pPr>
      <w:r w:rsidRPr="00955F62">
        <w:rPr>
          <w:rStyle w:val="FootnoteReference"/>
          <w:rFonts w:ascii="Arial" w:hAnsi="Arial" w:cs="Arial"/>
        </w:rPr>
        <w:footnoteRef/>
      </w:r>
      <w:r w:rsidRPr="00955F62">
        <w:rPr>
          <w:rFonts w:ascii="Arial" w:hAnsi="Arial" w:cs="Arial"/>
        </w:rPr>
        <w:t xml:space="preserve"> </w:t>
      </w:r>
      <w:r w:rsidRPr="00955F62">
        <w:rPr>
          <w:rFonts w:ascii="Arial" w:hAnsi="Arial" w:cs="Arial"/>
        </w:rPr>
        <w:tab/>
        <w:t xml:space="preserve">For example, whether the PTRM relates to the Regulatory proposal, Draft decision, </w:t>
      </w:r>
      <w:proofErr w:type="gramStart"/>
      <w:r w:rsidRPr="00955F62">
        <w:rPr>
          <w:rFonts w:ascii="Arial" w:hAnsi="Arial" w:cs="Arial"/>
        </w:rPr>
        <w:t>Revised</w:t>
      </w:r>
      <w:proofErr w:type="gramEnd"/>
      <w:r w:rsidRPr="00955F62">
        <w:rPr>
          <w:rFonts w:ascii="Arial" w:hAnsi="Arial" w:cs="Arial"/>
        </w:rPr>
        <w:t xml:space="preserve"> regulatory proposal or Final decision.</w:t>
      </w:r>
    </w:p>
  </w:footnote>
  <w:footnote w:id="5">
    <w:p w:rsidR="00B46871" w:rsidRPr="00DD5533" w:rsidRDefault="00B46871">
      <w:pPr>
        <w:pStyle w:val="FootnoteText"/>
        <w:rPr>
          <w:rFonts w:ascii="Arial" w:hAnsi="Arial" w:cs="Arial"/>
        </w:rPr>
      </w:pPr>
      <w:r w:rsidRPr="00DD5533">
        <w:rPr>
          <w:rStyle w:val="FootnoteReference"/>
          <w:rFonts w:ascii="Arial" w:hAnsi="Arial" w:cs="Arial"/>
        </w:rPr>
        <w:footnoteRef/>
      </w:r>
      <w:r w:rsidRPr="00DD5533">
        <w:rPr>
          <w:rFonts w:ascii="Arial" w:hAnsi="Arial" w:cs="Arial"/>
        </w:rPr>
        <w:t xml:space="preserve"> </w:t>
      </w:r>
      <w:r w:rsidRPr="00DD5533">
        <w:rPr>
          <w:rFonts w:ascii="Arial" w:hAnsi="Arial" w:cs="Arial"/>
        </w:rPr>
        <w:tab/>
        <w:t>The depreciation profiles would be subject to satisfying the requirements of clauses 6.5.5(b) and 6.5.3 of the NER.</w:t>
      </w:r>
    </w:p>
  </w:footnote>
  <w:footnote w:id="6">
    <w:p w:rsidR="00B46871" w:rsidRPr="00DD5533" w:rsidRDefault="00B46871">
      <w:pPr>
        <w:pStyle w:val="FootnoteText"/>
        <w:rPr>
          <w:rFonts w:ascii="Arial" w:hAnsi="Arial" w:cs="Arial"/>
        </w:rPr>
      </w:pPr>
      <w:r w:rsidRPr="00DD5533">
        <w:rPr>
          <w:rStyle w:val="FootnoteReference"/>
          <w:rFonts w:ascii="Arial" w:hAnsi="Arial" w:cs="Arial"/>
        </w:rPr>
        <w:footnoteRef/>
      </w:r>
      <w:r w:rsidRPr="00DD5533">
        <w:rPr>
          <w:rFonts w:ascii="Arial" w:hAnsi="Arial" w:cs="Arial"/>
        </w:rPr>
        <w:t xml:space="preserve"> </w:t>
      </w:r>
      <w:r w:rsidRPr="00DD5533">
        <w:rPr>
          <w:rFonts w:ascii="Arial" w:hAnsi="Arial" w:cs="Arial"/>
        </w:rPr>
        <w:tab/>
        <w:t>Clause 6.8.1 of the NER sets out the requirements of the framework and approach</w:t>
      </w:r>
      <w:r>
        <w:rPr>
          <w:rFonts w:ascii="Arial" w:hAnsi="Arial" w:cs="Arial"/>
        </w:rPr>
        <w:t xml:space="preserve"> applying to a determination</w:t>
      </w:r>
      <w:r w:rsidRPr="00DD5533">
        <w:rPr>
          <w:rFonts w:ascii="Arial" w:hAnsi="Arial" w:cs="Arial"/>
        </w:rPr>
        <w:t>.</w:t>
      </w:r>
    </w:p>
  </w:footnote>
  <w:footnote w:id="7">
    <w:p w:rsidR="00B46871" w:rsidRPr="003B5473" w:rsidRDefault="00B46871" w:rsidP="008270B1">
      <w:pPr>
        <w:pStyle w:val="FootnoteText"/>
        <w:rPr>
          <w:rFonts w:ascii="Arial" w:hAnsi="Arial" w:cs="Arial"/>
        </w:rPr>
      </w:pPr>
      <w:r w:rsidRPr="003B5473">
        <w:rPr>
          <w:rStyle w:val="FootnoteReference"/>
          <w:rFonts w:ascii="Arial" w:hAnsi="Arial" w:cs="Arial"/>
        </w:rPr>
        <w:footnoteRef/>
      </w:r>
      <w:r w:rsidRPr="003B5473">
        <w:rPr>
          <w:rFonts w:ascii="Arial" w:hAnsi="Arial" w:cs="Arial"/>
        </w:rPr>
        <w:t xml:space="preserve"> </w:t>
      </w:r>
      <w:r w:rsidRPr="003B5473">
        <w:rPr>
          <w:rFonts w:ascii="Arial" w:hAnsi="Arial" w:cs="Arial"/>
        </w:rPr>
        <w:tab/>
        <w:t>The PTRM can be expanded to accommodate additional asset classes, when necessary.</w:t>
      </w:r>
    </w:p>
  </w:footnote>
  <w:footnote w:id="8">
    <w:p w:rsidR="00B46871" w:rsidRPr="003B5473" w:rsidRDefault="00B46871" w:rsidP="008270B1">
      <w:pPr>
        <w:pStyle w:val="FootnoteText"/>
        <w:rPr>
          <w:rFonts w:ascii="Arial" w:hAnsi="Arial" w:cs="Arial"/>
        </w:rPr>
      </w:pPr>
      <w:r w:rsidRPr="003B5473">
        <w:rPr>
          <w:rStyle w:val="FootnoteReference"/>
          <w:rFonts w:ascii="Arial" w:hAnsi="Arial" w:cs="Arial"/>
        </w:rPr>
        <w:footnoteRef/>
      </w:r>
      <w:r w:rsidRPr="003B5473">
        <w:rPr>
          <w:rFonts w:ascii="Arial" w:hAnsi="Arial" w:cs="Arial"/>
        </w:rPr>
        <w:t xml:space="preserve"> </w:t>
      </w:r>
      <w:r w:rsidRPr="003B5473">
        <w:rPr>
          <w:rFonts w:ascii="Arial" w:hAnsi="Arial" w:cs="Arial"/>
        </w:rPr>
        <w:tab/>
      </w:r>
      <w:r w:rsidRPr="00B62C96">
        <w:rPr>
          <w:rFonts w:ascii="Arial" w:hAnsi="Arial" w:cs="Arial"/>
        </w:rPr>
        <w:t>The 30th asset class is designed to be used only with the 'Equity raising costs' asset class. Several defined name ranges use this asset class to implement the iterative equity raising cost update when smoothing total revenue.</w:t>
      </w:r>
    </w:p>
  </w:footnote>
  <w:footnote w:id="9">
    <w:p w:rsidR="00B46871" w:rsidRPr="003B5473" w:rsidRDefault="00B46871" w:rsidP="008270B1">
      <w:pPr>
        <w:pStyle w:val="FootnoteText"/>
        <w:rPr>
          <w:rFonts w:ascii="Arial" w:hAnsi="Arial" w:cs="Arial"/>
        </w:rPr>
      </w:pPr>
      <w:r w:rsidRPr="003B5473">
        <w:rPr>
          <w:rStyle w:val="FootnoteReference"/>
          <w:rFonts w:ascii="Arial" w:hAnsi="Arial" w:cs="Arial"/>
        </w:rPr>
        <w:footnoteRef/>
      </w:r>
      <w:r w:rsidRPr="003B5473">
        <w:rPr>
          <w:rFonts w:ascii="Arial" w:hAnsi="Arial" w:cs="Arial"/>
        </w:rPr>
        <w:t xml:space="preserve"> </w:t>
      </w:r>
      <w:r w:rsidRPr="003B5473">
        <w:rPr>
          <w:rFonts w:ascii="Arial" w:hAnsi="Arial" w:cs="Arial"/>
        </w:rPr>
        <w:tab/>
        <w:t>Inputs for assets under construction will only be relevant for any DNSPs that previously recognised capex on an as-commissioned basis.</w:t>
      </w:r>
    </w:p>
  </w:footnote>
  <w:footnote w:id="10">
    <w:p w:rsidR="00B46871" w:rsidRPr="003B5473" w:rsidRDefault="00B46871" w:rsidP="008270B1">
      <w:pPr>
        <w:pStyle w:val="FootnoteText"/>
        <w:rPr>
          <w:rFonts w:ascii="Arial" w:hAnsi="Arial" w:cs="Arial"/>
        </w:rPr>
      </w:pPr>
      <w:r w:rsidRPr="003B5473">
        <w:rPr>
          <w:rStyle w:val="FootnoteReference"/>
          <w:rFonts w:ascii="Arial" w:hAnsi="Arial" w:cs="Arial"/>
        </w:rPr>
        <w:footnoteRef/>
      </w:r>
      <w:r w:rsidRPr="003B5473">
        <w:rPr>
          <w:rFonts w:ascii="Arial" w:hAnsi="Arial" w:cs="Arial"/>
        </w:rPr>
        <w:t xml:space="preserve"> </w:t>
      </w:r>
      <w:r w:rsidRPr="003B5473">
        <w:rPr>
          <w:rFonts w:ascii="Arial" w:hAnsi="Arial" w:cs="Arial"/>
        </w:rPr>
        <w:tab/>
        <w:t>Generally these can be derived based on the weighted average remaining life of all individual assets in the class.</w:t>
      </w:r>
    </w:p>
  </w:footnote>
  <w:footnote w:id="11">
    <w:p w:rsidR="00B46871" w:rsidRPr="00B62C96" w:rsidRDefault="00B46871" w:rsidP="008270B1">
      <w:pPr>
        <w:pStyle w:val="FootnoteText"/>
        <w:rPr>
          <w:rFonts w:ascii="Arial" w:hAnsi="Arial" w:cs="Arial"/>
        </w:rPr>
      </w:pPr>
      <w:r w:rsidRPr="003B5473">
        <w:rPr>
          <w:rStyle w:val="FootnoteReference"/>
          <w:rFonts w:ascii="Arial" w:hAnsi="Arial" w:cs="Arial"/>
        </w:rPr>
        <w:footnoteRef/>
      </w:r>
      <w:r w:rsidRPr="003B5473">
        <w:rPr>
          <w:rFonts w:ascii="Arial" w:hAnsi="Arial" w:cs="Arial"/>
        </w:rPr>
        <w:t xml:space="preserve"> </w:t>
      </w:r>
      <w:r w:rsidRPr="003B5473">
        <w:rPr>
          <w:rFonts w:ascii="Arial" w:hAnsi="Arial" w:cs="Arial"/>
        </w:rPr>
        <w:tab/>
      </w:r>
      <w:r w:rsidRPr="00B62C96">
        <w:rPr>
          <w:rFonts w:ascii="Arial" w:hAnsi="Arial" w:cs="Arial"/>
        </w:rPr>
        <w:t>Row 70 (asset class 30) is designed to be used for equity raising costs only.</w:t>
      </w:r>
    </w:p>
  </w:footnote>
  <w:footnote w:id="12">
    <w:p w:rsidR="00B46871" w:rsidRPr="003B5473" w:rsidRDefault="00B46871" w:rsidP="008270B1">
      <w:pPr>
        <w:pStyle w:val="FootnoteText"/>
        <w:rPr>
          <w:rFonts w:ascii="Arial" w:hAnsi="Arial" w:cs="Arial"/>
        </w:rPr>
      </w:pPr>
      <w:r w:rsidRPr="00B62C96">
        <w:rPr>
          <w:rStyle w:val="FootnoteReference"/>
        </w:rPr>
        <w:footnoteRef/>
      </w:r>
      <w:r w:rsidRPr="00B62C96">
        <w:rPr>
          <w:rFonts w:ascii="Arial" w:hAnsi="Arial" w:cs="Arial"/>
        </w:rPr>
        <w:t xml:space="preserve"> </w:t>
      </w:r>
      <w:r w:rsidRPr="00B62C96">
        <w:rPr>
          <w:rFonts w:ascii="Arial" w:hAnsi="Arial" w:cs="Arial"/>
        </w:rPr>
        <w:tab/>
        <w:t>The button at the left of row 71 may be pressed to display/hide rows 41 to 70 (asset classes 1 to 30).</w:t>
      </w:r>
    </w:p>
  </w:footnote>
  <w:footnote w:id="13">
    <w:p w:rsidR="00B46871" w:rsidRPr="00E73E0D" w:rsidRDefault="00B46871">
      <w:pPr>
        <w:pStyle w:val="FootnoteText"/>
        <w:rPr>
          <w:rFonts w:ascii="Arial" w:hAnsi="Arial" w:cs="Arial"/>
        </w:rPr>
      </w:pPr>
      <w:r w:rsidRPr="00E73E0D">
        <w:rPr>
          <w:rStyle w:val="FootnoteReference"/>
          <w:rFonts w:ascii="Arial" w:hAnsi="Arial" w:cs="Arial"/>
        </w:rPr>
        <w:footnoteRef/>
      </w:r>
      <w:r w:rsidRPr="00E73E0D">
        <w:rPr>
          <w:rFonts w:ascii="Arial" w:hAnsi="Arial" w:cs="Arial"/>
        </w:rPr>
        <w:t xml:space="preserve"> </w:t>
      </w:r>
      <w:r w:rsidRPr="00E73E0D">
        <w:rPr>
          <w:rFonts w:ascii="Arial" w:hAnsi="Arial" w:cs="Arial"/>
        </w:rPr>
        <w:tab/>
      </w:r>
      <w:r w:rsidRPr="00C4660C">
        <w:rPr>
          <w:rFonts w:ascii="Arial" w:hAnsi="Arial" w:cs="Arial"/>
        </w:rPr>
        <w:t>The PTRM templates include sample revenue adjustments line items, which should be treated as basic examples of the type of revenue adjustments (and tax treatments) that might be included. The examples should not be read as indicating the AER’s position on the tax implications of these particular revenue adjustments.</w:t>
      </w:r>
    </w:p>
  </w:footnote>
  <w:footnote w:id="14">
    <w:p w:rsidR="00B46871" w:rsidRPr="003B5473" w:rsidRDefault="00B46871" w:rsidP="008270B1">
      <w:pPr>
        <w:pStyle w:val="FootnoteText"/>
        <w:rPr>
          <w:rFonts w:ascii="Arial" w:hAnsi="Arial" w:cs="Arial"/>
        </w:rPr>
      </w:pPr>
      <w:r w:rsidRPr="003B5473">
        <w:rPr>
          <w:rStyle w:val="FootnoteReference"/>
          <w:rFonts w:ascii="Arial" w:hAnsi="Arial" w:cs="Arial"/>
        </w:rPr>
        <w:footnoteRef/>
      </w:r>
      <w:r w:rsidRPr="003B5473">
        <w:rPr>
          <w:rFonts w:ascii="Arial" w:hAnsi="Arial" w:cs="Arial"/>
        </w:rPr>
        <w:t xml:space="preserve"> </w:t>
      </w:r>
      <w:r w:rsidRPr="003B5473">
        <w:rPr>
          <w:rFonts w:ascii="Arial" w:hAnsi="Arial" w:cs="Arial"/>
        </w:rPr>
        <w:tab/>
        <w:t>Clause 6.4.2(b</w:t>
      </w:r>
      <w:proofErr w:type="gramStart"/>
      <w:r w:rsidRPr="003B5473">
        <w:rPr>
          <w:rFonts w:ascii="Arial" w:hAnsi="Arial" w:cs="Arial"/>
        </w:rPr>
        <w:t>)(</w:t>
      </w:r>
      <w:proofErr w:type="gramEnd"/>
      <w:r w:rsidRPr="003B5473">
        <w:rPr>
          <w:rFonts w:ascii="Arial" w:hAnsi="Arial" w:cs="Arial"/>
        </w:rPr>
        <w:t xml:space="preserve">1) of the NER requires the AER to specify in the PTRM a methodology that is likely to result in the best estimate of expected inflation. The AER uses an approach that calculates the geometric average based on the inflation forecasts for two years sourced from the latest available Reserve Bank of Australia’s (RBA’s) </w:t>
      </w:r>
      <w:r w:rsidRPr="003B5473">
        <w:rPr>
          <w:rStyle w:val="AERtextitalic"/>
          <w:rFonts w:ascii="Arial" w:hAnsi="Arial" w:cs="Arial"/>
        </w:rPr>
        <w:t>Statement of monetary policy</w:t>
      </w:r>
      <w:r w:rsidRPr="003B5473">
        <w:rPr>
          <w:rFonts w:ascii="Arial" w:hAnsi="Arial" w:cs="Arial"/>
        </w:rPr>
        <w:t xml:space="preserve"> and the mid-point of the RBA’s target inflation band for eight years (see AER, </w:t>
      </w:r>
      <w:r w:rsidRPr="003B5473">
        <w:rPr>
          <w:rStyle w:val="AERtextitalic"/>
          <w:rFonts w:ascii="Arial" w:hAnsi="Arial" w:cs="Arial"/>
        </w:rPr>
        <w:t>Final decision, TransGrid transmission determination 2009–10 to 2013–14</w:t>
      </w:r>
      <w:r w:rsidRPr="003B5473">
        <w:rPr>
          <w:rFonts w:ascii="Arial" w:hAnsi="Arial" w:cs="Arial"/>
        </w:rPr>
        <w:t>, 28 April 2009, pp. 60–64).</w:t>
      </w:r>
    </w:p>
  </w:footnote>
  <w:footnote w:id="15">
    <w:p w:rsidR="00B46871" w:rsidRPr="003B5473" w:rsidRDefault="00B46871" w:rsidP="008270B1">
      <w:pPr>
        <w:pStyle w:val="FootnoteText"/>
        <w:rPr>
          <w:rFonts w:ascii="Arial" w:hAnsi="Arial" w:cs="Arial"/>
        </w:rPr>
      </w:pPr>
      <w:r w:rsidRPr="003B5473">
        <w:rPr>
          <w:rStyle w:val="FootnoteReference"/>
          <w:rFonts w:ascii="Arial" w:hAnsi="Arial" w:cs="Arial"/>
        </w:rPr>
        <w:footnoteRef/>
      </w:r>
      <w:r w:rsidRPr="003B5473">
        <w:rPr>
          <w:rFonts w:ascii="Arial" w:hAnsi="Arial" w:cs="Arial"/>
        </w:rPr>
        <w:t xml:space="preserve"> </w:t>
      </w:r>
      <w:r w:rsidRPr="003B5473">
        <w:rPr>
          <w:rFonts w:ascii="Arial" w:hAnsi="Arial" w:cs="Arial"/>
        </w:rPr>
        <w:tab/>
      </w:r>
      <w:r w:rsidRPr="003B5473">
        <w:rPr>
          <w:rStyle w:val="AERtexthighlight"/>
          <w:rFonts w:ascii="Arial" w:hAnsi="Arial" w:cs="Arial"/>
          <w:shd w:val="clear" w:color="auto" w:fill="auto"/>
        </w:rPr>
        <w:t xml:space="preserve">AER, </w:t>
      </w:r>
      <w:r w:rsidRPr="003B5473">
        <w:rPr>
          <w:rStyle w:val="AERtextitalic"/>
          <w:rFonts w:ascii="Arial" w:hAnsi="Arial" w:cs="Arial"/>
        </w:rPr>
        <w:t>Better regulation: Rate of return guideline</w:t>
      </w:r>
      <w:r w:rsidRPr="003B5473">
        <w:rPr>
          <w:rStyle w:val="AERtexthighlight"/>
          <w:rFonts w:ascii="Arial" w:hAnsi="Arial" w:cs="Arial"/>
          <w:shd w:val="clear" w:color="auto" w:fill="auto"/>
        </w:rPr>
        <w:t>, December 2013.</w:t>
      </w:r>
    </w:p>
  </w:footnote>
  <w:footnote w:id="16">
    <w:p w:rsidR="00B46871" w:rsidRPr="000257BC" w:rsidRDefault="00B46871">
      <w:pPr>
        <w:pStyle w:val="FootnoteText"/>
        <w:rPr>
          <w:rFonts w:ascii="Arial" w:hAnsi="Arial" w:cs="Arial"/>
        </w:rPr>
      </w:pPr>
      <w:r w:rsidRPr="000257BC">
        <w:rPr>
          <w:rStyle w:val="FootnoteReference"/>
          <w:rFonts w:ascii="Arial" w:hAnsi="Arial" w:cs="Arial"/>
        </w:rPr>
        <w:footnoteRef/>
      </w:r>
      <w:r w:rsidRPr="000257BC">
        <w:rPr>
          <w:rFonts w:ascii="Arial" w:hAnsi="Arial" w:cs="Arial"/>
        </w:rPr>
        <w:t xml:space="preserve"> </w:t>
      </w:r>
      <w:r w:rsidRPr="000257BC">
        <w:rPr>
          <w:rFonts w:ascii="Arial" w:hAnsi="Arial" w:cs="Arial"/>
        </w:rPr>
        <w:tab/>
      </w:r>
      <w:proofErr w:type="gramStart"/>
      <w:r w:rsidRPr="00C4660C">
        <w:rPr>
          <w:rFonts w:ascii="Arial" w:hAnsi="Arial" w:cs="Arial"/>
        </w:rPr>
        <w:t>These link</w:t>
      </w:r>
      <w:proofErr w:type="gramEnd"/>
      <w:r w:rsidRPr="00C4660C">
        <w:rPr>
          <w:rFonts w:ascii="Arial" w:hAnsi="Arial" w:cs="Arial"/>
        </w:rPr>
        <w:t xml:space="preserve"> to the cash-flow analysis excluding the effect of revenue adjustments, which is the relevant basis for checking that the target return on equity has been met.</w:t>
      </w:r>
    </w:p>
  </w:footnote>
  <w:footnote w:id="17">
    <w:p w:rsidR="00B46871" w:rsidRPr="00DD5533" w:rsidRDefault="00B46871" w:rsidP="008270B1">
      <w:pPr>
        <w:pStyle w:val="FootnoteText"/>
        <w:rPr>
          <w:rFonts w:ascii="Arial" w:hAnsi="Arial" w:cs="Arial"/>
        </w:rPr>
      </w:pPr>
      <w:r w:rsidRPr="00DD5533">
        <w:rPr>
          <w:rStyle w:val="FootnoteReference"/>
          <w:rFonts w:ascii="Arial" w:hAnsi="Arial" w:cs="Arial"/>
        </w:rPr>
        <w:footnoteRef/>
      </w:r>
      <w:r w:rsidRPr="00DD5533">
        <w:rPr>
          <w:rFonts w:ascii="Arial" w:hAnsi="Arial" w:cs="Arial"/>
        </w:rPr>
        <w:t xml:space="preserve"> </w:t>
      </w:r>
      <w:r w:rsidRPr="00DD5533">
        <w:rPr>
          <w:rFonts w:ascii="Arial" w:hAnsi="Arial" w:cs="Arial"/>
        </w:rPr>
        <w:tab/>
        <w:t xml:space="preserve">See rows 24 to 27 in the </w:t>
      </w:r>
      <w:r w:rsidRPr="00DD5533">
        <w:rPr>
          <w:rStyle w:val="AERtextbold"/>
          <w:rFonts w:ascii="Arial" w:hAnsi="Arial" w:cs="Arial"/>
        </w:rPr>
        <w:t>Analysis</w:t>
      </w:r>
      <w:r w:rsidRPr="00DD5533">
        <w:rPr>
          <w:rFonts w:ascii="Arial" w:hAnsi="Arial" w:cs="Arial"/>
        </w:rPr>
        <w:t xml:space="preserve"> sheet, which calculate the return on capital and provide a breakdown of the return on equity and return on debt.</w:t>
      </w:r>
    </w:p>
  </w:footnote>
  <w:footnote w:id="18">
    <w:p w:rsidR="00B46871" w:rsidRPr="003B5473" w:rsidRDefault="00B46871" w:rsidP="008270B1">
      <w:pPr>
        <w:pStyle w:val="FootnoteText"/>
        <w:rPr>
          <w:rFonts w:ascii="Arial" w:hAnsi="Arial" w:cs="Arial"/>
        </w:rPr>
      </w:pPr>
      <w:r w:rsidRPr="003B5473">
        <w:rPr>
          <w:rStyle w:val="FootnoteReference"/>
          <w:rFonts w:ascii="Arial" w:hAnsi="Arial" w:cs="Arial"/>
        </w:rPr>
        <w:footnoteRef/>
      </w:r>
      <w:r w:rsidRPr="003B5473">
        <w:rPr>
          <w:rFonts w:ascii="Arial" w:hAnsi="Arial" w:cs="Arial"/>
        </w:rPr>
        <w:t xml:space="preserve"> </w:t>
      </w:r>
      <w:r w:rsidRPr="003B5473">
        <w:rPr>
          <w:rFonts w:ascii="Arial" w:hAnsi="Arial" w:cs="Arial"/>
        </w:rPr>
        <w:tab/>
        <w:t>The half-real vanilla WACC is calculated as the square root of (1 + real vanilla WACC) – 1 to account for the compounding effect on an annual rate.</w:t>
      </w:r>
    </w:p>
  </w:footnote>
  <w:footnote w:id="19">
    <w:p w:rsidR="00B46871" w:rsidRPr="00DD5533" w:rsidRDefault="00B46871" w:rsidP="008270B1">
      <w:pPr>
        <w:pStyle w:val="FootnoteText"/>
        <w:rPr>
          <w:rFonts w:ascii="Arial" w:hAnsi="Arial" w:cs="Arial"/>
        </w:rPr>
      </w:pPr>
      <w:r w:rsidRPr="00DD5533">
        <w:rPr>
          <w:rStyle w:val="FootnoteReference"/>
          <w:rFonts w:ascii="Arial" w:hAnsi="Arial" w:cs="Arial"/>
        </w:rPr>
        <w:footnoteRef/>
      </w:r>
      <w:r w:rsidRPr="00DD5533">
        <w:rPr>
          <w:rFonts w:ascii="Arial" w:hAnsi="Arial" w:cs="Arial"/>
        </w:rPr>
        <w:t xml:space="preserve"> </w:t>
      </w:r>
      <w:r w:rsidRPr="00DD5533">
        <w:rPr>
          <w:rFonts w:ascii="Arial" w:hAnsi="Arial" w:cs="Arial"/>
        </w:rPr>
        <w:tab/>
        <w:t>The timing of the capex cash flow is assumed to be mid-year.</w:t>
      </w:r>
    </w:p>
  </w:footnote>
  <w:footnote w:id="20">
    <w:p w:rsidR="00B46871" w:rsidRPr="003B5473" w:rsidRDefault="00B46871" w:rsidP="008270B1">
      <w:pPr>
        <w:pStyle w:val="FootnoteText"/>
        <w:rPr>
          <w:rFonts w:ascii="Arial" w:hAnsi="Arial" w:cs="Arial"/>
        </w:rPr>
      </w:pPr>
      <w:r w:rsidRPr="003B5473">
        <w:rPr>
          <w:rStyle w:val="FootnoteReference"/>
          <w:rFonts w:ascii="Arial" w:hAnsi="Arial" w:cs="Arial"/>
        </w:rPr>
        <w:footnoteRef/>
      </w:r>
      <w:r w:rsidRPr="003B5473">
        <w:rPr>
          <w:rFonts w:ascii="Arial" w:hAnsi="Arial" w:cs="Arial"/>
        </w:rPr>
        <w:t xml:space="preserve"> </w:t>
      </w:r>
      <w:r w:rsidRPr="003B5473">
        <w:rPr>
          <w:rFonts w:ascii="Arial" w:hAnsi="Arial" w:cs="Arial"/>
        </w:rPr>
        <w:tab/>
      </w:r>
      <w:r w:rsidRPr="00C4660C">
        <w:rPr>
          <w:rFonts w:ascii="Arial" w:hAnsi="Arial" w:cs="Arial"/>
        </w:rPr>
        <w:t>The AER in its regulatory determinations has considered a divergence of up to 3 per cent between the expected revenue and ARR for the final year of the regulatory control period to be reasonable if this can achieve smoother price changes for customers over the regulatory control period.</w:t>
      </w:r>
    </w:p>
  </w:footnote>
  <w:footnote w:id="21">
    <w:p w:rsidR="00B46871" w:rsidRPr="003B5473" w:rsidRDefault="00B46871" w:rsidP="008270B1">
      <w:pPr>
        <w:pStyle w:val="FootnoteText"/>
        <w:rPr>
          <w:rFonts w:ascii="Arial" w:hAnsi="Arial" w:cs="Arial"/>
        </w:rPr>
      </w:pPr>
      <w:r w:rsidRPr="003B5473">
        <w:rPr>
          <w:rStyle w:val="FootnoteReference"/>
          <w:rFonts w:ascii="Arial" w:hAnsi="Arial" w:cs="Arial"/>
        </w:rPr>
        <w:footnoteRef/>
      </w:r>
      <w:r w:rsidRPr="003B5473">
        <w:rPr>
          <w:rFonts w:ascii="Arial" w:hAnsi="Arial" w:cs="Arial"/>
        </w:rPr>
        <w:t xml:space="preserve"> </w:t>
      </w:r>
      <w:r w:rsidRPr="003B5473">
        <w:rPr>
          <w:rFonts w:ascii="Arial" w:hAnsi="Arial" w:cs="Arial"/>
        </w:rPr>
        <w:tab/>
      </w:r>
      <w:r w:rsidRPr="00C4660C">
        <w:rPr>
          <w:rFonts w:ascii="Arial" w:hAnsi="Arial" w:cs="Arial"/>
        </w:rPr>
        <w:t>This is not the only change that flows from a change to the return on debt – the return on capital and return of capital building blocks will change, and therefore so will the tax building block.</w:t>
      </w:r>
    </w:p>
  </w:footnote>
  <w:footnote w:id="22">
    <w:p w:rsidR="00B46871" w:rsidRPr="00142F67" w:rsidRDefault="00B46871" w:rsidP="008270B1">
      <w:pPr>
        <w:pStyle w:val="FootnoteText"/>
        <w:rPr>
          <w:rStyle w:val="AERtexthighlight"/>
          <w:rFonts w:ascii="Arial" w:hAnsi="Arial" w:cs="Arial"/>
        </w:rPr>
      </w:pPr>
      <w:r w:rsidRPr="003B5473">
        <w:rPr>
          <w:rStyle w:val="FootnoteReference"/>
          <w:rFonts w:ascii="Arial" w:hAnsi="Arial" w:cs="Arial"/>
        </w:rPr>
        <w:footnoteRef/>
      </w:r>
      <w:r w:rsidRPr="003B5473">
        <w:rPr>
          <w:rFonts w:ascii="Arial" w:hAnsi="Arial" w:cs="Arial"/>
        </w:rPr>
        <w:t xml:space="preserve"> </w:t>
      </w:r>
      <w:r w:rsidRPr="003B5473">
        <w:rPr>
          <w:rFonts w:ascii="Arial" w:hAnsi="Arial" w:cs="Arial"/>
        </w:rPr>
        <w:tab/>
      </w:r>
      <w:r w:rsidRPr="00142F67">
        <w:rPr>
          <w:rFonts w:ascii="Arial" w:hAnsi="Arial" w:cs="Arial"/>
        </w:rPr>
        <w:t>This preserves comparability with the other two forms of control.</w:t>
      </w:r>
    </w:p>
  </w:footnote>
  <w:footnote w:id="23">
    <w:p w:rsidR="00B46871" w:rsidRPr="003B5473" w:rsidRDefault="00B46871" w:rsidP="008270B1">
      <w:pPr>
        <w:pStyle w:val="FootnoteText"/>
        <w:rPr>
          <w:rFonts w:ascii="Arial" w:hAnsi="Arial" w:cs="Arial"/>
        </w:rPr>
      </w:pPr>
      <w:r w:rsidRPr="00142F67">
        <w:rPr>
          <w:rStyle w:val="FootnoteReference"/>
          <w:rFonts w:ascii="Arial" w:hAnsi="Arial" w:cs="Arial"/>
        </w:rPr>
        <w:footnoteRef/>
      </w:r>
      <w:r w:rsidRPr="00142F67">
        <w:rPr>
          <w:rFonts w:ascii="Arial" w:hAnsi="Arial" w:cs="Arial"/>
        </w:rPr>
        <w:t xml:space="preserve"> </w:t>
      </w:r>
      <w:r w:rsidRPr="00142F67">
        <w:rPr>
          <w:rFonts w:ascii="Arial" w:hAnsi="Arial" w:cs="Arial"/>
        </w:rPr>
        <w:tab/>
        <w:t>The average yearly change is calculated as the geometric mean (not the arithmetic mean), and therefore reflects the cumulative impact of year-on-year percentage changes across the regulatory control period. In other words, the value shown in column S (where labelled 'Average yearly change') is the percentage change that, if applied to every year in the regulatory control period, would arrive at the total cumulative change across the period.</w:t>
      </w:r>
    </w:p>
  </w:footnote>
  <w:footnote w:id="24">
    <w:p w:rsidR="00B46871" w:rsidRPr="00142F67" w:rsidRDefault="00B46871" w:rsidP="008270B1">
      <w:pPr>
        <w:pStyle w:val="FootnoteText"/>
        <w:rPr>
          <w:rFonts w:ascii="Arial" w:hAnsi="Arial" w:cs="Arial"/>
        </w:rPr>
      </w:pPr>
      <w:r w:rsidRPr="003B5473">
        <w:rPr>
          <w:rStyle w:val="FootnoteReference"/>
          <w:rFonts w:ascii="Arial" w:hAnsi="Arial" w:cs="Arial"/>
        </w:rPr>
        <w:footnoteRef/>
      </w:r>
      <w:r w:rsidRPr="003B5473">
        <w:rPr>
          <w:rFonts w:ascii="Arial" w:hAnsi="Arial" w:cs="Arial"/>
        </w:rPr>
        <w:t xml:space="preserve"> </w:t>
      </w:r>
      <w:r w:rsidRPr="003B5473">
        <w:rPr>
          <w:rFonts w:ascii="Arial" w:hAnsi="Arial" w:cs="Arial"/>
        </w:rPr>
        <w:tab/>
      </w:r>
      <w:proofErr w:type="gramStart"/>
      <w:r w:rsidRPr="00142F67">
        <w:rPr>
          <w:rFonts w:ascii="Arial" w:hAnsi="Arial" w:cs="Arial"/>
        </w:rPr>
        <w:t xml:space="preserve">AER, </w:t>
      </w:r>
      <w:r w:rsidRPr="00142F67">
        <w:rPr>
          <w:rFonts w:ascii="Arial" w:hAnsi="Arial" w:cs="Arial"/>
          <w:i/>
        </w:rPr>
        <w:t xml:space="preserve">Final decision, </w:t>
      </w:r>
      <w:proofErr w:type="spellStart"/>
      <w:r w:rsidRPr="00142F67">
        <w:rPr>
          <w:rFonts w:ascii="Arial" w:hAnsi="Arial" w:cs="Arial"/>
          <w:i/>
        </w:rPr>
        <w:t>Powerlink</w:t>
      </w:r>
      <w:proofErr w:type="spellEnd"/>
      <w:r w:rsidRPr="00142F67">
        <w:rPr>
          <w:rFonts w:ascii="Arial" w:hAnsi="Arial" w:cs="Arial"/>
          <w:i/>
        </w:rPr>
        <w:t xml:space="preserve"> transmission determination 2012–13 to 2016–17</w:t>
      </w:r>
      <w:r w:rsidRPr="00142F67">
        <w:rPr>
          <w:rFonts w:ascii="Arial" w:hAnsi="Arial" w:cs="Arial"/>
        </w:rPr>
        <w:t>, April 2012, pp. 145–147.</w:t>
      </w:r>
      <w:proofErr w:type="gramEnd"/>
    </w:p>
  </w:footnote>
  <w:footnote w:id="25">
    <w:p w:rsidR="00B46871" w:rsidRPr="003B5473" w:rsidRDefault="00B46871" w:rsidP="008270B1">
      <w:pPr>
        <w:pStyle w:val="FootnoteText"/>
        <w:rPr>
          <w:rFonts w:ascii="Arial" w:hAnsi="Arial" w:cs="Arial"/>
        </w:rPr>
      </w:pPr>
      <w:r w:rsidRPr="00A10218">
        <w:rPr>
          <w:rStyle w:val="FootnoteReference"/>
          <w:rFonts w:ascii="Arial" w:hAnsi="Arial" w:cs="Arial"/>
        </w:rPr>
        <w:footnoteRef/>
      </w:r>
      <w:r w:rsidRPr="00A10218">
        <w:rPr>
          <w:rStyle w:val="FootnoteReference"/>
          <w:rFonts w:ascii="Arial" w:hAnsi="Arial" w:cs="Arial"/>
        </w:rPr>
        <w:t xml:space="preserve"> </w:t>
      </w:r>
      <w:r w:rsidRPr="00142F67">
        <w:rPr>
          <w:rFonts w:ascii="Arial" w:hAnsi="Arial" w:cs="Arial"/>
        </w:rPr>
        <w:tab/>
      </w:r>
      <w:r w:rsidRPr="00A10218">
        <w:rPr>
          <w:rFonts w:ascii="Arial" w:hAnsi="Arial" w:cs="Arial"/>
        </w:rPr>
        <w:t>If the drop down menu to 'do NOT update ERC when smoothing' (</w:t>
      </w:r>
      <w:r w:rsidRPr="00A10218">
        <w:rPr>
          <w:rFonts w:ascii="Arial" w:hAnsi="Arial" w:cs="Arial"/>
          <w:b/>
        </w:rPr>
        <w:t>X factors</w:t>
      </w:r>
      <w:r w:rsidRPr="00A10218">
        <w:rPr>
          <w:rFonts w:ascii="Arial" w:hAnsi="Arial" w:cs="Arial"/>
        </w:rPr>
        <w:t xml:space="preserve"> sheet, cell H16) is selected, then running a smoothing button will not change the equity raising cost form of control (</w:t>
      </w:r>
      <w:r w:rsidRPr="00A10218">
        <w:rPr>
          <w:rFonts w:ascii="Arial" w:hAnsi="Arial" w:cs="Arial"/>
          <w:b/>
        </w:rPr>
        <w:t xml:space="preserve">Equity </w:t>
      </w:r>
      <w:proofErr w:type="gramStart"/>
      <w:r w:rsidRPr="00A10218">
        <w:rPr>
          <w:rFonts w:ascii="Arial" w:hAnsi="Arial" w:cs="Arial"/>
          <w:b/>
        </w:rPr>
        <w:t>raising</w:t>
      </w:r>
      <w:proofErr w:type="gramEnd"/>
      <w:r w:rsidRPr="00A10218">
        <w:rPr>
          <w:rFonts w:ascii="Arial" w:hAnsi="Arial" w:cs="Arial"/>
          <w:b/>
        </w:rPr>
        <w:t xml:space="preserve"> cost</w:t>
      </w:r>
      <w:r w:rsidRPr="00A10218">
        <w:rPr>
          <w:rFonts w:ascii="Arial" w:hAnsi="Arial" w:cs="Arial"/>
        </w:rPr>
        <w:t xml:space="preserve"> sheet, cell G19). This means that the form of control used to smooth the X factors and the form of control used to iteratively determine equity raising cost may not align.</w:t>
      </w:r>
      <w:r w:rsidRPr="003B5473">
        <w:rPr>
          <w:rFonts w:ascii="Arial" w:hAnsi="Arial" w:cs="Arial"/>
        </w:rPr>
        <w:t xml:space="preserve"> </w:t>
      </w:r>
    </w:p>
  </w:footnote>
  <w:footnote w:id="26">
    <w:p w:rsidR="00B46871" w:rsidRPr="003B5473" w:rsidRDefault="00B46871" w:rsidP="008270B1">
      <w:pPr>
        <w:pStyle w:val="FootnoteText"/>
        <w:rPr>
          <w:rStyle w:val="AERtexthighlight"/>
          <w:rFonts w:ascii="Arial" w:hAnsi="Arial" w:cs="Arial"/>
        </w:rPr>
      </w:pPr>
      <w:r w:rsidRPr="003B5473">
        <w:rPr>
          <w:rStyle w:val="FootnoteReference"/>
          <w:rFonts w:ascii="Arial" w:hAnsi="Arial" w:cs="Arial"/>
        </w:rPr>
        <w:footnoteRef/>
      </w:r>
      <w:r w:rsidRPr="003B5473">
        <w:rPr>
          <w:rFonts w:ascii="Arial" w:hAnsi="Arial" w:cs="Arial"/>
        </w:rPr>
        <w:t xml:space="preserve"> </w:t>
      </w:r>
      <w:r w:rsidRPr="003B5473">
        <w:rPr>
          <w:rFonts w:ascii="Arial" w:hAnsi="Arial" w:cs="Arial"/>
        </w:rPr>
        <w:tab/>
      </w:r>
      <w:r w:rsidRPr="00142F67">
        <w:rPr>
          <w:rFonts w:ascii="Arial" w:hAnsi="Arial" w:cs="Arial"/>
        </w:rPr>
        <w:t>Where there is sufficient retained cash flow to cover the equity component of capex, the amounts shown in row 36 would be negative.</w:t>
      </w:r>
    </w:p>
  </w:footnote>
  <w:footnote w:id="27">
    <w:p w:rsidR="00B46871" w:rsidRPr="003B5473" w:rsidRDefault="00B46871" w:rsidP="008270B1">
      <w:pPr>
        <w:pStyle w:val="FootnoteText"/>
        <w:rPr>
          <w:rFonts w:ascii="Arial" w:hAnsi="Arial" w:cs="Arial"/>
        </w:rPr>
      </w:pPr>
      <w:r w:rsidRPr="003B5473">
        <w:rPr>
          <w:rStyle w:val="FootnoteReference"/>
          <w:rFonts w:ascii="Arial" w:hAnsi="Arial" w:cs="Arial"/>
        </w:rPr>
        <w:footnoteRef/>
      </w:r>
      <w:r w:rsidRPr="003B5473">
        <w:rPr>
          <w:rFonts w:ascii="Arial" w:hAnsi="Arial" w:cs="Arial"/>
        </w:rPr>
        <w:t xml:space="preserve"> </w:t>
      </w:r>
      <w:r w:rsidRPr="003B5473">
        <w:rPr>
          <w:rFonts w:ascii="Arial" w:hAnsi="Arial" w:cs="Arial"/>
        </w:rPr>
        <w:tab/>
      </w:r>
      <w:r w:rsidRPr="00142F67">
        <w:rPr>
          <w:rFonts w:ascii="Arial" w:hAnsi="Arial" w:cs="Arial"/>
        </w:rPr>
        <w:t>This does not mean that the calculation method for the entire workbook needs to be set to manual or iterative (under Options -&gt; Formulas -&gt; Calculation options). The implementation in the PTRM is such that direct values are entered in the</w:t>
      </w:r>
      <w:r>
        <w:rPr>
          <w:rFonts w:ascii="Arial" w:hAnsi="Arial" w:cs="Arial"/>
        </w:rPr>
        <w:t xml:space="preserve"> </w:t>
      </w:r>
      <w:r w:rsidRPr="0076407F">
        <w:rPr>
          <w:rFonts w:ascii="Arial" w:hAnsi="Arial" w:cs="Arial"/>
          <w:b/>
        </w:rPr>
        <w:t>PTRM</w:t>
      </w:r>
      <w:r w:rsidRPr="00142F67">
        <w:rPr>
          <w:rFonts w:ascii="Arial" w:hAnsi="Arial" w:cs="Arial"/>
        </w:rPr>
        <w:t xml:space="preserve"> </w:t>
      </w:r>
      <w:r>
        <w:rPr>
          <w:rFonts w:ascii="Arial" w:hAnsi="Arial" w:cs="Arial"/>
        </w:rPr>
        <w:t>i</w:t>
      </w:r>
      <w:r w:rsidRPr="00142F67">
        <w:rPr>
          <w:rFonts w:ascii="Arial" w:hAnsi="Arial" w:cs="Arial"/>
          <w:b/>
        </w:rPr>
        <w:t>nput</w:t>
      </w:r>
      <w:r w:rsidRPr="00142F67">
        <w:rPr>
          <w:rFonts w:ascii="Arial" w:hAnsi="Arial" w:cs="Arial"/>
        </w:rPr>
        <w:t xml:space="preserve"> sheet, so there is no circular reference, and the iterative updates are managed via macros when smoothing. Hence, the calculation option can be left as automatic, without iteration.</w:t>
      </w:r>
    </w:p>
  </w:footnote>
  <w:footnote w:id="28">
    <w:p w:rsidR="00B46871" w:rsidRPr="00EA2C79" w:rsidRDefault="00B46871" w:rsidP="008270B1">
      <w:pPr>
        <w:pStyle w:val="FootnoteText"/>
        <w:rPr>
          <w:rFonts w:ascii="Arial" w:hAnsi="Arial" w:cs="Arial"/>
        </w:rPr>
      </w:pPr>
      <w:r w:rsidRPr="003B5473">
        <w:rPr>
          <w:rStyle w:val="FootnoteReference"/>
          <w:rFonts w:ascii="Arial" w:hAnsi="Arial" w:cs="Arial"/>
        </w:rPr>
        <w:footnoteRef/>
      </w:r>
      <w:r w:rsidRPr="003B5473">
        <w:rPr>
          <w:rFonts w:ascii="Arial" w:hAnsi="Arial" w:cs="Arial"/>
        </w:rPr>
        <w:t xml:space="preserve"> </w:t>
      </w:r>
      <w:r w:rsidRPr="003B5473">
        <w:rPr>
          <w:rFonts w:ascii="Arial" w:hAnsi="Arial" w:cs="Arial"/>
        </w:rPr>
        <w:tab/>
      </w:r>
      <w:r w:rsidRPr="00EA2C79">
        <w:rPr>
          <w:rFonts w:ascii="Arial" w:hAnsi="Arial" w:cs="Arial"/>
        </w:rPr>
        <w:t>Also, the year-by-year tax rates (row 200) only require the first year (cell G200) to be entered; the PTRM will apply this tax rate to later years where there is no explicit tax rate entered.</w:t>
      </w:r>
    </w:p>
  </w:footnote>
  <w:footnote w:id="29">
    <w:p w:rsidR="00B46871" w:rsidRPr="00EA2C79" w:rsidRDefault="00B46871" w:rsidP="008270B1">
      <w:pPr>
        <w:pStyle w:val="FootnoteText"/>
        <w:rPr>
          <w:rFonts w:ascii="Arial" w:hAnsi="Arial" w:cs="Arial"/>
        </w:rPr>
      </w:pPr>
      <w:r w:rsidRPr="00EA2C79">
        <w:rPr>
          <w:rStyle w:val="FootnoteReference"/>
          <w:rFonts w:ascii="Arial" w:hAnsi="Arial" w:cs="Arial"/>
        </w:rPr>
        <w:footnoteRef/>
      </w:r>
      <w:r w:rsidRPr="003B5473">
        <w:rPr>
          <w:rFonts w:ascii="Arial" w:hAnsi="Arial" w:cs="Arial"/>
        </w:rPr>
        <w:t xml:space="preserve"> </w:t>
      </w:r>
      <w:r w:rsidRPr="003B5473">
        <w:rPr>
          <w:rFonts w:ascii="Arial" w:hAnsi="Arial" w:cs="Arial"/>
        </w:rPr>
        <w:tab/>
      </w:r>
      <w:r w:rsidRPr="00EA2C79">
        <w:rPr>
          <w:rFonts w:ascii="Arial" w:hAnsi="Arial" w:cs="Arial"/>
        </w:rPr>
        <w:t>The PTRM will use the return on debt for a given year if entered, so if forecasts were entered for later years in the regulatory control period (and these values differ from the year 1 return on debt), this will be reflected in the building block calculations. However, this is not intended to be the default operation of the PTRM. If a DNSP was to propose (at the time of making the final decision) return on debt forecasts for year 2 onwards this would need to be assessed as part of an individual determination.</w:t>
      </w:r>
    </w:p>
  </w:footnote>
  <w:footnote w:id="30">
    <w:p w:rsidR="00B46871" w:rsidRPr="003B5473" w:rsidRDefault="00B46871" w:rsidP="008270B1">
      <w:pPr>
        <w:pStyle w:val="FootnoteText"/>
        <w:rPr>
          <w:rFonts w:ascii="Arial" w:hAnsi="Arial" w:cs="Arial"/>
        </w:rPr>
      </w:pPr>
      <w:r w:rsidRPr="00EA2C79">
        <w:rPr>
          <w:rStyle w:val="FootnoteReference"/>
          <w:rFonts w:ascii="Arial" w:hAnsi="Arial" w:cs="Arial"/>
        </w:rPr>
        <w:footnoteRef/>
      </w:r>
      <w:r w:rsidRPr="003B5473">
        <w:rPr>
          <w:rFonts w:ascii="Arial" w:hAnsi="Arial" w:cs="Arial"/>
        </w:rPr>
        <w:t xml:space="preserve"> </w:t>
      </w:r>
      <w:r w:rsidRPr="003B5473">
        <w:rPr>
          <w:rFonts w:ascii="Arial" w:hAnsi="Arial" w:cs="Arial"/>
        </w:rPr>
        <w:tab/>
      </w:r>
      <w:r w:rsidRPr="00EA2C79">
        <w:rPr>
          <w:rFonts w:ascii="Arial" w:hAnsi="Arial" w:cs="Arial"/>
        </w:rPr>
        <w:t>The ‘do NOT update ERC when smoothing’ option can be selected for certain analysis that seeks to isolate the impact of equity raising cost from the revenue requirement.</w:t>
      </w:r>
    </w:p>
  </w:footnote>
  <w:footnote w:id="31">
    <w:p w:rsidR="00B46871" w:rsidRPr="00EA2C79" w:rsidRDefault="00B46871" w:rsidP="008270B1">
      <w:pPr>
        <w:pStyle w:val="FootnoteText"/>
        <w:rPr>
          <w:rFonts w:ascii="Arial" w:hAnsi="Arial" w:cs="Arial"/>
        </w:rPr>
      </w:pPr>
      <w:r w:rsidRPr="00EA2C79">
        <w:rPr>
          <w:rStyle w:val="FootnoteReference"/>
          <w:rFonts w:ascii="Arial" w:hAnsi="Arial" w:cs="Arial"/>
        </w:rPr>
        <w:footnoteRef/>
      </w:r>
      <w:r w:rsidRPr="00EA2C79">
        <w:rPr>
          <w:rStyle w:val="FootnoteReference"/>
        </w:rPr>
        <w:t xml:space="preserve"> </w:t>
      </w:r>
      <w:r w:rsidRPr="003B5473">
        <w:rPr>
          <w:rFonts w:ascii="Arial" w:hAnsi="Arial" w:cs="Arial"/>
        </w:rPr>
        <w:tab/>
      </w:r>
      <w:r w:rsidRPr="00EA2C79">
        <w:rPr>
          <w:rFonts w:ascii="Arial" w:hAnsi="Arial" w:cs="Arial"/>
        </w:rPr>
        <w:t>By default, the PTRM will use the most recent return on debt value as the forecast for later years (where the return on debt is not yet known). Hence, at each annual update the forecast for the remaining years in the regulatory control period will be updated.</w:t>
      </w:r>
    </w:p>
  </w:footnote>
  <w:footnote w:id="32">
    <w:p w:rsidR="00B46871" w:rsidRPr="003B5473" w:rsidRDefault="00B46871" w:rsidP="008270B1">
      <w:pPr>
        <w:pStyle w:val="FootnoteText"/>
        <w:rPr>
          <w:rFonts w:ascii="Arial" w:hAnsi="Arial" w:cs="Arial"/>
        </w:rPr>
      </w:pPr>
      <w:r w:rsidRPr="00EA2C79">
        <w:rPr>
          <w:rStyle w:val="FootnoteReference"/>
          <w:rFonts w:ascii="Arial" w:hAnsi="Arial" w:cs="Arial"/>
        </w:rPr>
        <w:footnoteRef/>
      </w:r>
      <w:r w:rsidRPr="003B5473">
        <w:rPr>
          <w:rFonts w:ascii="Arial" w:hAnsi="Arial" w:cs="Arial"/>
        </w:rPr>
        <w:t xml:space="preserve"> </w:t>
      </w:r>
      <w:r w:rsidRPr="003B5473">
        <w:rPr>
          <w:rFonts w:ascii="Arial" w:hAnsi="Arial" w:cs="Arial"/>
        </w:rPr>
        <w:tab/>
      </w:r>
      <w:r w:rsidRPr="00EA2C79">
        <w:rPr>
          <w:rFonts w:ascii="Arial" w:hAnsi="Arial" w:cs="Arial"/>
        </w:rPr>
        <w:t>If a DNSP was to propose an alternative approach (for instance, where multiple X factors were changed in response to a given year's annual return on debt update) this would need to be assessed as part of an individual determination and approved as part of the final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2FB612CC"/>
    <w:multiLevelType w:val="multilevel"/>
    <w:tmpl w:val="6C3CD5A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487971"/>
    <w:multiLevelType w:val="multilevel"/>
    <w:tmpl w:val="B4F49178"/>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499"/>
        </w:tabs>
        <w:ind w:left="499"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7">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
    <w:abstractNumId w:val="4"/>
  </w:num>
  <w:num w:numId="3">
    <w:abstractNumId w:val="2"/>
  </w:num>
  <w:num w:numId="4">
    <w:abstractNumId w:val="7"/>
  </w:num>
  <w:num w:numId="5">
    <w:abstractNumId w:val="0"/>
  </w:num>
  <w:num w:numId="6">
    <w:abstractNumId w:val="5"/>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499"/>
          </w:tabs>
          <w:ind w:left="499" w:hanging="357"/>
        </w:pPr>
        <w:rPr>
          <w:rFonts w:hint="default"/>
        </w:rPr>
      </w:lvl>
    </w:lvlOverride>
    <w:lvlOverride w:ilvl="2">
      <w:lvl w:ilvl="2">
        <w:start w:val="1"/>
        <w:numFmt w:val="lowerLetter"/>
        <w:pStyle w:val="AERnumberedlistsecondstyle"/>
        <w:lvlText w:val="%3."/>
        <w:lvlJc w:val="left"/>
        <w:pPr>
          <w:tabs>
            <w:tab w:val="num" w:pos="720"/>
          </w:tabs>
          <w:ind w:left="720" w:hanging="363"/>
        </w:pPr>
        <w:rPr>
          <w:rFonts w:hint="default"/>
        </w:rPr>
      </w:lvl>
    </w:lvlOverride>
    <w:lvlOverride w:ilvl="3">
      <w:lvl w:ilvl="3">
        <w:start w:val="1"/>
        <w:numFmt w:val="lowerRoman"/>
        <w:pStyle w:val="AERnumberedlistthirdstyle"/>
        <w:lvlText w:val="%4."/>
        <w:lvlJc w:val="left"/>
        <w:pPr>
          <w:tabs>
            <w:tab w:val="num" w:pos="1077"/>
          </w:tabs>
          <w:ind w:left="1077" w:hanging="357"/>
        </w:pPr>
        <w:rPr>
          <w:rFonts w:hint="default"/>
        </w:rPr>
      </w:lvl>
    </w:lvlOverride>
    <w:lvlOverride w:ilvl="4">
      <w:lvl w:ilvl="4">
        <w:start w:val="1"/>
        <w:numFmt w:val="decimal"/>
        <w:lvlRestart w:val="1"/>
        <w:pStyle w:val="AERnumberedlist2first"/>
        <w:lvlText w:val="(%5)"/>
        <w:lvlJc w:val="left"/>
        <w:pPr>
          <w:tabs>
            <w:tab w:val="num" w:pos="454"/>
          </w:tabs>
          <w:ind w:left="454" w:hanging="454"/>
        </w:pPr>
        <w:rPr>
          <w:rFonts w:hint="default"/>
        </w:rPr>
      </w:lvl>
    </w:lvlOverride>
    <w:lvlOverride w:ilvl="5">
      <w:lvl w:ilvl="5">
        <w:start w:val="1"/>
        <w:numFmt w:val="lowerLetter"/>
        <w:pStyle w:val="AERnumberedlist2second"/>
        <w:lvlText w:val="(%6)"/>
        <w:lvlJc w:val="left"/>
        <w:pPr>
          <w:tabs>
            <w:tab w:val="num" w:pos="811"/>
          </w:tabs>
          <w:ind w:left="811" w:hanging="357"/>
        </w:pPr>
        <w:rPr>
          <w:rFonts w:hint="default"/>
        </w:rPr>
      </w:lvl>
    </w:lvlOverride>
    <w:lvlOverride w:ilvl="6">
      <w:lvl w:ilvl="6">
        <w:start w:val="1"/>
        <w:numFmt w:val="lowerRoman"/>
        <w:pStyle w:val="AERnumberedlist2third"/>
        <w:lvlText w:val="(%7)"/>
        <w:lvlJc w:val="left"/>
        <w:pPr>
          <w:tabs>
            <w:tab w:val="num" w:pos="1446"/>
          </w:tabs>
          <w:ind w:left="1446" w:hanging="63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3"/>
  </w:num>
  <w:num w:numId="8">
    <w:abstractNumId w:val="1"/>
  </w:num>
  <w:num w:numId="9">
    <w:abstractNumId w:val="5"/>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3">
    <w:abstractNumId w:val="4"/>
  </w:num>
  <w:num w:numId="14">
    <w:abstractNumId w:val="4"/>
  </w:num>
  <w:num w:numId="15">
    <w:abstractNumId w:val="5"/>
    <w:lvlOverride w:ilvl="0">
      <w:lvl w:ilvl="0">
        <w:start w:val="1"/>
        <w:numFmt w:val="none"/>
        <w:pStyle w:val="AERbodytext"/>
        <w:lvlText w:val="%1"/>
        <w:lvlJc w:val="left"/>
        <w:pPr>
          <w:tabs>
            <w:tab w:val="num" w:pos="0"/>
          </w:tabs>
          <w:ind w:left="0" w:firstLine="0"/>
        </w:pPr>
        <w:rPr>
          <w:rFonts w:hint="default"/>
        </w:rPr>
      </w:lvl>
    </w:lvlOverride>
  </w:num>
  <w:num w:numId="16">
    <w:abstractNumId w:val="4"/>
  </w:num>
  <w:num w:numId="17">
    <w:abstractNumId w:val="4"/>
  </w:num>
  <w:num w:numId="18">
    <w:abstractNumId w:val="4"/>
  </w:num>
  <w:num w:numId="19">
    <w:abstractNumId w:val="1"/>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0">
    <w:abstractNumId w:val="5"/>
    <w:lvlOverride w:ilvl="0">
      <w:lvl w:ilvl="0">
        <w:start w:val="1"/>
        <w:numFmt w:val="none"/>
        <w:pStyle w:val="AERbodytext"/>
        <w:lvlText w:val="%1"/>
        <w:lvlJc w:val="left"/>
        <w:pPr>
          <w:tabs>
            <w:tab w:val="num" w:pos="0"/>
          </w:tabs>
          <w:ind w:left="0" w:firstLine="0"/>
        </w:pPr>
        <w:rPr>
          <w:rFonts w:hint="default"/>
        </w:rPr>
      </w:lvl>
    </w:lvlOverride>
  </w:num>
  <w:num w:numId="21">
    <w:abstractNumId w:val="4"/>
  </w:num>
  <w:num w:numId="22">
    <w:abstractNumId w:val="5"/>
    <w:lvlOverride w:ilvl="0">
      <w:lvl w:ilvl="0">
        <w:start w:val="1"/>
        <w:numFmt w:val="none"/>
        <w:pStyle w:val="AERbodytext"/>
        <w:lvlText w:val="%1"/>
        <w:lvlJc w:val="left"/>
        <w:pPr>
          <w:tabs>
            <w:tab w:val="num" w:pos="0"/>
          </w:tabs>
          <w:ind w:left="0" w:firstLine="0"/>
        </w:pPr>
        <w:rPr>
          <w:rFonts w:hint="default"/>
        </w:rPr>
      </w:lvl>
    </w:lvlOverride>
  </w:num>
  <w:num w:numId="23">
    <w:abstractNumId w:val="5"/>
    <w:lvlOverride w:ilvl="0">
      <w:lvl w:ilvl="0">
        <w:start w:val="1"/>
        <w:numFmt w:val="none"/>
        <w:pStyle w:val="AERbodytext"/>
        <w:lvlText w:val="%1"/>
        <w:lvlJc w:val="left"/>
        <w:pPr>
          <w:tabs>
            <w:tab w:val="num" w:pos="0"/>
          </w:tabs>
          <w:ind w:left="0" w:firstLine="0"/>
        </w:pPr>
        <w:rPr>
          <w:rFonts w:hint="default"/>
        </w:rPr>
      </w:lvl>
    </w:lvlOverride>
  </w:num>
  <w:num w:numId="24">
    <w:abstractNumId w:val="5"/>
    <w:lvlOverride w:ilvl="0">
      <w:lvl w:ilvl="0">
        <w:start w:val="1"/>
        <w:numFmt w:val="none"/>
        <w:pStyle w:val="AERbodytext"/>
        <w:lvlText w:val="%1"/>
        <w:lvlJc w:val="left"/>
        <w:pPr>
          <w:tabs>
            <w:tab w:val="num" w:pos="0"/>
          </w:tabs>
          <w:ind w:left="0" w:firstLine="0"/>
        </w:pPr>
        <w:rPr>
          <w:rFonts w:hint="default"/>
        </w:rPr>
      </w:lvl>
    </w:lvlOverride>
  </w:num>
  <w:num w:numId="25">
    <w:abstractNumId w:val="1"/>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6">
    <w:abstractNumId w:val="4"/>
  </w:num>
  <w:num w:numId="27">
    <w:abstractNumId w:val="4"/>
  </w:num>
  <w:num w:numId="28">
    <w:abstractNumId w:val="4"/>
  </w:num>
  <w:num w:numId="29">
    <w:abstractNumId w:val="1"/>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0">
    <w:abstractNumId w:val="1"/>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1">
    <w:abstractNumId w:val="4"/>
  </w:num>
  <w:num w:numId="32">
    <w:abstractNumId w:val="5"/>
    <w:lvlOverride w:ilvl="0">
      <w:lvl w:ilvl="0">
        <w:start w:val="1"/>
        <w:numFmt w:val="none"/>
        <w:pStyle w:val="AERbodytext"/>
        <w:lvlText w:val="%1"/>
        <w:lvlJc w:val="left"/>
        <w:pPr>
          <w:tabs>
            <w:tab w:val="num" w:pos="0"/>
          </w:tabs>
          <w:ind w:left="0" w:firstLine="0"/>
        </w:pPr>
        <w:rPr>
          <w:rFonts w:hint="default"/>
        </w:rPr>
      </w:lvl>
    </w:lvlOverride>
  </w:num>
  <w:num w:numId="33">
    <w:abstractNumId w:val="5"/>
    <w:lvlOverride w:ilvl="0">
      <w:lvl w:ilvl="0">
        <w:start w:val="1"/>
        <w:numFmt w:val="none"/>
        <w:pStyle w:val="AERbodytext"/>
        <w:lvlText w:val="%1"/>
        <w:lvlJc w:val="left"/>
        <w:pPr>
          <w:tabs>
            <w:tab w:val="num" w:pos="0"/>
          </w:tabs>
          <w:ind w:left="0" w:firstLine="0"/>
        </w:pPr>
        <w:rPr>
          <w:rFonts w:hint="default"/>
        </w:rPr>
      </w:lvl>
    </w:lvlOverride>
  </w:num>
  <w:num w:numId="34">
    <w:abstractNumId w:val="5"/>
    <w:lvlOverride w:ilvl="0">
      <w:lvl w:ilvl="0">
        <w:start w:val="1"/>
        <w:numFmt w:val="none"/>
        <w:pStyle w:val="AERbodytext"/>
        <w:lvlText w:val="%1"/>
        <w:lvlJc w:val="left"/>
        <w:pPr>
          <w:tabs>
            <w:tab w:val="num" w:pos="0"/>
          </w:tabs>
          <w:ind w:left="0" w:firstLine="0"/>
        </w:pPr>
        <w:rPr>
          <w:rFonts w:hint="default"/>
        </w:rPr>
      </w:lvl>
    </w:lvlOverride>
  </w:num>
  <w:num w:numId="35">
    <w:abstractNumId w:val="5"/>
    <w:lvlOverride w:ilvl="0">
      <w:lvl w:ilvl="0">
        <w:start w:val="1"/>
        <w:numFmt w:val="none"/>
        <w:pStyle w:val="AERbodytext"/>
        <w:lvlText w:val="%1"/>
        <w:lvlJc w:val="left"/>
        <w:pPr>
          <w:tabs>
            <w:tab w:val="num" w:pos="0"/>
          </w:tabs>
          <w:ind w:left="0" w:firstLine="0"/>
        </w:pPr>
        <w:rPr>
          <w:rFonts w:hint="default"/>
        </w:rPr>
      </w:lvl>
    </w:lvlOverride>
  </w:num>
  <w:num w:numId="36">
    <w:abstractNumId w:val="5"/>
    <w:lvlOverride w:ilvl="0">
      <w:lvl w:ilvl="0">
        <w:start w:val="1"/>
        <w:numFmt w:val="none"/>
        <w:pStyle w:val="AERbodytext"/>
        <w:lvlText w:val="%1"/>
        <w:lvlJc w:val="left"/>
        <w:pPr>
          <w:tabs>
            <w:tab w:val="num" w:pos="0"/>
          </w:tabs>
          <w:ind w:left="0" w:firstLine="0"/>
        </w:pPr>
        <w:rPr>
          <w:rFonts w:hint="default"/>
        </w:rPr>
      </w:lvl>
    </w:lvlOverride>
  </w:num>
  <w:num w:numId="37">
    <w:abstractNumId w:val="1"/>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8">
    <w:abstractNumId w:val="1"/>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9">
    <w:abstractNumId w:val="5"/>
    <w:lvlOverride w:ilvl="0">
      <w:startOverride w:val="1"/>
      <w:lvl w:ilvl="0">
        <w:start w:val="1"/>
        <w:numFmt w:val="none"/>
        <w:pStyle w:val="AERbodytext"/>
        <w:lvlText w:val="%1"/>
        <w:lvlJc w:val="left"/>
        <w:pPr>
          <w:tabs>
            <w:tab w:val="num" w:pos="0"/>
          </w:tabs>
          <w:ind w:left="0" w:firstLine="0"/>
        </w:pPr>
        <w:rPr>
          <w:rFonts w:hint="default"/>
        </w:rPr>
      </w:lvl>
    </w:lvlOverride>
    <w:lvlOverride w:ilvl="1">
      <w:startOverride w:val="1"/>
      <w:lvl w:ilvl="1">
        <w:start w:val="1"/>
        <w:numFmt w:val="decimal"/>
        <w:pStyle w:val="AERnumberedlistfirststyle"/>
        <w:lvlText w:val="%2."/>
        <w:lvlJc w:val="left"/>
        <w:pPr>
          <w:tabs>
            <w:tab w:val="num" w:pos="499"/>
          </w:tabs>
          <w:ind w:left="499" w:hanging="357"/>
        </w:pPr>
        <w:rPr>
          <w:rFonts w:hint="default"/>
        </w:rPr>
      </w:lvl>
    </w:lvlOverride>
    <w:lvlOverride w:ilvl="2">
      <w:startOverride w:val="1"/>
      <w:lvl w:ilvl="2">
        <w:start w:val="1"/>
        <w:numFmt w:val="lowerLetter"/>
        <w:pStyle w:val="AERnumberedlistsecondstyle"/>
        <w:lvlText w:val="%3."/>
        <w:lvlJc w:val="left"/>
        <w:pPr>
          <w:tabs>
            <w:tab w:val="num" w:pos="720"/>
          </w:tabs>
          <w:ind w:left="720" w:hanging="363"/>
        </w:pPr>
        <w:rPr>
          <w:rFonts w:hint="default"/>
        </w:rPr>
      </w:lvl>
    </w:lvlOverride>
    <w:lvlOverride w:ilvl="3">
      <w:startOverride w:val="1"/>
      <w:lvl w:ilvl="3">
        <w:start w:val="1"/>
        <w:numFmt w:val="lowerRoman"/>
        <w:pStyle w:val="AERnumberedlistthirdstyle"/>
        <w:lvlText w:val="%4."/>
        <w:lvlJc w:val="left"/>
        <w:pPr>
          <w:tabs>
            <w:tab w:val="num" w:pos="1077"/>
          </w:tabs>
          <w:ind w:left="1077" w:hanging="357"/>
        </w:pPr>
        <w:rPr>
          <w:rFonts w:hint="default"/>
        </w:rPr>
      </w:lvl>
    </w:lvlOverride>
    <w:lvlOverride w:ilvl="4">
      <w:startOverride w:val="1"/>
      <w:lvl w:ilvl="4">
        <w:start w:val="1"/>
        <w:numFmt w:val="decimal"/>
        <w:lvlRestart w:val="1"/>
        <w:pStyle w:val="AERnumberedlist2first"/>
        <w:lvlText w:val="(%5)"/>
        <w:lvlJc w:val="left"/>
        <w:pPr>
          <w:tabs>
            <w:tab w:val="num" w:pos="454"/>
          </w:tabs>
          <w:ind w:left="454" w:hanging="454"/>
        </w:pPr>
        <w:rPr>
          <w:rFonts w:hint="default"/>
        </w:rPr>
      </w:lvl>
    </w:lvlOverride>
    <w:lvlOverride w:ilvl="5">
      <w:startOverride w:val="1"/>
      <w:lvl w:ilvl="5">
        <w:start w:val="1"/>
        <w:numFmt w:val="lowerLetter"/>
        <w:pStyle w:val="AERnumberedlist2second"/>
        <w:lvlText w:val="(%6)"/>
        <w:lvlJc w:val="left"/>
        <w:pPr>
          <w:tabs>
            <w:tab w:val="num" w:pos="811"/>
          </w:tabs>
          <w:ind w:left="811" w:hanging="357"/>
        </w:pPr>
        <w:rPr>
          <w:rFonts w:hint="default"/>
        </w:rPr>
      </w:lvl>
    </w:lvlOverride>
    <w:lvlOverride w:ilvl="6">
      <w:startOverride w:val="1"/>
      <w:lvl w:ilvl="6">
        <w:start w:val="1"/>
        <w:numFmt w:val="lowerRoman"/>
        <w:pStyle w:val="AERnumberedlist2third"/>
        <w:lvlText w:val="(%7)"/>
        <w:lvlJc w:val="left"/>
        <w:pPr>
          <w:tabs>
            <w:tab w:val="num" w:pos="1446"/>
          </w:tabs>
          <w:ind w:left="1446" w:hanging="635"/>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242689">
      <o:colormru v:ext="edit" colors="silver,#ddd"/>
      <o:colormenu v:ext="edit" strokecolor="none [2732]"/>
    </o:shapedefaults>
  </w:hdrShapeDefaults>
  <w:footnotePr>
    <w:footnote w:id="-1"/>
    <w:footnote w:id="0"/>
  </w:footnotePr>
  <w:endnotePr>
    <w:endnote w:id="-1"/>
    <w:endnote w:id="0"/>
  </w:endnotePr>
  <w:compat>
    <w:compatSetting w:name="compatibilityMode" w:uri="http://schemas.microsoft.com/office/word" w:val="12"/>
  </w:compat>
  <w:docVars>
    <w:docVar w:name="currentname" w:val="\\cdchnas-evs02\home$\kyap\20150123 - 3.1.5 - distribution ptrm handbook - january 2015 - appendix d (D2014-00193153).docx"/>
  </w:docVars>
  <w:rsids>
    <w:rsidRoot w:val="000C052F"/>
    <w:rsid w:val="00000702"/>
    <w:rsid w:val="00000FBB"/>
    <w:rsid w:val="0000147B"/>
    <w:rsid w:val="0000257E"/>
    <w:rsid w:val="00002B65"/>
    <w:rsid w:val="00003188"/>
    <w:rsid w:val="00003434"/>
    <w:rsid w:val="00003849"/>
    <w:rsid w:val="00003B01"/>
    <w:rsid w:val="000042F6"/>
    <w:rsid w:val="000045C3"/>
    <w:rsid w:val="00004F2A"/>
    <w:rsid w:val="00005DBA"/>
    <w:rsid w:val="000061AF"/>
    <w:rsid w:val="00006CC4"/>
    <w:rsid w:val="000105B6"/>
    <w:rsid w:val="00010680"/>
    <w:rsid w:val="000109A9"/>
    <w:rsid w:val="00011129"/>
    <w:rsid w:val="0001161D"/>
    <w:rsid w:val="00011EFE"/>
    <w:rsid w:val="00012401"/>
    <w:rsid w:val="00012880"/>
    <w:rsid w:val="00012CD3"/>
    <w:rsid w:val="00013022"/>
    <w:rsid w:val="000131E1"/>
    <w:rsid w:val="00013950"/>
    <w:rsid w:val="000146C6"/>
    <w:rsid w:val="00015F8C"/>
    <w:rsid w:val="0001633E"/>
    <w:rsid w:val="00016C3F"/>
    <w:rsid w:val="00017813"/>
    <w:rsid w:val="00017E54"/>
    <w:rsid w:val="0002175A"/>
    <w:rsid w:val="00021E47"/>
    <w:rsid w:val="00022606"/>
    <w:rsid w:val="00022E87"/>
    <w:rsid w:val="000232E0"/>
    <w:rsid w:val="00023674"/>
    <w:rsid w:val="0002407C"/>
    <w:rsid w:val="0002443A"/>
    <w:rsid w:val="00024902"/>
    <w:rsid w:val="00024DB0"/>
    <w:rsid w:val="00025152"/>
    <w:rsid w:val="000257BC"/>
    <w:rsid w:val="00025CFC"/>
    <w:rsid w:val="00027666"/>
    <w:rsid w:val="00027908"/>
    <w:rsid w:val="00030066"/>
    <w:rsid w:val="00030CCA"/>
    <w:rsid w:val="000313A0"/>
    <w:rsid w:val="00031B91"/>
    <w:rsid w:val="00031D8C"/>
    <w:rsid w:val="0003213B"/>
    <w:rsid w:val="00033BFF"/>
    <w:rsid w:val="00034A30"/>
    <w:rsid w:val="00034D1A"/>
    <w:rsid w:val="000359C0"/>
    <w:rsid w:val="00035D89"/>
    <w:rsid w:val="00036E33"/>
    <w:rsid w:val="00040498"/>
    <w:rsid w:val="00040599"/>
    <w:rsid w:val="00040749"/>
    <w:rsid w:val="00040DDE"/>
    <w:rsid w:val="0004176A"/>
    <w:rsid w:val="000428EE"/>
    <w:rsid w:val="00042B1E"/>
    <w:rsid w:val="00044BDE"/>
    <w:rsid w:val="00045878"/>
    <w:rsid w:val="00045E0A"/>
    <w:rsid w:val="00046402"/>
    <w:rsid w:val="000464A0"/>
    <w:rsid w:val="0004760F"/>
    <w:rsid w:val="00047802"/>
    <w:rsid w:val="0004794B"/>
    <w:rsid w:val="00050A09"/>
    <w:rsid w:val="00050F47"/>
    <w:rsid w:val="00050FB6"/>
    <w:rsid w:val="000514DD"/>
    <w:rsid w:val="00051551"/>
    <w:rsid w:val="000526A1"/>
    <w:rsid w:val="000526B3"/>
    <w:rsid w:val="000528EB"/>
    <w:rsid w:val="0005369A"/>
    <w:rsid w:val="00053B5C"/>
    <w:rsid w:val="0005467F"/>
    <w:rsid w:val="000547D4"/>
    <w:rsid w:val="000554A5"/>
    <w:rsid w:val="00055759"/>
    <w:rsid w:val="00055D12"/>
    <w:rsid w:val="000561B9"/>
    <w:rsid w:val="00057870"/>
    <w:rsid w:val="00057EA2"/>
    <w:rsid w:val="00060100"/>
    <w:rsid w:val="00060770"/>
    <w:rsid w:val="000625D7"/>
    <w:rsid w:val="00062889"/>
    <w:rsid w:val="00062A5F"/>
    <w:rsid w:val="00063169"/>
    <w:rsid w:val="0006337E"/>
    <w:rsid w:val="000633E6"/>
    <w:rsid w:val="00064095"/>
    <w:rsid w:val="00064605"/>
    <w:rsid w:val="00064665"/>
    <w:rsid w:val="00064FE6"/>
    <w:rsid w:val="000650E0"/>
    <w:rsid w:val="00066E03"/>
    <w:rsid w:val="0006747A"/>
    <w:rsid w:val="00070053"/>
    <w:rsid w:val="00071B86"/>
    <w:rsid w:val="00072936"/>
    <w:rsid w:val="00073208"/>
    <w:rsid w:val="0007365F"/>
    <w:rsid w:val="0007367D"/>
    <w:rsid w:val="00074339"/>
    <w:rsid w:val="00074470"/>
    <w:rsid w:val="00074860"/>
    <w:rsid w:val="000749DE"/>
    <w:rsid w:val="00074B4C"/>
    <w:rsid w:val="00074FBA"/>
    <w:rsid w:val="000764EC"/>
    <w:rsid w:val="000778A8"/>
    <w:rsid w:val="00081068"/>
    <w:rsid w:val="00081541"/>
    <w:rsid w:val="0008259F"/>
    <w:rsid w:val="00083592"/>
    <w:rsid w:val="000836C8"/>
    <w:rsid w:val="00084120"/>
    <w:rsid w:val="000847BB"/>
    <w:rsid w:val="00084F34"/>
    <w:rsid w:val="000851F1"/>
    <w:rsid w:val="00085CB2"/>
    <w:rsid w:val="00085EB6"/>
    <w:rsid w:val="00086505"/>
    <w:rsid w:val="00090478"/>
    <w:rsid w:val="00090DAA"/>
    <w:rsid w:val="0009184A"/>
    <w:rsid w:val="00091B2E"/>
    <w:rsid w:val="00091E6C"/>
    <w:rsid w:val="00092094"/>
    <w:rsid w:val="00092CE0"/>
    <w:rsid w:val="000932B3"/>
    <w:rsid w:val="0009356D"/>
    <w:rsid w:val="00094452"/>
    <w:rsid w:val="000945EE"/>
    <w:rsid w:val="00095E6B"/>
    <w:rsid w:val="00096559"/>
    <w:rsid w:val="00096718"/>
    <w:rsid w:val="000A1A55"/>
    <w:rsid w:val="000A1CC2"/>
    <w:rsid w:val="000A2DF9"/>
    <w:rsid w:val="000A34E1"/>
    <w:rsid w:val="000A41C3"/>
    <w:rsid w:val="000A42CE"/>
    <w:rsid w:val="000A492C"/>
    <w:rsid w:val="000A4C7A"/>
    <w:rsid w:val="000A5216"/>
    <w:rsid w:val="000A5342"/>
    <w:rsid w:val="000A5512"/>
    <w:rsid w:val="000A647B"/>
    <w:rsid w:val="000A6680"/>
    <w:rsid w:val="000A694E"/>
    <w:rsid w:val="000A7B22"/>
    <w:rsid w:val="000B03BA"/>
    <w:rsid w:val="000B066D"/>
    <w:rsid w:val="000B0F95"/>
    <w:rsid w:val="000B15CA"/>
    <w:rsid w:val="000B1720"/>
    <w:rsid w:val="000B2C24"/>
    <w:rsid w:val="000B2DD8"/>
    <w:rsid w:val="000B49F0"/>
    <w:rsid w:val="000B5321"/>
    <w:rsid w:val="000B54A6"/>
    <w:rsid w:val="000B57EA"/>
    <w:rsid w:val="000B5A02"/>
    <w:rsid w:val="000B6708"/>
    <w:rsid w:val="000B7DF0"/>
    <w:rsid w:val="000C052F"/>
    <w:rsid w:val="000C0F80"/>
    <w:rsid w:val="000C17B7"/>
    <w:rsid w:val="000C23D1"/>
    <w:rsid w:val="000C271A"/>
    <w:rsid w:val="000C2841"/>
    <w:rsid w:val="000C3062"/>
    <w:rsid w:val="000C3430"/>
    <w:rsid w:val="000C3976"/>
    <w:rsid w:val="000C4F08"/>
    <w:rsid w:val="000C5116"/>
    <w:rsid w:val="000C53F0"/>
    <w:rsid w:val="000C6BFC"/>
    <w:rsid w:val="000C719A"/>
    <w:rsid w:val="000C781B"/>
    <w:rsid w:val="000C7AA1"/>
    <w:rsid w:val="000C7D07"/>
    <w:rsid w:val="000D03A8"/>
    <w:rsid w:val="000D03C2"/>
    <w:rsid w:val="000D04B1"/>
    <w:rsid w:val="000D1B53"/>
    <w:rsid w:val="000D1C2F"/>
    <w:rsid w:val="000D1F02"/>
    <w:rsid w:val="000D231B"/>
    <w:rsid w:val="000D2A68"/>
    <w:rsid w:val="000D2F5B"/>
    <w:rsid w:val="000D3171"/>
    <w:rsid w:val="000D32DB"/>
    <w:rsid w:val="000D3958"/>
    <w:rsid w:val="000D401F"/>
    <w:rsid w:val="000D49C4"/>
    <w:rsid w:val="000D4A4B"/>
    <w:rsid w:val="000D4A6A"/>
    <w:rsid w:val="000D5B70"/>
    <w:rsid w:val="000D6111"/>
    <w:rsid w:val="000D613F"/>
    <w:rsid w:val="000D6261"/>
    <w:rsid w:val="000D6CF7"/>
    <w:rsid w:val="000D7073"/>
    <w:rsid w:val="000E02C7"/>
    <w:rsid w:val="000E1A25"/>
    <w:rsid w:val="000E20C4"/>
    <w:rsid w:val="000E2483"/>
    <w:rsid w:val="000E3444"/>
    <w:rsid w:val="000E3C98"/>
    <w:rsid w:val="000E44B3"/>
    <w:rsid w:val="000E45DF"/>
    <w:rsid w:val="000E49A3"/>
    <w:rsid w:val="000E5087"/>
    <w:rsid w:val="000E50FD"/>
    <w:rsid w:val="000E5145"/>
    <w:rsid w:val="000E5357"/>
    <w:rsid w:val="000E540C"/>
    <w:rsid w:val="000E5416"/>
    <w:rsid w:val="000E5C53"/>
    <w:rsid w:val="000E6052"/>
    <w:rsid w:val="000E6238"/>
    <w:rsid w:val="000E66D1"/>
    <w:rsid w:val="000E676A"/>
    <w:rsid w:val="000E71D9"/>
    <w:rsid w:val="000E74F2"/>
    <w:rsid w:val="000E77E2"/>
    <w:rsid w:val="000E78BF"/>
    <w:rsid w:val="000E7C32"/>
    <w:rsid w:val="000E7E39"/>
    <w:rsid w:val="000F028A"/>
    <w:rsid w:val="000F0A33"/>
    <w:rsid w:val="000F0AAD"/>
    <w:rsid w:val="000F149F"/>
    <w:rsid w:val="000F1580"/>
    <w:rsid w:val="000F2699"/>
    <w:rsid w:val="000F30CC"/>
    <w:rsid w:val="000F3A6A"/>
    <w:rsid w:val="000F3B7B"/>
    <w:rsid w:val="000F41DC"/>
    <w:rsid w:val="000F4420"/>
    <w:rsid w:val="000F4708"/>
    <w:rsid w:val="000F4B85"/>
    <w:rsid w:val="000F56AA"/>
    <w:rsid w:val="000F6AB5"/>
    <w:rsid w:val="000F7618"/>
    <w:rsid w:val="001007F2"/>
    <w:rsid w:val="001008DB"/>
    <w:rsid w:val="0010192D"/>
    <w:rsid w:val="00101E24"/>
    <w:rsid w:val="00101E59"/>
    <w:rsid w:val="00102429"/>
    <w:rsid w:val="00102A34"/>
    <w:rsid w:val="00102BFC"/>
    <w:rsid w:val="001033B3"/>
    <w:rsid w:val="00104C88"/>
    <w:rsid w:val="00104CDE"/>
    <w:rsid w:val="00105219"/>
    <w:rsid w:val="00105636"/>
    <w:rsid w:val="00105DC1"/>
    <w:rsid w:val="001060C4"/>
    <w:rsid w:val="00106A70"/>
    <w:rsid w:val="001070C6"/>
    <w:rsid w:val="00107185"/>
    <w:rsid w:val="00110030"/>
    <w:rsid w:val="00110CDA"/>
    <w:rsid w:val="00112153"/>
    <w:rsid w:val="00112C84"/>
    <w:rsid w:val="001131D4"/>
    <w:rsid w:val="00114397"/>
    <w:rsid w:val="001148B7"/>
    <w:rsid w:val="00114ABE"/>
    <w:rsid w:val="001159E8"/>
    <w:rsid w:val="001162DD"/>
    <w:rsid w:val="00116CC1"/>
    <w:rsid w:val="00116ED0"/>
    <w:rsid w:val="00120245"/>
    <w:rsid w:val="0012037E"/>
    <w:rsid w:val="00121A45"/>
    <w:rsid w:val="001223D4"/>
    <w:rsid w:val="001225E6"/>
    <w:rsid w:val="00123623"/>
    <w:rsid w:val="00124A3E"/>
    <w:rsid w:val="00126B50"/>
    <w:rsid w:val="0012741E"/>
    <w:rsid w:val="0012766E"/>
    <w:rsid w:val="001277E6"/>
    <w:rsid w:val="00127837"/>
    <w:rsid w:val="00127E36"/>
    <w:rsid w:val="00127EDB"/>
    <w:rsid w:val="001300DA"/>
    <w:rsid w:val="00130149"/>
    <w:rsid w:val="0013022D"/>
    <w:rsid w:val="001304F9"/>
    <w:rsid w:val="00130AFB"/>
    <w:rsid w:val="001324C8"/>
    <w:rsid w:val="00132996"/>
    <w:rsid w:val="00132C2F"/>
    <w:rsid w:val="00133150"/>
    <w:rsid w:val="0013368B"/>
    <w:rsid w:val="00133FAE"/>
    <w:rsid w:val="00134AC3"/>
    <w:rsid w:val="001363F4"/>
    <w:rsid w:val="00137605"/>
    <w:rsid w:val="00140053"/>
    <w:rsid w:val="00140701"/>
    <w:rsid w:val="00140FCF"/>
    <w:rsid w:val="00140FFE"/>
    <w:rsid w:val="00141A68"/>
    <w:rsid w:val="00141A81"/>
    <w:rsid w:val="00141FF1"/>
    <w:rsid w:val="0014219C"/>
    <w:rsid w:val="001421F4"/>
    <w:rsid w:val="00142296"/>
    <w:rsid w:val="00142384"/>
    <w:rsid w:val="001429FB"/>
    <w:rsid w:val="00142F67"/>
    <w:rsid w:val="00143B2A"/>
    <w:rsid w:val="00143E5F"/>
    <w:rsid w:val="00144011"/>
    <w:rsid w:val="00144789"/>
    <w:rsid w:val="00144D88"/>
    <w:rsid w:val="0014577D"/>
    <w:rsid w:val="0014650D"/>
    <w:rsid w:val="0014692D"/>
    <w:rsid w:val="00146C9A"/>
    <w:rsid w:val="00146DA7"/>
    <w:rsid w:val="001471C9"/>
    <w:rsid w:val="001510AD"/>
    <w:rsid w:val="001517A6"/>
    <w:rsid w:val="00152426"/>
    <w:rsid w:val="00152AF2"/>
    <w:rsid w:val="00152C82"/>
    <w:rsid w:val="00152FF5"/>
    <w:rsid w:val="00153518"/>
    <w:rsid w:val="001538AF"/>
    <w:rsid w:val="00153E85"/>
    <w:rsid w:val="00153EF5"/>
    <w:rsid w:val="00153EF8"/>
    <w:rsid w:val="001542E7"/>
    <w:rsid w:val="001543D2"/>
    <w:rsid w:val="001549D0"/>
    <w:rsid w:val="00154E43"/>
    <w:rsid w:val="00154F6B"/>
    <w:rsid w:val="001553F0"/>
    <w:rsid w:val="00155755"/>
    <w:rsid w:val="00155958"/>
    <w:rsid w:val="00155DD0"/>
    <w:rsid w:val="00155E8D"/>
    <w:rsid w:val="001560F4"/>
    <w:rsid w:val="0015690E"/>
    <w:rsid w:val="00156A05"/>
    <w:rsid w:val="00156E8A"/>
    <w:rsid w:val="001570F0"/>
    <w:rsid w:val="00160294"/>
    <w:rsid w:val="00160538"/>
    <w:rsid w:val="00160AD4"/>
    <w:rsid w:val="00161B32"/>
    <w:rsid w:val="001621C0"/>
    <w:rsid w:val="0016326F"/>
    <w:rsid w:val="001632B2"/>
    <w:rsid w:val="00163374"/>
    <w:rsid w:val="00163835"/>
    <w:rsid w:val="001640EB"/>
    <w:rsid w:val="001647B8"/>
    <w:rsid w:val="00164E80"/>
    <w:rsid w:val="00165BE2"/>
    <w:rsid w:val="00166CAA"/>
    <w:rsid w:val="001671F4"/>
    <w:rsid w:val="00167B00"/>
    <w:rsid w:val="00167C70"/>
    <w:rsid w:val="00167F52"/>
    <w:rsid w:val="00172E33"/>
    <w:rsid w:val="00172F30"/>
    <w:rsid w:val="00173A3E"/>
    <w:rsid w:val="00173E37"/>
    <w:rsid w:val="00174026"/>
    <w:rsid w:val="00174B6F"/>
    <w:rsid w:val="0017503F"/>
    <w:rsid w:val="00175905"/>
    <w:rsid w:val="00175954"/>
    <w:rsid w:val="00175CBC"/>
    <w:rsid w:val="00176C19"/>
    <w:rsid w:val="00176D43"/>
    <w:rsid w:val="0017748D"/>
    <w:rsid w:val="00177514"/>
    <w:rsid w:val="001800EA"/>
    <w:rsid w:val="0018087D"/>
    <w:rsid w:val="00181402"/>
    <w:rsid w:val="0018268A"/>
    <w:rsid w:val="00182791"/>
    <w:rsid w:val="00184A47"/>
    <w:rsid w:val="001856EE"/>
    <w:rsid w:val="00186A17"/>
    <w:rsid w:val="00187306"/>
    <w:rsid w:val="00190CB4"/>
    <w:rsid w:val="00191862"/>
    <w:rsid w:val="00191C97"/>
    <w:rsid w:val="001923DC"/>
    <w:rsid w:val="0019284E"/>
    <w:rsid w:val="001936BB"/>
    <w:rsid w:val="00193785"/>
    <w:rsid w:val="00193C82"/>
    <w:rsid w:val="00193F67"/>
    <w:rsid w:val="00194BF0"/>
    <w:rsid w:val="00194C3C"/>
    <w:rsid w:val="00194D21"/>
    <w:rsid w:val="00195B4C"/>
    <w:rsid w:val="00195BBB"/>
    <w:rsid w:val="00195F38"/>
    <w:rsid w:val="0019662B"/>
    <w:rsid w:val="0019686E"/>
    <w:rsid w:val="00196A28"/>
    <w:rsid w:val="001972E2"/>
    <w:rsid w:val="001A03F4"/>
    <w:rsid w:val="001A09D9"/>
    <w:rsid w:val="001A0F4D"/>
    <w:rsid w:val="001A0F87"/>
    <w:rsid w:val="001A2088"/>
    <w:rsid w:val="001A21B2"/>
    <w:rsid w:val="001A23DB"/>
    <w:rsid w:val="001A2CF8"/>
    <w:rsid w:val="001A38F7"/>
    <w:rsid w:val="001A42BA"/>
    <w:rsid w:val="001A46F3"/>
    <w:rsid w:val="001A5B13"/>
    <w:rsid w:val="001A5D0B"/>
    <w:rsid w:val="001A6075"/>
    <w:rsid w:val="001A68D8"/>
    <w:rsid w:val="001A6DD9"/>
    <w:rsid w:val="001A7126"/>
    <w:rsid w:val="001A7127"/>
    <w:rsid w:val="001A75B4"/>
    <w:rsid w:val="001B0A4E"/>
    <w:rsid w:val="001B0E5F"/>
    <w:rsid w:val="001B1885"/>
    <w:rsid w:val="001B1E9F"/>
    <w:rsid w:val="001B215E"/>
    <w:rsid w:val="001B2AF5"/>
    <w:rsid w:val="001B3430"/>
    <w:rsid w:val="001B4246"/>
    <w:rsid w:val="001B43F8"/>
    <w:rsid w:val="001B560D"/>
    <w:rsid w:val="001B6DC7"/>
    <w:rsid w:val="001C0804"/>
    <w:rsid w:val="001C118C"/>
    <w:rsid w:val="001C12E5"/>
    <w:rsid w:val="001C1772"/>
    <w:rsid w:val="001C3523"/>
    <w:rsid w:val="001C36F5"/>
    <w:rsid w:val="001C3A09"/>
    <w:rsid w:val="001C3C62"/>
    <w:rsid w:val="001C3D19"/>
    <w:rsid w:val="001C4923"/>
    <w:rsid w:val="001C518E"/>
    <w:rsid w:val="001C56B9"/>
    <w:rsid w:val="001C586F"/>
    <w:rsid w:val="001C6836"/>
    <w:rsid w:val="001C6989"/>
    <w:rsid w:val="001C6AA3"/>
    <w:rsid w:val="001C7109"/>
    <w:rsid w:val="001C7BDE"/>
    <w:rsid w:val="001D1580"/>
    <w:rsid w:val="001D15FE"/>
    <w:rsid w:val="001D1725"/>
    <w:rsid w:val="001D1CD2"/>
    <w:rsid w:val="001D267F"/>
    <w:rsid w:val="001D369D"/>
    <w:rsid w:val="001D4F63"/>
    <w:rsid w:val="001D5760"/>
    <w:rsid w:val="001D5A94"/>
    <w:rsid w:val="001D5B10"/>
    <w:rsid w:val="001D5E25"/>
    <w:rsid w:val="001D6D50"/>
    <w:rsid w:val="001D7154"/>
    <w:rsid w:val="001D7C89"/>
    <w:rsid w:val="001E26C4"/>
    <w:rsid w:val="001E2758"/>
    <w:rsid w:val="001E32BF"/>
    <w:rsid w:val="001E3422"/>
    <w:rsid w:val="001E34DE"/>
    <w:rsid w:val="001E498A"/>
    <w:rsid w:val="001E4B02"/>
    <w:rsid w:val="001E4E7E"/>
    <w:rsid w:val="001E554F"/>
    <w:rsid w:val="001E5810"/>
    <w:rsid w:val="001E59D7"/>
    <w:rsid w:val="001E6976"/>
    <w:rsid w:val="001E6C66"/>
    <w:rsid w:val="001F0029"/>
    <w:rsid w:val="001F053A"/>
    <w:rsid w:val="001F0609"/>
    <w:rsid w:val="001F1034"/>
    <w:rsid w:val="001F144E"/>
    <w:rsid w:val="001F2FE3"/>
    <w:rsid w:val="001F41A9"/>
    <w:rsid w:val="001F4390"/>
    <w:rsid w:val="001F5262"/>
    <w:rsid w:val="001F5364"/>
    <w:rsid w:val="001F6CBC"/>
    <w:rsid w:val="001F7DC2"/>
    <w:rsid w:val="0020079E"/>
    <w:rsid w:val="00200DAD"/>
    <w:rsid w:val="002023EA"/>
    <w:rsid w:val="0020253B"/>
    <w:rsid w:val="00202ECA"/>
    <w:rsid w:val="0020348F"/>
    <w:rsid w:val="00203B4D"/>
    <w:rsid w:val="00203D93"/>
    <w:rsid w:val="00204238"/>
    <w:rsid w:val="002055BC"/>
    <w:rsid w:val="00205C50"/>
    <w:rsid w:val="00205F7A"/>
    <w:rsid w:val="00206FCA"/>
    <w:rsid w:val="0020711E"/>
    <w:rsid w:val="0020740F"/>
    <w:rsid w:val="00210029"/>
    <w:rsid w:val="002100AF"/>
    <w:rsid w:val="00210880"/>
    <w:rsid w:val="0021234D"/>
    <w:rsid w:val="00214C1C"/>
    <w:rsid w:val="00214DF1"/>
    <w:rsid w:val="00215660"/>
    <w:rsid w:val="00215771"/>
    <w:rsid w:val="00215827"/>
    <w:rsid w:val="002162FF"/>
    <w:rsid w:val="00217E39"/>
    <w:rsid w:val="0022049F"/>
    <w:rsid w:val="00220547"/>
    <w:rsid w:val="0022056D"/>
    <w:rsid w:val="002208AD"/>
    <w:rsid w:val="00220D9D"/>
    <w:rsid w:val="002225A9"/>
    <w:rsid w:val="0022278C"/>
    <w:rsid w:val="0022350A"/>
    <w:rsid w:val="00223A15"/>
    <w:rsid w:val="00223C04"/>
    <w:rsid w:val="00223F9E"/>
    <w:rsid w:val="00223FD6"/>
    <w:rsid w:val="0022481F"/>
    <w:rsid w:val="00224982"/>
    <w:rsid w:val="00224A10"/>
    <w:rsid w:val="00224AFC"/>
    <w:rsid w:val="002257B9"/>
    <w:rsid w:val="00225910"/>
    <w:rsid w:val="00226008"/>
    <w:rsid w:val="002261C1"/>
    <w:rsid w:val="00226695"/>
    <w:rsid w:val="0022669A"/>
    <w:rsid w:val="0022673F"/>
    <w:rsid w:val="00226ACC"/>
    <w:rsid w:val="00227CD8"/>
    <w:rsid w:val="0023116F"/>
    <w:rsid w:val="0023137D"/>
    <w:rsid w:val="00231586"/>
    <w:rsid w:val="00231D4E"/>
    <w:rsid w:val="00232523"/>
    <w:rsid w:val="002331F9"/>
    <w:rsid w:val="00233A2B"/>
    <w:rsid w:val="00234558"/>
    <w:rsid w:val="00235EC8"/>
    <w:rsid w:val="00236171"/>
    <w:rsid w:val="002365FD"/>
    <w:rsid w:val="002368D4"/>
    <w:rsid w:val="00237A11"/>
    <w:rsid w:val="00237D2E"/>
    <w:rsid w:val="0024000A"/>
    <w:rsid w:val="002402B9"/>
    <w:rsid w:val="00240815"/>
    <w:rsid w:val="00241898"/>
    <w:rsid w:val="00241933"/>
    <w:rsid w:val="00241AB0"/>
    <w:rsid w:val="002423F9"/>
    <w:rsid w:val="0024402E"/>
    <w:rsid w:val="00244A7D"/>
    <w:rsid w:val="0024523B"/>
    <w:rsid w:val="00245AED"/>
    <w:rsid w:val="002468DA"/>
    <w:rsid w:val="00247D18"/>
    <w:rsid w:val="00250023"/>
    <w:rsid w:val="00250C3B"/>
    <w:rsid w:val="00251873"/>
    <w:rsid w:val="00251AD6"/>
    <w:rsid w:val="00251CEF"/>
    <w:rsid w:val="0025234F"/>
    <w:rsid w:val="00252460"/>
    <w:rsid w:val="00252DE2"/>
    <w:rsid w:val="00254681"/>
    <w:rsid w:val="00254947"/>
    <w:rsid w:val="00254AB6"/>
    <w:rsid w:val="00255254"/>
    <w:rsid w:val="00256EE9"/>
    <w:rsid w:val="0025716A"/>
    <w:rsid w:val="00257C8E"/>
    <w:rsid w:val="00260420"/>
    <w:rsid w:val="0026085C"/>
    <w:rsid w:val="002609DE"/>
    <w:rsid w:val="00260D13"/>
    <w:rsid w:val="00262FF7"/>
    <w:rsid w:val="00263142"/>
    <w:rsid w:val="00263210"/>
    <w:rsid w:val="00264BAF"/>
    <w:rsid w:val="00264C4F"/>
    <w:rsid w:val="00265930"/>
    <w:rsid w:val="00266710"/>
    <w:rsid w:val="002669AE"/>
    <w:rsid w:val="00266A5D"/>
    <w:rsid w:val="00266E83"/>
    <w:rsid w:val="00267CA3"/>
    <w:rsid w:val="00270000"/>
    <w:rsid w:val="00271039"/>
    <w:rsid w:val="00271AD4"/>
    <w:rsid w:val="00271AFE"/>
    <w:rsid w:val="00272C34"/>
    <w:rsid w:val="00272DEA"/>
    <w:rsid w:val="0027353E"/>
    <w:rsid w:val="002735E7"/>
    <w:rsid w:val="00273824"/>
    <w:rsid w:val="00273929"/>
    <w:rsid w:val="002740E5"/>
    <w:rsid w:val="002758BC"/>
    <w:rsid w:val="00276A11"/>
    <w:rsid w:val="002771A5"/>
    <w:rsid w:val="00277747"/>
    <w:rsid w:val="00277D08"/>
    <w:rsid w:val="002805B8"/>
    <w:rsid w:val="0028078E"/>
    <w:rsid w:val="00281D47"/>
    <w:rsid w:val="00282209"/>
    <w:rsid w:val="002829C2"/>
    <w:rsid w:val="002832BA"/>
    <w:rsid w:val="00283AAD"/>
    <w:rsid w:val="0028475D"/>
    <w:rsid w:val="00284B9D"/>
    <w:rsid w:val="00284C99"/>
    <w:rsid w:val="00285FF7"/>
    <w:rsid w:val="00287DB0"/>
    <w:rsid w:val="00290F02"/>
    <w:rsid w:val="002914D2"/>
    <w:rsid w:val="002921EE"/>
    <w:rsid w:val="00292750"/>
    <w:rsid w:val="00292ED2"/>
    <w:rsid w:val="00292F5A"/>
    <w:rsid w:val="002938CE"/>
    <w:rsid w:val="00293929"/>
    <w:rsid w:val="00293C09"/>
    <w:rsid w:val="00293ED1"/>
    <w:rsid w:val="00294652"/>
    <w:rsid w:val="00294A91"/>
    <w:rsid w:val="00294D56"/>
    <w:rsid w:val="0029516F"/>
    <w:rsid w:val="00295546"/>
    <w:rsid w:val="0029584F"/>
    <w:rsid w:val="00295A46"/>
    <w:rsid w:val="00295EE4"/>
    <w:rsid w:val="002960F5"/>
    <w:rsid w:val="00296807"/>
    <w:rsid w:val="002A0C7D"/>
    <w:rsid w:val="002A1B39"/>
    <w:rsid w:val="002A21E6"/>
    <w:rsid w:val="002A22E3"/>
    <w:rsid w:val="002A3246"/>
    <w:rsid w:val="002A33B5"/>
    <w:rsid w:val="002A3D7A"/>
    <w:rsid w:val="002A4067"/>
    <w:rsid w:val="002A4190"/>
    <w:rsid w:val="002A4216"/>
    <w:rsid w:val="002A5152"/>
    <w:rsid w:val="002A6517"/>
    <w:rsid w:val="002A737F"/>
    <w:rsid w:val="002A75D9"/>
    <w:rsid w:val="002B0005"/>
    <w:rsid w:val="002B0332"/>
    <w:rsid w:val="002B0834"/>
    <w:rsid w:val="002B0F56"/>
    <w:rsid w:val="002B11B1"/>
    <w:rsid w:val="002B122C"/>
    <w:rsid w:val="002B1714"/>
    <w:rsid w:val="002B1E90"/>
    <w:rsid w:val="002B29FE"/>
    <w:rsid w:val="002B2E31"/>
    <w:rsid w:val="002B419D"/>
    <w:rsid w:val="002B51E5"/>
    <w:rsid w:val="002B54C3"/>
    <w:rsid w:val="002B5AF2"/>
    <w:rsid w:val="002B5FD7"/>
    <w:rsid w:val="002B6640"/>
    <w:rsid w:val="002C019B"/>
    <w:rsid w:val="002C0290"/>
    <w:rsid w:val="002C02A8"/>
    <w:rsid w:val="002C0563"/>
    <w:rsid w:val="002C1197"/>
    <w:rsid w:val="002C1E35"/>
    <w:rsid w:val="002C2BAA"/>
    <w:rsid w:val="002C4A5E"/>
    <w:rsid w:val="002C6DD7"/>
    <w:rsid w:val="002C788E"/>
    <w:rsid w:val="002C78D6"/>
    <w:rsid w:val="002C7F7C"/>
    <w:rsid w:val="002D099A"/>
    <w:rsid w:val="002D0AB4"/>
    <w:rsid w:val="002D0C94"/>
    <w:rsid w:val="002D0D97"/>
    <w:rsid w:val="002D0DB0"/>
    <w:rsid w:val="002D2213"/>
    <w:rsid w:val="002D23FC"/>
    <w:rsid w:val="002D2451"/>
    <w:rsid w:val="002D3286"/>
    <w:rsid w:val="002D3660"/>
    <w:rsid w:val="002D39BF"/>
    <w:rsid w:val="002D3ACD"/>
    <w:rsid w:val="002D3B42"/>
    <w:rsid w:val="002D46C9"/>
    <w:rsid w:val="002D5239"/>
    <w:rsid w:val="002D5B7D"/>
    <w:rsid w:val="002D5F57"/>
    <w:rsid w:val="002D61AC"/>
    <w:rsid w:val="002D70D8"/>
    <w:rsid w:val="002E0F2C"/>
    <w:rsid w:val="002E1699"/>
    <w:rsid w:val="002E4516"/>
    <w:rsid w:val="002E4720"/>
    <w:rsid w:val="002E4812"/>
    <w:rsid w:val="002E49AD"/>
    <w:rsid w:val="002E4D41"/>
    <w:rsid w:val="002E4DFF"/>
    <w:rsid w:val="002E5160"/>
    <w:rsid w:val="002E5812"/>
    <w:rsid w:val="002E584B"/>
    <w:rsid w:val="002E64CA"/>
    <w:rsid w:val="002E7CFA"/>
    <w:rsid w:val="002F123E"/>
    <w:rsid w:val="002F158D"/>
    <w:rsid w:val="002F1A5F"/>
    <w:rsid w:val="002F1E97"/>
    <w:rsid w:val="002F2028"/>
    <w:rsid w:val="002F2251"/>
    <w:rsid w:val="002F27EF"/>
    <w:rsid w:val="002F39EE"/>
    <w:rsid w:val="002F3AE9"/>
    <w:rsid w:val="002F4557"/>
    <w:rsid w:val="002F4CE1"/>
    <w:rsid w:val="002F571D"/>
    <w:rsid w:val="002F5A81"/>
    <w:rsid w:val="002F62E6"/>
    <w:rsid w:val="002F6578"/>
    <w:rsid w:val="002F6DD7"/>
    <w:rsid w:val="002F6E6E"/>
    <w:rsid w:val="002F7E61"/>
    <w:rsid w:val="00300110"/>
    <w:rsid w:val="003009E4"/>
    <w:rsid w:val="00302645"/>
    <w:rsid w:val="00303397"/>
    <w:rsid w:val="00303452"/>
    <w:rsid w:val="00303D46"/>
    <w:rsid w:val="00304104"/>
    <w:rsid w:val="003043AE"/>
    <w:rsid w:val="00305644"/>
    <w:rsid w:val="003056DB"/>
    <w:rsid w:val="0030646D"/>
    <w:rsid w:val="00306E12"/>
    <w:rsid w:val="0030703A"/>
    <w:rsid w:val="003071CD"/>
    <w:rsid w:val="00307304"/>
    <w:rsid w:val="003073C8"/>
    <w:rsid w:val="00307F55"/>
    <w:rsid w:val="0031043E"/>
    <w:rsid w:val="00310AEA"/>
    <w:rsid w:val="003115F6"/>
    <w:rsid w:val="00311B5B"/>
    <w:rsid w:val="00313566"/>
    <w:rsid w:val="003135A0"/>
    <w:rsid w:val="0031375E"/>
    <w:rsid w:val="00313E30"/>
    <w:rsid w:val="003148D1"/>
    <w:rsid w:val="00316141"/>
    <w:rsid w:val="00316955"/>
    <w:rsid w:val="00316CCF"/>
    <w:rsid w:val="0031721B"/>
    <w:rsid w:val="00317357"/>
    <w:rsid w:val="00317714"/>
    <w:rsid w:val="00317AF6"/>
    <w:rsid w:val="00317E5B"/>
    <w:rsid w:val="00320520"/>
    <w:rsid w:val="0032093A"/>
    <w:rsid w:val="003209CE"/>
    <w:rsid w:val="00320EBF"/>
    <w:rsid w:val="003211C0"/>
    <w:rsid w:val="00323BAF"/>
    <w:rsid w:val="00323FEB"/>
    <w:rsid w:val="00324305"/>
    <w:rsid w:val="00325101"/>
    <w:rsid w:val="0032552B"/>
    <w:rsid w:val="00325EDB"/>
    <w:rsid w:val="00326017"/>
    <w:rsid w:val="00326D87"/>
    <w:rsid w:val="00327ED3"/>
    <w:rsid w:val="0033028D"/>
    <w:rsid w:val="00330A15"/>
    <w:rsid w:val="00330ED9"/>
    <w:rsid w:val="00331201"/>
    <w:rsid w:val="003312CF"/>
    <w:rsid w:val="0033165C"/>
    <w:rsid w:val="00331DEA"/>
    <w:rsid w:val="003320E1"/>
    <w:rsid w:val="003324F7"/>
    <w:rsid w:val="00332FDC"/>
    <w:rsid w:val="003334E0"/>
    <w:rsid w:val="00333B70"/>
    <w:rsid w:val="003341AF"/>
    <w:rsid w:val="00334993"/>
    <w:rsid w:val="00334F88"/>
    <w:rsid w:val="0033529D"/>
    <w:rsid w:val="0033535C"/>
    <w:rsid w:val="00336498"/>
    <w:rsid w:val="00336F69"/>
    <w:rsid w:val="00337CFC"/>
    <w:rsid w:val="00340853"/>
    <w:rsid w:val="003416C7"/>
    <w:rsid w:val="0034172F"/>
    <w:rsid w:val="0034216C"/>
    <w:rsid w:val="00343D6E"/>
    <w:rsid w:val="00343FD0"/>
    <w:rsid w:val="00343FD8"/>
    <w:rsid w:val="003451B7"/>
    <w:rsid w:val="00345484"/>
    <w:rsid w:val="003461CE"/>
    <w:rsid w:val="003464F1"/>
    <w:rsid w:val="00346EEA"/>
    <w:rsid w:val="00347A98"/>
    <w:rsid w:val="00347EAD"/>
    <w:rsid w:val="00350498"/>
    <w:rsid w:val="00350876"/>
    <w:rsid w:val="00351B6D"/>
    <w:rsid w:val="003527FE"/>
    <w:rsid w:val="003528C6"/>
    <w:rsid w:val="00352F80"/>
    <w:rsid w:val="00353056"/>
    <w:rsid w:val="003530E8"/>
    <w:rsid w:val="00353440"/>
    <w:rsid w:val="003536A7"/>
    <w:rsid w:val="0035374B"/>
    <w:rsid w:val="00353930"/>
    <w:rsid w:val="00353BE7"/>
    <w:rsid w:val="00353C76"/>
    <w:rsid w:val="00353E35"/>
    <w:rsid w:val="00353EDE"/>
    <w:rsid w:val="003543F9"/>
    <w:rsid w:val="00354723"/>
    <w:rsid w:val="00354757"/>
    <w:rsid w:val="00354A72"/>
    <w:rsid w:val="003553C2"/>
    <w:rsid w:val="0035664E"/>
    <w:rsid w:val="00356977"/>
    <w:rsid w:val="00357427"/>
    <w:rsid w:val="00357695"/>
    <w:rsid w:val="003610DA"/>
    <w:rsid w:val="003612E5"/>
    <w:rsid w:val="00361317"/>
    <w:rsid w:val="0036148C"/>
    <w:rsid w:val="00361DAB"/>
    <w:rsid w:val="0036216C"/>
    <w:rsid w:val="00362253"/>
    <w:rsid w:val="00363CC5"/>
    <w:rsid w:val="003640EE"/>
    <w:rsid w:val="00364747"/>
    <w:rsid w:val="00364806"/>
    <w:rsid w:val="00364E93"/>
    <w:rsid w:val="003651B7"/>
    <w:rsid w:val="00365635"/>
    <w:rsid w:val="00365668"/>
    <w:rsid w:val="00365F18"/>
    <w:rsid w:val="00367393"/>
    <w:rsid w:val="00367494"/>
    <w:rsid w:val="0036797C"/>
    <w:rsid w:val="00367B22"/>
    <w:rsid w:val="00367BDB"/>
    <w:rsid w:val="00367DB7"/>
    <w:rsid w:val="00370403"/>
    <w:rsid w:val="003705F1"/>
    <w:rsid w:val="003707A0"/>
    <w:rsid w:val="003707DB"/>
    <w:rsid w:val="00370B67"/>
    <w:rsid w:val="00371C7A"/>
    <w:rsid w:val="00372E7E"/>
    <w:rsid w:val="00374892"/>
    <w:rsid w:val="00375AEC"/>
    <w:rsid w:val="003760F0"/>
    <w:rsid w:val="003761E1"/>
    <w:rsid w:val="00376236"/>
    <w:rsid w:val="003764E2"/>
    <w:rsid w:val="0037652C"/>
    <w:rsid w:val="003766A2"/>
    <w:rsid w:val="00376C95"/>
    <w:rsid w:val="003774D1"/>
    <w:rsid w:val="003800E4"/>
    <w:rsid w:val="003801EE"/>
    <w:rsid w:val="00380E1A"/>
    <w:rsid w:val="00380FF5"/>
    <w:rsid w:val="003815A8"/>
    <w:rsid w:val="0038275D"/>
    <w:rsid w:val="003829C3"/>
    <w:rsid w:val="003831C2"/>
    <w:rsid w:val="0038385B"/>
    <w:rsid w:val="0038681C"/>
    <w:rsid w:val="003873D4"/>
    <w:rsid w:val="003875F4"/>
    <w:rsid w:val="003900BE"/>
    <w:rsid w:val="003911F7"/>
    <w:rsid w:val="00392130"/>
    <w:rsid w:val="0039282E"/>
    <w:rsid w:val="00393C0A"/>
    <w:rsid w:val="0039456F"/>
    <w:rsid w:val="00394570"/>
    <w:rsid w:val="003950FA"/>
    <w:rsid w:val="00395108"/>
    <w:rsid w:val="003962A2"/>
    <w:rsid w:val="00396C37"/>
    <w:rsid w:val="00396E5F"/>
    <w:rsid w:val="00396ED5"/>
    <w:rsid w:val="003972A1"/>
    <w:rsid w:val="00397369"/>
    <w:rsid w:val="00397AD2"/>
    <w:rsid w:val="003A0F44"/>
    <w:rsid w:val="003A10A1"/>
    <w:rsid w:val="003A17B3"/>
    <w:rsid w:val="003A1934"/>
    <w:rsid w:val="003A4475"/>
    <w:rsid w:val="003A44A0"/>
    <w:rsid w:val="003A594E"/>
    <w:rsid w:val="003A5EEC"/>
    <w:rsid w:val="003A6174"/>
    <w:rsid w:val="003A771A"/>
    <w:rsid w:val="003A78F0"/>
    <w:rsid w:val="003B01EE"/>
    <w:rsid w:val="003B054C"/>
    <w:rsid w:val="003B058E"/>
    <w:rsid w:val="003B0DEA"/>
    <w:rsid w:val="003B184B"/>
    <w:rsid w:val="003B286A"/>
    <w:rsid w:val="003B2D45"/>
    <w:rsid w:val="003B42F1"/>
    <w:rsid w:val="003B475C"/>
    <w:rsid w:val="003B4870"/>
    <w:rsid w:val="003B5473"/>
    <w:rsid w:val="003B59A3"/>
    <w:rsid w:val="003B5CDD"/>
    <w:rsid w:val="003B671D"/>
    <w:rsid w:val="003B6CAE"/>
    <w:rsid w:val="003B7070"/>
    <w:rsid w:val="003B71F3"/>
    <w:rsid w:val="003B750E"/>
    <w:rsid w:val="003C0055"/>
    <w:rsid w:val="003C00B9"/>
    <w:rsid w:val="003C1509"/>
    <w:rsid w:val="003C2014"/>
    <w:rsid w:val="003C2483"/>
    <w:rsid w:val="003C4A39"/>
    <w:rsid w:val="003C6BED"/>
    <w:rsid w:val="003C7308"/>
    <w:rsid w:val="003C74B1"/>
    <w:rsid w:val="003C7E57"/>
    <w:rsid w:val="003D0342"/>
    <w:rsid w:val="003D0CA6"/>
    <w:rsid w:val="003D0DB6"/>
    <w:rsid w:val="003D1EEA"/>
    <w:rsid w:val="003D288B"/>
    <w:rsid w:val="003D2BB1"/>
    <w:rsid w:val="003D2CE1"/>
    <w:rsid w:val="003D3B37"/>
    <w:rsid w:val="003D454D"/>
    <w:rsid w:val="003D45CA"/>
    <w:rsid w:val="003D4731"/>
    <w:rsid w:val="003D48A2"/>
    <w:rsid w:val="003D4E7A"/>
    <w:rsid w:val="003D5243"/>
    <w:rsid w:val="003D5696"/>
    <w:rsid w:val="003D6C50"/>
    <w:rsid w:val="003D6CFB"/>
    <w:rsid w:val="003D7643"/>
    <w:rsid w:val="003E01EC"/>
    <w:rsid w:val="003E0C47"/>
    <w:rsid w:val="003E0D03"/>
    <w:rsid w:val="003E24FC"/>
    <w:rsid w:val="003E2EB4"/>
    <w:rsid w:val="003E39B2"/>
    <w:rsid w:val="003E5B5E"/>
    <w:rsid w:val="003E5C29"/>
    <w:rsid w:val="003E5F03"/>
    <w:rsid w:val="003E62CC"/>
    <w:rsid w:val="003E69DA"/>
    <w:rsid w:val="003E6F72"/>
    <w:rsid w:val="003E7CC1"/>
    <w:rsid w:val="003F0410"/>
    <w:rsid w:val="003F0738"/>
    <w:rsid w:val="003F143B"/>
    <w:rsid w:val="003F14F4"/>
    <w:rsid w:val="003F1B8F"/>
    <w:rsid w:val="003F22FD"/>
    <w:rsid w:val="003F2F35"/>
    <w:rsid w:val="003F3428"/>
    <w:rsid w:val="003F3EA8"/>
    <w:rsid w:val="003F557C"/>
    <w:rsid w:val="003F559E"/>
    <w:rsid w:val="003F59D0"/>
    <w:rsid w:val="003F5EE4"/>
    <w:rsid w:val="003F6187"/>
    <w:rsid w:val="003F665C"/>
    <w:rsid w:val="003F7FCF"/>
    <w:rsid w:val="0040020D"/>
    <w:rsid w:val="00400982"/>
    <w:rsid w:val="00401546"/>
    <w:rsid w:val="0040159D"/>
    <w:rsid w:val="00401B28"/>
    <w:rsid w:val="00402AA3"/>
    <w:rsid w:val="00402AF5"/>
    <w:rsid w:val="00402D26"/>
    <w:rsid w:val="00402D9F"/>
    <w:rsid w:val="004030AB"/>
    <w:rsid w:val="00403482"/>
    <w:rsid w:val="0040357E"/>
    <w:rsid w:val="004048D7"/>
    <w:rsid w:val="004054B2"/>
    <w:rsid w:val="004059C5"/>
    <w:rsid w:val="00405B2A"/>
    <w:rsid w:val="0040708A"/>
    <w:rsid w:val="004073A2"/>
    <w:rsid w:val="00407E8D"/>
    <w:rsid w:val="00407EE9"/>
    <w:rsid w:val="00410440"/>
    <w:rsid w:val="004106A7"/>
    <w:rsid w:val="00410C4C"/>
    <w:rsid w:val="00411628"/>
    <w:rsid w:val="004119B7"/>
    <w:rsid w:val="00412282"/>
    <w:rsid w:val="00413AAB"/>
    <w:rsid w:val="00414928"/>
    <w:rsid w:val="0041657A"/>
    <w:rsid w:val="00416774"/>
    <w:rsid w:val="004167F9"/>
    <w:rsid w:val="00416B67"/>
    <w:rsid w:val="00416E79"/>
    <w:rsid w:val="00417728"/>
    <w:rsid w:val="00417DE5"/>
    <w:rsid w:val="00420BBF"/>
    <w:rsid w:val="004215D2"/>
    <w:rsid w:val="00421B91"/>
    <w:rsid w:val="00421DC7"/>
    <w:rsid w:val="00422716"/>
    <w:rsid w:val="00422CDA"/>
    <w:rsid w:val="00422DC4"/>
    <w:rsid w:val="00423234"/>
    <w:rsid w:val="004242C4"/>
    <w:rsid w:val="0042432A"/>
    <w:rsid w:val="00424722"/>
    <w:rsid w:val="00424AB9"/>
    <w:rsid w:val="00424E0E"/>
    <w:rsid w:val="004253A4"/>
    <w:rsid w:val="004256BA"/>
    <w:rsid w:val="00425E6B"/>
    <w:rsid w:val="004260F1"/>
    <w:rsid w:val="00426CE3"/>
    <w:rsid w:val="0042767A"/>
    <w:rsid w:val="004279A5"/>
    <w:rsid w:val="00427EF1"/>
    <w:rsid w:val="004305F2"/>
    <w:rsid w:val="004307DB"/>
    <w:rsid w:val="004316D1"/>
    <w:rsid w:val="00431999"/>
    <w:rsid w:val="00431B18"/>
    <w:rsid w:val="00431D93"/>
    <w:rsid w:val="00431FC8"/>
    <w:rsid w:val="0043205C"/>
    <w:rsid w:val="00432CF1"/>
    <w:rsid w:val="00432EC6"/>
    <w:rsid w:val="00433553"/>
    <w:rsid w:val="004337E1"/>
    <w:rsid w:val="00433E3E"/>
    <w:rsid w:val="004340D3"/>
    <w:rsid w:val="00434FB7"/>
    <w:rsid w:val="0043520E"/>
    <w:rsid w:val="00435682"/>
    <w:rsid w:val="00435908"/>
    <w:rsid w:val="004359D1"/>
    <w:rsid w:val="00435F12"/>
    <w:rsid w:val="004371B9"/>
    <w:rsid w:val="00440F9E"/>
    <w:rsid w:val="00441D75"/>
    <w:rsid w:val="00442EE8"/>
    <w:rsid w:val="004431FC"/>
    <w:rsid w:val="00443294"/>
    <w:rsid w:val="00443E76"/>
    <w:rsid w:val="00444423"/>
    <w:rsid w:val="0044527B"/>
    <w:rsid w:val="00445797"/>
    <w:rsid w:val="0044581E"/>
    <w:rsid w:val="00445F50"/>
    <w:rsid w:val="0044633C"/>
    <w:rsid w:val="004471C3"/>
    <w:rsid w:val="0044747F"/>
    <w:rsid w:val="00447850"/>
    <w:rsid w:val="004501EA"/>
    <w:rsid w:val="004515B1"/>
    <w:rsid w:val="00451AAD"/>
    <w:rsid w:val="0045224C"/>
    <w:rsid w:val="00453479"/>
    <w:rsid w:val="0045351C"/>
    <w:rsid w:val="00453930"/>
    <w:rsid w:val="00453CAF"/>
    <w:rsid w:val="00453CBD"/>
    <w:rsid w:val="00454281"/>
    <w:rsid w:val="004543A1"/>
    <w:rsid w:val="004544C3"/>
    <w:rsid w:val="00454D13"/>
    <w:rsid w:val="00455291"/>
    <w:rsid w:val="00455DCE"/>
    <w:rsid w:val="00456081"/>
    <w:rsid w:val="0045793A"/>
    <w:rsid w:val="0046087C"/>
    <w:rsid w:val="00460B7E"/>
    <w:rsid w:val="00460DD3"/>
    <w:rsid w:val="00461031"/>
    <w:rsid w:val="00461195"/>
    <w:rsid w:val="00462298"/>
    <w:rsid w:val="0046261B"/>
    <w:rsid w:val="00462659"/>
    <w:rsid w:val="00462C05"/>
    <w:rsid w:val="004634A4"/>
    <w:rsid w:val="0046357E"/>
    <w:rsid w:val="00463E08"/>
    <w:rsid w:val="00464309"/>
    <w:rsid w:val="00464BC3"/>
    <w:rsid w:val="00464F5D"/>
    <w:rsid w:val="004650B4"/>
    <w:rsid w:val="00465F52"/>
    <w:rsid w:val="00466182"/>
    <w:rsid w:val="0046623F"/>
    <w:rsid w:val="00466E3C"/>
    <w:rsid w:val="0046716F"/>
    <w:rsid w:val="00467F43"/>
    <w:rsid w:val="00471677"/>
    <w:rsid w:val="00472B62"/>
    <w:rsid w:val="00472D74"/>
    <w:rsid w:val="00473B5B"/>
    <w:rsid w:val="00473EB2"/>
    <w:rsid w:val="00474CB4"/>
    <w:rsid w:val="00474FBD"/>
    <w:rsid w:val="00475377"/>
    <w:rsid w:val="00475AB6"/>
    <w:rsid w:val="00476009"/>
    <w:rsid w:val="00476411"/>
    <w:rsid w:val="004766CF"/>
    <w:rsid w:val="004770F1"/>
    <w:rsid w:val="0047741F"/>
    <w:rsid w:val="00480110"/>
    <w:rsid w:val="0048095D"/>
    <w:rsid w:val="00480BCB"/>
    <w:rsid w:val="00480BDF"/>
    <w:rsid w:val="00480D3C"/>
    <w:rsid w:val="00481478"/>
    <w:rsid w:val="00481AAC"/>
    <w:rsid w:val="0048240F"/>
    <w:rsid w:val="004827F4"/>
    <w:rsid w:val="00482FEC"/>
    <w:rsid w:val="00483C6F"/>
    <w:rsid w:val="00484827"/>
    <w:rsid w:val="004850EF"/>
    <w:rsid w:val="004856FD"/>
    <w:rsid w:val="0048574D"/>
    <w:rsid w:val="00485ACE"/>
    <w:rsid w:val="00485AE2"/>
    <w:rsid w:val="004860CB"/>
    <w:rsid w:val="00486438"/>
    <w:rsid w:val="0048681E"/>
    <w:rsid w:val="00486D78"/>
    <w:rsid w:val="00487084"/>
    <w:rsid w:val="00487CC6"/>
    <w:rsid w:val="004901B3"/>
    <w:rsid w:val="004901E9"/>
    <w:rsid w:val="00490608"/>
    <w:rsid w:val="00490628"/>
    <w:rsid w:val="004914CD"/>
    <w:rsid w:val="00491668"/>
    <w:rsid w:val="00491692"/>
    <w:rsid w:val="00491D7D"/>
    <w:rsid w:val="00493B02"/>
    <w:rsid w:val="0049483B"/>
    <w:rsid w:val="00494CC1"/>
    <w:rsid w:val="004963EA"/>
    <w:rsid w:val="0049711B"/>
    <w:rsid w:val="004A0825"/>
    <w:rsid w:val="004A0E4A"/>
    <w:rsid w:val="004A12A4"/>
    <w:rsid w:val="004A1379"/>
    <w:rsid w:val="004A1AE1"/>
    <w:rsid w:val="004A1D5E"/>
    <w:rsid w:val="004A1D6A"/>
    <w:rsid w:val="004A1D7B"/>
    <w:rsid w:val="004A1DF7"/>
    <w:rsid w:val="004A2785"/>
    <w:rsid w:val="004A2BE1"/>
    <w:rsid w:val="004A3247"/>
    <w:rsid w:val="004A3CF9"/>
    <w:rsid w:val="004A44B7"/>
    <w:rsid w:val="004A4B88"/>
    <w:rsid w:val="004A4EE3"/>
    <w:rsid w:val="004A5246"/>
    <w:rsid w:val="004A6937"/>
    <w:rsid w:val="004A6AA2"/>
    <w:rsid w:val="004A7544"/>
    <w:rsid w:val="004A768B"/>
    <w:rsid w:val="004A7741"/>
    <w:rsid w:val="004B05EE"/>
    <w:rsid w:val="004B0773"/>
    <w:rsid w:val="004B1208"/>
    <w:rsid w:val="004B2411"/>
    <w:rsid w:val="004B293A"/>
    <w:rsid w:val="004B350D"/>
    <w:rsid w:val="004B459E"/>
    <w:rsid w:val="004B4AD0"/>
    <w:rsid w:val="004B5777"/>
    <w:rsid w:val="004B5A22"/>
    <w:rsid w:val="004B5A42"/>
    <w:rsid w:val="004B5D3A"/>
    <w:rsid w:val="004B5FAC"/>
    <w:rsid w:val="004B6D39"/>
    <w:rsid w:val="004B6E23"/>
    <w:rsid w:val="004C01C2"/>
    <w:rsid w:val="004C05D2"/>
    <w:rsid w:val="004C0C0B"/>
    <w:rsid w:val="004C0F19"/>
    <w:rsid w:val="004C117D"/>
    <w:rsid w:val="004C1880"/>
    <w:rsid w:val="004C3590"/>
    <w:rsid w:val="004C3F45"/>
    <w:rsid w:val="004C485F"/>
    <w:rsid w:val="004C4AA1"/>
    <w:rsid w:val="004C5553"/>
    <w:rsid w:val="004C6708"/>
    <w:rsid w:val="004C67C1"/>
    <w:rsid w:val="004C6F33"/>
    <w:rsid w:val="004C70DC"/>
    <w:rsid w:val="004C71C8"/>
    <w:rsid w:val="004D0656"/>
    <w:rsid w:val="004D09DD"/>
    <w:rsid w:val="004D1440"/>
    <w:rsid w:val="004D1B6D"/>
    <w:rsid w:val="004D1DF5"/>
    <w:rsid w:val="004D2DAA"/>
    <w:rsid w:val="004D3047"/>
    <w:rsid w:val="004D482D"/>
    <w:rsid w:val="004D4FC9"/>
    <w:rsid w:val="004D6B1B"/>
    <w:rsid w:val="004D79C4"/>
    <w:rsid w:val="004E0623"/>
    <w:rsid w:val="004E0D32"/>
    <w:rsid w:val="004E149E"/>
    <w:rsid w:val="004E19AB"/>
    <w:rsid w:val="004E29C0"/>
    <w:rsid w:val="004E357A"/>
    <w:rsid w:val="004E358E"/>
    <w:rsid w:val="004E390D"/>
    <w:rsid w:val="004E40EF"/>
    <w:rsid w:val="004E4B3B"/>
    <w:rsid w:val="004E50DD"/>
    <w:rsid w:val="004E681F"/>
    <w:rsid w:val="004E68A6"/>
    <w:rsid w:val="004E6EC3"/>
    <w:rsid w:val="004E7335"/>
    <w:rsid w:val="004E73F7"/>
    <w:rsid w:val="004F0E48"/>
    <w:rsid w:val="004F11F4"/>
    <w:rsid w:val="004F1453"/>
    <w:rsid w:val="004F16C3"/>
    <w:rsid w:val="004F1AC6"/>
    <w:rsid w:val="004F1C80"/>
    <w:rsid w:val="004F2619"/>
    <w:rsid w:val="004F26E7"/>
    <w:rsid w:val="004F2B2F"/>
    <w:rsid w:val="004F2ECB"/>
    <w:rsid w:val="004F35B5"/>
    <w:rsid w:val="004F368D"/>
    <w:rsid w:val="004F44BB"/>
    <w:rsid w:val="004F4634"/>
    <w:rsid w:val="004F516A"/>
    <w:rsid w:val="004F66E9"/>
    <w:rsid w:val="004F76A0"/>
    <w:rsid w:val="004F7C11"/>
    <w:rsid w:val="004F7E86"/>
    <w:rsid w:val="00500E7F"/>
    <w:rsid w:val="00501324"/>
    <w:rsid w:val="00502320"/>
    <w:rsid w:val="00502BAF"/>
    <w:rsid w:val="005031A7"/>
    <w:rsid w:val="005037B2"/>
    <w:rsid w:val="00504C31"/>
    <w:rsid w:val="0050523F"/>
    <w:rsid w:val="0050617A"/>
    <w:rsid w:val="005064EF"/>
    <w:rsid w:val="005066EE"/>
    <w:rsid w:val="0050732E"/>
    <w:rsid w:val="00511440"/>
    <w:rsid w:val="0051275D"/>
    <w:rsid w:val="0051289A"/>
    <w:rsid w:val="00512E4B"/>
    <w:rsid w:val="005134A5"/>
    <w:rsid w:val="00513676"/>
    <w:rsid w:val="00513A20"/>
    <w:rsid w:val="00513C38"/>
    <w:rsid w:val="00513D25"/>
    <w:rsid w:val="005145C5"/>
    <w:rsid w:val="0051531C"/>
    <w:rsid w:val="005157B8"/>
    <w:rsid w:val="00515D1D"/>
    <w:rsid w:val="00515E2C"/>
    <w:rsid w:val="00516B10"/>
    <w:rsid w:val="00516F79"/>
    <w:rsid w:val="00517141"/>
    <w:rsid w:val="00517A47"/>
    <w:rsid w:val="00517CDB"/>
    <w:rsid w:val="00517EA8"/>
    <w:rsid w:val="005202F3"/>
    <w:rsid w:val="00520443"/>
    <w:rsid w:val="00520C3F"/>
    <w:rsid w:val="005212D6"/>
    <w:rsid w:val="0052179D"/>
    <w:rsid w:val="0052268B"/>
    <w:rsid w:val="0052274B"/>
    <w:rsid w:val="00523B20"/>
    <w:rsid w:val="00523FC7"/>
    <w:rsid w:val="00524C1F"/>
    <w:rsid w:val="00524C50"/>
    <w:rsid w:val="00524C85"/>
    <w:rsid w:val="0052533C"/>
    <w:rsid w:val="00525349"/>
    <w:rsid w:val="005254A4"/>
    <w:rsid w:val="0052577F"/>
    <w:rsid w:val="00525F67"/>
    <w:rsid w:val="00526085"/>
    <w:rsid w:val="00526B23"/>
    <w:rsid w:val="0052752E"/>
    <w:rsid w:val="00527927"/>
    <w:rsid w:val="00530718"/>
    <w:rsid w:val="00530DFB"/>
    <w:rsid w:val="0053143B"/>
    <w:rsid w:val="00531CD6"/>
    <w:rsid w:val="00531CF2"/>
    <w:rsid w:val="00531F95"/>
    <w:rsid w:val="0053255A"/>
    <w:rsid w:val="00532898"/>
    <w:rsid w:val="005336AE"/>
    <w:rsid w:val="00534476"/>
    <w:rsid w:val="00534F3B"/>
    <w:rsid w:val="00535280"/>
    <w:rsid w:val="005357F1"/>
    <w:rsid w:val="00535F99"/>
    <w:rsid w:val="00536C25"/>
    <w:rsid w:val="00537465"/>
    <w:rsid w:val="00540029"/>
    <w:rsid w:val="00540F35"/>
    <w:rsid w:val="005417DF"/>
    <w:rsid w:val="00541909"/>
    <w:rsid w:val="005423E7"/>
    <w:rsid w:val="00542DA7"/>
    <w:rsid w:val="00542FF2"/>
    <w:rsid w:val="00543481"/>
    <w:rsid w:val="00543D0E"/>
    <w:rsid w:val="00544AB5"/>
    <w:rsid w:val="00544AD9"/>
    <w:rsid w:val="005456A9"/>
    <w:rsid w:val="00545F57"/>
    <w:rsid w:val="0054619E"/>
    <w:rsid w:val="00546A0A"/>
    <w:rsid w:val="005478F4"/>
    <w:rsid w:val="00550493"/>
    <w:rsid w:val="00550AEF"/>
    <w:rsid w:val="00550CDC"/>
    <w:rsid w:val="00550F4A"/>
    <w:rsid w:val="00551962"/>
    <w:rsid w:val="00551EDC"/>
    <w:rsid w:val="005536D1"/>
    <w:rsid w:val="00553993"/>
    <w:rsid w:val="00553C05"/>
    <w:rsid w:val="005547E6"/>
    <w:rsid w:val="00554C96"/>
    <w:rsid w:val="00554F10"/>
    <w:rsid w:val="005554BB"/>
    <w:rsid w:val="005554EF"/>
    <w:rsid w:val="005557FD"/>
    <w:rsid w:val="0055588A"/>
    <w:rsid w:val="00555D52"/>
    <w:rsid w:val="00556356"/>
    <w:rsid w:val="00556373"/>
    <w:rsid w:val="005564E4"/>
    <w:rsid w:val="005566D7"/>
    <w:rsid w:val="005567E4"/>
    <w:rsid w:val="005569C6"/>
    <w:rsid w:val="005573F6"/>
    <w:rsid w:val="0055752A"/>
    <w:rsid w:val="005578D8"/>
    <w:rsid w:val="005609CC"/>
    <w:rsid w:val="00561F7F"/>
    <w:rsid w:val="00562A7F"/>
    <w:rsid w:val="0056366D"/>
    <w:rsid w:val="00563DBE"/>
    <w:rsid w:val="00563FEC"/>
    <w:rsid w:val="00564A22"/>
    <w:rsid w:val="00566112"/>
    <w:rsid w:val="00566B35"/>
    <w:rsid w:val="00566FE5"/>
    <w:rsid w:val="00567F77"/>
    <w:rsid w:val="00570A5A"/>
    <w:rsid w:val="0057124D"/>
    <w:rsid w:val="00571D2C"/>
    <w:rsid w:val="005732CC"/>
    <w:rsid w:val="00573697"/>
    <w:rsid w:val="00574504"/>
    <w:rsid w:val="00574636"/>
    <w:rsid w:val="00575422"/>
    <w:rsid w:val="00575E90"/>
    <w:rsid w:val="0057680D"/>
    <w:rsid w:val="005771A4"/>
    <w:rsid w:val="00577964"/>
    <w:rsid w:val="005803F5"/>
    <w:rsid w:val="00580D2D"/>
    <w:rsid w:val="00580F6F"/>
    <w:rsid w:val="005812E3"/>
    <w:rsid w:val="0058146D"/>
    <w:rsid w:val="00581D34"/>
    <w:rsid w:val="0058269F"/>
    <w:rsid w:val="005832E7"/>
    <w:rsid w:val="00583C35"/>
    <w:rsid w:val="00583DE7"/>
    <w:rsid w:val="00583F06"/>
    <w:rsid w:val="005843BA"/>
    <w:rsid w:val="00584947"/>
    <w:rsid w:val="005866EB"/>
    <w:rsid w:val="005868C1"/>
    <w:rsid w:val="0058728F"/>
    <w:rsid w:val="005879F4"/>
    <w:rsid w:val="00592350"/>
    <w:rsid w:val="00592361"/>
    <w:rsid w:val="0059288F"/>
    <w:rsid w:val="00592BE6"/>
    <w:rsid w:val="00592EF3"/>
    <w:rsid w:val="0059339E"/>
    <w:rsid w:val="005938C6"/>
    <w:rsid w:val="005938E1"/>
    <w:rsid w:val="005939C9"/>
    <w:rsid w:val="00593BAC"/>
    <w:rsid w:val="00594049"/>
    <w:rsid w:val="005947A5"/>
    <w:rsid w:val="00594E87"/>
    <w:rsid w:val="0059520B"/>
    <w:rsid w:val="005956F3"/>
    <w:rsid w:val="00596708"/>
    <w:rsid w:val="00596A75"/>
    <w:rsid w:val="00596D28"/>
    <w:rsid w:val="00597A9D"/>
    <w:rsid w:val="005A0387"/>
    <w:rsid w:val="005A0431"/>
    <w:rsid w:val="005A04F8"/>
    <w:rsid w:val="005A0CB5"/>
    <w:rsid w:val="005A1763"/>
    <w:rsid w:val="005A1F5B"/>
    <w:rsid w:val="005A20BA"/>
    <w:rsid w:val="005A2899"/>
    <w:rsid w:val="005A29F6"/>
    <w:rsid w:val="005A2BD9"/>
    <w:rsid w:val="005A427E"/>
    <w:rsid w:val="005A516C"/>
    <w:rsid w:val="005A5FB6"/>
    <w:rsid w:val="005A6063"/>
    <w:rsid w:val="005A64C4"/>
    <w:rsid w:val="005A6DB5"/>
    <w:rsid w:val="005A7190"/>
    <w:rsid w:val="005A746C"/>
    <w:rsid w:val="005A7AF5"/>
    <w:rsid w:val="005A7FD7"/>
    <w:rsid w:val="005B051C"/>
    <w:rsid w:val="005B06C4"/>
    <w:rsid w:val="005B0E5E"/>
    <w:rsid w:val="005B141E"/>
    <w:rsid w:val="005B1A6A"/>
    <w:rsid w:val="005B21F4"/>
    <w:rsid w:val="005B24AA"/>
    <w:rsid w:val="005B2F78"/>
    <w:rsid w:val="005B3752"/>
    <w:rsid w:val="005B5861"/>
    <w:rsid w:val="005B5D7B"/>
    <w:rsid w:val="005B6130"/>
    <w:rsid w:val="005B61C2"/>
    <w:rsid w:val="005B64C7"/>
    <w:rsid w:val="005B73C9"/>
    <w:rsid w:val="005B7C49"/>
    <w:rsid w:val="005C0115"/>
    <w:rsid w:val="005C0AEF"/>
    <w:rsid w:val="005C0E2E"/>
    <w:rsid w:val="005C1214"/>
    <w:rsid w:val="005C218B"/>
    <w:rsid w:val="005C267F"/>
    <w:rsid w:val="005C278B"/>
    <w:rsid w:val="005C299A"/>
    <w:rsid w:val="005C2CFC"/>
    <w:rsid w:val="005C3084"/>
    <w:rsid w:val="005C314B"/>
    <w:rsid w:val="005C3CBC"/>
    <w:rsid w:val="005C4036"/>
    <w:rsid w:val="005C4328"/>
    <w:rsid w:val="005C4C3C"/>
    <w:rsid w:val="005C4E27"/>
    <w:rsid w:val="005C535C"/>
    <w:rsid w:val="005C5CBC"/>
    <w:rsid w:val="005C5ED4"/>
    <w:rsid w:val="005C6240"/>
    <w:rsid w:val="005C7A3A"/>
    <w:rsid w:val="005D03EF"/>
    <w:rsid w:val="005D0782"/>
    <w:rsid w:val="005D09EA"/>
    <w:rsid w:val="005D0CB7"/>
    <w:rsid w:val="005D1643"/>
    <w:rsid w:val="005D1E12"/>
    <w:rsid w:val="005D2480"/>
    <w:rsid w:val="005D25A0"/>
    <w:rsid w:val="005D26B7"/>
    <w:rsid w:val="005D2723"/>
    <w:rsid w:val="005D3D0D"/>
    <w:rsid w:val="005D41B2"/>
    <w:rsid w:val="005D4AA1"/>
    <w:rsid w:val="005D4B42"/>
    <w:rsid w:val="005D5172"/>
    <w:rsid w:val="005D6334"/>
    <w:rsid w:val="005D7EF7"/>
    <w:rsid w:val="005E02DB"/>
    <w:rsid w:val="005E0771"/>
    <w:rsid w:val="005E1F81"/>
    <w:rsid w:val="005E200A"/>
    <w:rsid w:val="005E2123"/>
    <w:rsid w:val="005E215E"/>
    <w:rsid w:val="005E228C"/>
    <w:rsid w:val="005E22FD"/>
    <w:rsid w:val="005E2355"/>
    <w:rsid w:val="005E262E"/>
    <w:rsid w:val="005E2B52"/>
    <w:rsid w:val="005E3A90"/>
    <w:rsid w:val="005E4A5A"/>
    <w:rsid w:val="005E4CBD"/>
    <w:rsid w:val="005E4EDF"/>
    <w:rsid w:val="005E5D3E"/>
    <w:rsid w:val="005E5ED8"/>
    <w:rsid w:val="005E6437"/>
    <w:rsid w:val="005E6DD8"/>
    <w:rsid w:val="005E6FBE"/>
    <w:rsid w:val="005E7351"/>
    <w:rsid w:val="005E7D02"/>
    <w:rsid w:val="005F1F86"/>
    <w:rsid w:val="005F2019"/>
    <w:rsid w:val="005F3835"/>
    <w:rsid w:val="005F3A5A"/>
    <w:rsid w:val="005F4EE4"/>
    <w:rsid w:val="005F4FA0"/>
    <w:rsid w:val="005F5B73"/>
    <w:rsid w:val="005F7245"/>
    <w:rsid w:val="005F7C10"/>
    <w:rsid w:val="005F7D5D"/>
    <w:rsid w:val="005F7EC8"/>
    <w:rsid w:val="005F7F03"/>
    <w:rsid w:val="005F7FC3"/>
    <w:rsid w:val="006012F4"/>
    <w:rsid w:val="0060146C"/>
    <w:rsid w:val="0060207D"/>
    <w:rsid w:val="00602492"/>
    <w:rsid w:val="006035B6"/>
    <w:rsid w:val="0060368E"/>
    <w:rsid w:val="00603946"/>
    <w:rsid w:val="006039F2"/>
    <w:rsid w:val="00603A31"/>
    <w:rsid w:val="00604E1B"/>
    <w:rsid w:val="0060576E"/>
    <w:rsid w:val="0060582C"/>
    <w:rsid w:val="006061B0"/>
    <w:rsid w:val="00606821"/>
    <w:rsid w:val="006072EB"/>
    <w:rsid w:val="0060732E"/>
    <w:rsid w:val="006076A9"/>
    <w:rsid w:val="00607E68"/>
    <w:rsid w:val="006100FA"/>
    <w:rsid w:val="006104B8"/>
    <w:rsid w:val="00610874"/>
    <w:rsid w:val="00610C7F"/>
    <w:rsid w:val="006114DE"/>
    <w:rsid w:val="00611521"/>
    <w:rsid w:val="0061187C"/>
    <w:rsid w:val="00611D05"/>
    <w:rsid w:val="00611DCF"/>
    <w:rsid w:val="00612024"/>
    <w:rsid w:val="006120BD"/>
    <w:rsid w:val="006143D5"/>
    <w:rsid w:val="006160E0"/>
    <w:rsid w:val="00616924"/>
    <w:rsid w:val="006170E4"/>
    <w:rsid w:val="006172C4"/>
    <w:rsid w:val="00617440"/>
    <w:rsid w:val="006174F4"/>
    <w:rsid w:val="00617F19"/>
    <w:rsid w:val="0062061D"/>
    <w:rsid w:val="006208CB"/>
    <w:rsid w:val="00620D4D"/>
    <w:rsid w:val="00620F6C"/>
    <w:rsid w:val="00621685"/>
    <w:rsid w:val="00621DE2"/>
    <w:rsid w:val="006235C0"/>
    <w:rsid w:val="0062425F"/>
    <w:rsid w:val="006242DD"/>
    <w:rsid w:val="00624446"/>
    <w:rsid w:val="0062445B"/>
    <w:rsid w:val="00624472"/>
    <w:rsid w:val="006246B7"/>
    <w:rsid w:val="006259E9"/>
    <w:rsid w:val="00625E92"/>
    <w:rsid w:val="00625F2D"/>
    <w:rsid w:val="00627007"/>
    <w:rsid w:val="00627A91"/>
    <w:rsid w:val="006306F3"/>
    <w:rsid w:val="00630F66"/>
    <w:rsid w:val="006311BB"/>
    <w:rsid w:val="0063141B"/>
    <w:rsid w:val="00631D41"/>
    <w:rsid w:val="00632DD4"/>
    <w:rsid w:val="00633528"/>
    <w:rsid w:val="00634481"/>
    <w:rsid w:val="00634C1D"/>
    <w:rsid w:val="00634C22"/>
    <w:rsid w:val="00635952"/>
    <w:rsid w:val="00635C90"/>
    <w:rsid w:val="006360BD"/>
    <w:rsid w:val="006360F2"/>
    <w:rsid w:val="0063699B"/>
    <w:rsid w:val="0063716F"/>
    <w:rsid w:val="006410D0"/>
    <w:rsid w:val="0064149B"/>
    <w:rsid w:val="00641800"/>
    <w:rsid w:val="00641AA5"/>
    <w:rsid w:val="006448A3"/>
    <w:rsid w:val="0064495C"/>
    <w:rsid w:val="006467B8"/>
    <w:rsid w:val="00646C1D"/>
    <w:rsid w:val="006472F0"/>
    <w:rsid w:val="00647535"/>
    <w:rsid w:val="00647538"/>
    <w:rsid w:val="006507DC"/>
    <w:rsid w:val="006516C1"/>
    <w:rsid w:val="00652659"/>
    <w:rsid w:val="0065324B"/>
    <w:rsid w:val="006536D3"/>
    <w:rsid w:val="006544EA"/>
    <w:rsid w:val="00655A33"/>
    <w:rsid w:val="0065648F"/>
    <w:rsid w:val="00657133"/>
    <w:rsid w:val="00657241"/>
    <w:rsid w:val="006572B5"/>
    <w:rsid w:val="00657452"/>
    <w:rsid w:val="00660DF5"/>
    <w:rsid w:val="00660FC9"/>
    <w:rsid w:val="00661732"/>
    <w:rsid w:val="006629FD"/>
    <w:rsid w:val="00663401"/>
    <w:rsid w:val="006635B3"/>
    <w:rsid w:val="00664261"/>
    <w:rsid w:val="00664E1A"/>
    <w:rsid w:val="0066569F"/>
    <w:rsid w:val="006656B5"/>
    <w:rsid w:val="00665CFF"/>
    <w:rsid w:val="00666020"/>
    <w:rsid w:val="0066625F"/>
    <w:rsid w:val="0066631A"/>
    <w:rsid w:val="0066638D"/>
    <w:rsid w:val="00667564"/>
    <w:rsid w:val="00667C33"/>
    <w:rsid w:val="00670394"/>
    <w:rsid w:val="00670774"/>
    <w:rsid w:val="006709B5"/>
    <w:rsid w:val="006712B2"/>
    <w:rsid w:val="00671576"/>
    <w:rsid w:val="00671D49"/>
    <w:rsid w:val="0067222A"/>
    <w:rsid w:val="006722E4"/>
    <w:rsid w:val="00672B50"/>
    <w:rsid w:val="006737A5"/>
    <w:rsid w:val="00673C9A"/>
    <w:rsid w:val="00674A0C"/>
    <w:rsid w:val="00674CCF"/>
    <w:rsid w:val="00675F62"/>
    <w:rsid w:val="00676427"/>
    <w:rsid w:val="0067686A"/>
    <w:rsid w:val="00676E60"/>
    <w:rsid w:val="006772CA"/>
    <w:rsid w:val="0067730B"/>
    <w:rsid w:val="00677A6B"/>
    <w:rsid w:val="00680812"/>
    <w:rsid w:val="00680E67"/>
    <w:rsid w:val="006818CA"/>
    <w:rsid w:val="0068336E"/>
    <w:rsid w:val="00683756"/>
    <w:rsid w:val="00683B1A"/>
    <w:rsid w:val="0068497C"/>
    <w:rsid w:val="0068549E"/>
    <w:rsid w:val="006864C4"/>
    <w:rsid w:val="00687744"/>
    <w:rsid w:val="00687A31"/>
    <w:rsid w:val="00687FAF"/>
    <w:rsid w:val="0069004B"/>
    <w:rsid w:val="006906D9"/>
    <w:rsid w:val="006911E3"/>
    <w:rsid w:val="006913D5"/>
    <w:rsid w:val="00691954"/>
    <w:rsid w:val="00692672"/>
    <w:rsid w:val="00692EE2"/>
    <w:rsid w:val="006931F4"/>
    <w:rsid w:val="00695062"/>
    <w:rsid w:val="00695148"/>
    <w:rsid w:val="006959A9"/>
    <w:rsid w:val="006963D4"/>
    <w:rsid w:val="00696967"/>
    <w:rsid w:val="00697432"/>
    <w:rsid w:val="00697D05"/>
    <w:rsid w:val="006A08ED"/>
    <w:rsid w:val="006A2058"/>
    <w:rsid w:val="006A21CB"/>
    <w:rsid w:val="006A27F9"/>
    <w:rsid w:val="006A2F24"/>
    <w:rsid w:val="006A5BCC"/>
    <w:rsid w:val="006A668F"/>
    <w:rsid w:val="006A6F8D"/>
    <w:rsid w:val="006A7276"/>
    <w:rsid w:val="006A7EF2"/>
    <w:rsid w:val="006B0390"/>
    <w:rsid w:val="006B065E"/>
    <w:rsid w:val="006B08EB"/>
    <w:rsid w:val="006B0B54"/>
    <w:rsid w:val="006B11D0"/>
    <w:rsid w:val="006B13D1"/>
    <w:rsid w:val="006B4255"/>
    <w:rsid w:val="006B448C"/>
    <w:rsid w:val="006B481F"/>
    <w:rsid w:val="006B54AB"/>
    <w:rsid w:val="006B56B6"/>
    <w:rsid w:val="006B5BBB"/>
    <w:rsid w:val="006B5C72"/>
    <w:rsid w:val="006C04A7"/>
    <w:rsid w:val="006C0D83"/>
    <w:rsid w:val="006C1B7F"/>
    <w:rsid w:val="006C1E5B"/>
    <w:rsid w:val="006C1FE2"/>
    <w:rsid w:val="006C2076"/>
    <w:rsid w:val="006C2762"/>
    <w:rsid w:val="006C305D"/>
    <w:rsid w:val="006C39E9"/>
    <w:rsid w:val="006C3C67"/>
    <w:rsid w:val="006C3FBC"/>
    <w:rsid w:val="006C699B"/>
    <w:rsid w:val="006C75B3"/>
    <w:rsid w:val="006C7636"/>
    <w:rsid w:val="006D180D"/>
    <w:rsid w:val="006D183B"/>
    <w:rsid w:val="006D27F4"/>
    <w:rsid w:val="006D4386"/>
    <w:rsid w:val="006D476D"/>
    <w:rsid w:val="006D4DAC"/>
    <w:rsid w:val="006D4DD8"/>
    <w:rsid w:val="006D4F78"/>
    <w:rsid w:val="006D5918"/>
    <w:rsid w:val="006D5B0A"/>
    <w:rsid w:val="006D63C0"/>
    <w:rsid w:val="006D70D6"/>
    <w:rsid w:val="006D71F8"/>
    <w:rsid w:val="006D770A"/>
    <w:rsid w:val="006D7887"/>
    <w:rsid w:val="006E0EAF"/>
    <w:rsid w:val="006E10A8"/>
    <w:rsid w:val="006E1466"/>
    <w:rsid w:val="006E2790"/>
    <w:rsid w:val="006E2797"/>
    <w:rsid w:val="006E2D2C"/>
    <w:rsid w:val="006E3B90"/>
    <w:rsid w:val="006E479A"/>
    <w:rsid w:val="006E4CA1"/>
    <w:rsid w:val="006E4D65"/>
    <w:rsid w:val="006E4D88"/>
    <w:rsid w:val="006E4E93"/>
    <w:rsid w:val="006E5EDE"/>
    <w:rsid w:val="006E6214"/>
    <w:rsid w:val="006E74AB"/>
    <w:rsid w:val="006E78F8"/>
    <w:rsid w:val="006E7E9B"/>
    <w:rsid w:val="006E7FB5"/>
    <w:rsid w:val="006F138C"/>
    <w:rsid w:val="006F1483"/>
    <w:rsid w:val="006F2519"/>
    <w:rsid w:val="006F2FC9"/>
    <w:rsid w:val="006F3A38"/>
    <w:rsid w:val="006F427C"/>
    <w:rsid w:val="006F436F"/>
    <w:rsid w:val="006F5216"/>
    <w:rsid w:val="006F5EBC"/>
    <w:rsid w:val="006F6328"/>
    <w:rsid w:val="006F638E"/>
    <w:rsid w:val="006F67F4"/>
    <w:rsid w:val="006F6BC2"/>
    <w:rsid w:val="006F6D0F"/>
    <w:rsid w:val="006F78EC"/>
    <w:rsid w:val="006F7C80"/>
    <w:rsid w:val="006F7E6E"/>
    <w:rsid w:val="00700967"/>
    <w:rsid w:val="00701382"/>
    <w:rsid w:val="00701F54"/>
    <w:rsid w:val="007023EB"/>
    <w:rsid w:val="007026D4"/>
    <w:rsid w:val="0070329F"/>
    <w:rsid w:val="007033A9"/>
    <w:rsid w:val="00703CCF"/>
    <w:rsid w:val="00703E42"/>
    <w:rsid w:val="00704094"/>
    <w:rsid w:val="007045FC"/>
    <w:rsid w:val="00706928"/>
    <w:rsid w:val="00707E48"/>
    <w:rsid w:val="007108A2"/>
    <w:rsid w:val="007109EE"/>
    <w:rsid w:val="00710A27"/>
    <w:rsid w:val="00710C9F"/>
    <w:rsid w:val="00710D78"/>
    <w:rsid w:val="007113BD"/>
    <w:rsid w:val="007118D4"/>
    <w:rsid w:val="00712035"/>
    <w:rsid w:val="00712BA1"/>
    <w:rsid w:val="00712EB6"/>
    <w:rsid w:val="00713702"/>
    <w:rsid w:val="00714AD6"/>
    <w:rsid w:val="00715014"/>
    <w:rsid w:val="00715B0B"/>
    <w:rsid w:val="00715C8F"/>
    <w:rsid w:val="007161A6"/>
    <w:rsid w:val="007171D3"/>
    <w:rsid w:val="0071749B"/>
    <w:rsid w:val="00717BE2"/>
    <w:rsid w:val="0072011C"/>
    <w:rsid w:val="007202AE"/>
    <w:rsid w:val="0072066E"/>
    <w:rsid w:val="00720D0A"/>
    <w:rsid w:val="007211E6"/>
    <w:rsid w:val="00721C5B"/>
    <w:rsid w:val="00721E33"/>
    <w:rsid w:val="0072292B"/>
    <w:rsid w:val="00722A23"/>
    <w:rsid w:val="00723B28"/>
    <w:rsid w:val="0072401D"/>
    <w:rsid w:val="007244F9"/>
    <w:rsid w:val="0072452C"/>
    <w:rsid w:val="00724E88"/>
    <w:rsid w:val="00724FEA"/>
    <w:rsid w:val="0072545A"/>
    <w:rsid w:val="00725EC7"/>
    <w:rsid w:val="007272B0"/>
    <w:rsid w:val="0072766F"/>
    <w:rsid w:val="00727EB4"/>
    <w:rsid w:val="00730367"/>
    <w:rsid w:val="00730C75"/>
    <w:rsid w:val="00730F19"/>
    <w:rsid w:val="007314C1"/>
    <w:rsid w:val="0073157A"/>
    <w:rsid w:val="00731921"/>
    <w:rsid w:val="00731C94"/>
    <w:rsid w:val="00732949"/>
    <w:rsid w:val="007329F8"/>
    <w:rsid w:val="00733135"/>
    <w:rsid w:val="007336D2"/>
    <w:rsid w:val="00734675"/>
    <w:rsid w:val="00734945"/>
    <w:rsid w:val="00735078"/>
    <w:rsid w:val="007355CE"/>
    <w:rsid w:val="007360E3"/>
    <w:rsid w:val="0073668A"/>
    <w:rsid w:val="007368AD"/>
    <w:rsid w:val="00737296"/>
    <w:rsid w:val="00737556"/>
    <w:rsid w:val="00737AC7"/>
    <w:rsid w:val="0074092C"/>
    <w:rsid w:val="00741424"/>
    <w:rsid w:val="007425FA"/>
    <w:rsid w:val="007434E9"/>
    <w:rsid w:val="0074382F"/>
    <w:rsid w:val="00743B5B"/>
    <w:rsid w:val="00745618"/>
    <w:rsid w:val="0074562B"/>
    <w:rsid w:val="007459BC"/>
    <w:rsid w:val="00746797"/>
    <w:rsid w:val="007477C0"/>
    <w:rsid w:val="00747EEE"/>
    <w:rsid w:val="00750B2B"/>
    <w:rsid w:val="00750CCA"/>
    <w:rsid w:val="007516A0"/>
    <w:rsid w:val="007516DB"/>
    <w:rsid w:val="00751D2A"/>
    <w:rsid w:val="00751D6D"/>
    <w:rsid w:val="0075210C"/>
    <w:rsid w:val="00752EFA"/>
    <w:rsid w:val="00753760"/>
    <w:rsid w:val="0075415B"/>
    <w:rsid w:val="0075417F"/>
    <w:rsid w:val="007545A3"/>
    <w:rsid w:val="007548B7"/>
    <w:rsid w:val="00754945"/>
    <w:rsid w:val="00755095"/>
    <w:rsid w:val="0075524D"/>
    <w:rsid w:val="00755A32"/>
    <w:rsid w:val="00755B75"/>
    <w:rsid w:val="00755DD6"/>
    <w:rsid w:val="00756A24"/>
    <w:rsid w:val="00757F81"/>
    <w:rsid w:val="007607E1"/>
    <w:rsid w:val="007621C8"/>
    <w:rsid w:val="00763446"/>
    <w:rsid w:val="0076350A"/>
    <w:rsid w:val="00763DCE"/>
    <w:rsid w:val="0076407F"/>
    <w:rsid w:val="0076533C"/>
    <w:rsid w:val="00766871"/>
    <w:rsid w:val="00766B0C"/>
    <w:rsid w:val="0076718C"/>
    <w:rsid w:val="007679EA"/>
    <w:rsid w:val="0077171B"/>
    <w:rsid w:val="00771E54"/>
    <w:rsid w:val="00772064"/>
    <w:rsid w:val="00772284"/>
    <w:rsid w:val="0077232D"/>
    <w:rsid w:val="0077256D"/>
    <w:rsid w:val="00772EFF"/>
    <w:rsid w:val="00773D47"/>
    <w:rsid w:val="007742DF"/>
    <w:rsid w:val="0077445B"/>
    <w:rsid w:val="00775C8C"/>
    <w:rsid w:val="0077632E"/>
    <w:rsid w:val="007768B8"/>
    <w:rsid w:val="00776B85"/>
    <w:rsid w:val="00780CA6"/>
    <w:rsid w:val="00780E29"/>
    <w:rsid w:val="00781517"/>
    <w:rsid w:val="007820EF"/>
    <w:rsid w:val="00783510"/>
    <w:rsid w:val="007836C7"/>
    <w:rsid w:val="00783B16"/>
    <w:rsid w:val="0078406B"/>
    <w:rsid w:val="0078413F"/>
    <w:rsid w:val="00784984"/>
    <w:rsid w:val="00785055"/>
    <w:rsid w:val="00785266"/>
    <w:rsid w:val="007855F3"/>
    <w:rsid w:val="007856EA"/>
    <w:rsid w:val="007858B1"/>
    <w:rsid w:val="00785A40"/>
    <w:rsid w:val="00785F65"/>
    <w:rsid w:val="00786450"/>
    <w:rsid w:val="0078730A"/>
    <w:rsid w:val="00790760"/>
    <w:rsid w:val="00790859"/>
    <w:rsid w:val="00790EA1"/>
    <w:rsid w:val="00791066"/>
    <w:rsid w:val="00792158"/>
    <w:rsid w:val="00792600"/>
    <w:rsid w:val="007928A3"/>
    <w:rsid w:val="0079466A"/>
    <w:rsid w:val="00795BBE"/>
    <w:rsid w:val="00796774"/>
    <w:rsid w:val="00796A07"/>
    <w:rsid w:val="00797847"/>
    <w:rsid w:val="007A05D3"/>
    <w:rsid w:val="007A0632"/>
    <w:rsid w:val="007A0E1D"/>
    <w:rsid w:val="007A154F"/>
    <w:rsid w:val="007A17A8"/>
    <w:rsid w:val="007A1BFE"/>
    <w:rsid w:val="007A2C7D"/>
    <w:rsid w:val="007A414C"/>
    <w:rsid w:val="007A4B9A"/>
    <w:rsid w:val="007A5B59"/>
    <w:rsid w:val="007A5C5C"/>
    <w:rsid w:val="007A5FF8"/>
    <w:rsid w:val="007A641B"/>
    <w:rsid w:val="007A677A"/>
    <w:rsid w:val="007A69A3"/>
    <w:rsid w:val="007A7287"/>
    <w:rsid w:val="007A7AD3"/>
    <w:rsid w:val="007B00F3"/>
    <w:rsid w:val="007B10B4"/>
    <w:rsid w:val="007B131B"/>
    <w:rsid w:val="007B1744"/>
    <w:rsid w:val="007B276D"/>
    <w:rsid w:val="007B35C9"/>
    <w:rsid w:val="007B515A"/>
    <w:rsid w:val="007B5266"/>
    <w:rsid w:val="007B5ADA"/>
    <w:rsid w:val="007B5CAF"/>
    <w:rsid w:val="007C1250"/>
    <w:rsid w:val="007C2215"/>
    <w:rsid w:val="007C3128"/>
    <w:rsid w:val="007C32E8"/>
    <w:rsid w:val="007C3986"/>
    <w:rsid w:val="007C3B11"/>
    <w:rsid w:val="007C429E"/>
    <w:rsid w:val="007C5007"/>
    <w:rsid w:val="007C5E9A"/>
    <w:rsid w:val="007C6394"/>
    <w:rsid w:val="007C641B"/>
    <w:rsid w:val="007C698F"/>
    <w:rsid w:val="007C7065"/>
    <w:rsid w:val="007C729F"/>
    <w:rsid w:val="007C7D1B"/>
    <w:rsid w:val="007D0903"/>
    <w:rsid w:val="007D0B96"/>
    <w:rsid w:val="007D135D"/>
    <w:rsid w:val="007D1880"/>
    <w:rsid w:val="007D1983"/>
    <w:rsid w:val="007D2347"/>
    <w:rsid w:val="007D27A7"/>
    <w:rsid w:val="007D3558"/>
    <w:rsid w:val="007D3AB3"/>
    <w:rsid w:val="007D3B9A"/>
    <w:rsid w:val="007D3CD4"/>
    <w:rsid w:val="007D4296"/>
    <w:rsid w:val="007D461D"/>
    <w:rsid w:val="007D470F"/>
    <w:rsid w:val="007D4C2A"/>
    <w:rsid w:val="007D4E90"/>
    <w:rsid w:val="007D59BE"/>
    <w:rsid w:val="007D5DA7"/>
    <w:rsid w:val="007D62EF"/>
    <w:rsid w:val="007D660D"/>
    <w:rsid w:val="007D7A85"/>
    <w:rsid w:val="007E14A8"/>
    <w:rsid w:val="007E1810"/>
    <w:rsid w:val="007E1A6C"/>
    <w:rsid w:val="007E1BCF"/>
    <w:rsid w:val="007E1C61"/>
    <w:rsid w:val="007E2289"/>
    <w:rsid w:val="007E29B5"/>
    <w:rsid w:val="007E3C46"/>
    <w:rsid w:val="007E5C2C"/>
    <w:rsid w:val="007E677A"/>
    <w:rsid w:val="007F0C9C"/>
    <w:rsid w:val="007F10E3"/>
    <w:rsid w:val="007F137C"/>
    <w:rsid w:val="007F17B2"/>
    <w:rsid w:val="007F18B8"/>
    <w:rsid w:val="007F214A"/>
    <w:rsid w:val="007F2C0E"/>
    <w:rsid w:val="007F336B"/>
    <w:rsid w:val="007F3380"/>
    <w:rsid w:val="007F345C"/>
    <w:rsid w:val="007F395C"/>
    <w:rsid w:val="007F3E80"/>
    <w:rsid w:val="007F3F3C"/>
    <w:rsid w:val="007F40EE"/>
    <w:rsid w:val="007F43CA"/>
    <w:rsid w:val="007F5084"/>
    <w:rsid w:val="007F63FB"/>
    <w:rsid w:val="007F6B8F"/>
    <w:rsid w:val="007F6C20"/>
    <w:rsid w:val="007F6D14"/>
    <w:rsid w:val="007F6D8E"/>
    <w:rsid w:val="007F6EAA"/>
    <w:rsid w:val="007F7610"/>
    <w:rsid w:val="007F79BA"/>
    <w:rsid w:val="00800576"/>
    <w:rsid w:val="00800A1F"/>
    <w:rsid w:val="00800AE9"/>
    <w:rsid w:val="00802398"/>
    <w:rsid w:val="008024FD"/>
    <w:rsid w:val="008027A3"/>
    <w:rsid w:val="008031BB"/>
    <w:rsid w:val="0080374B"/>
    <w:rsid w:val="00803C7F"/>
    <w:rsid w:val="00804751"/>
    <w:rsid w:val="0080484B"/>
    <w:rsid w:val="00804AEB"/>
    <w:rsid w:val="00804BFC"/>
    <w:rsid w:val="008059F7"/>
    <w:rsid w:val="00806046"/>
    <w:rsid w:val="008062F6"/>
    <w:rsid w:val="00806330"/>
    <w:rsid w:val="00806C1B"/>
    <w:rsid w:val="00806E55"/>
    <w:rsid w:val="00807500"/>
    <w:rsid w:val="008076A7"/>
    <w:rsid w:val="008079F0"/>
    <w:rsid w:val="00807C76"/>
    <w:rsid w:val="0081108C"/>
    <w:rsid w:val="00811170"/>
    <w:rsid w:val="0081153F"/>
    <w:rsid w:val="00811BE8"/>
    <w:rsid w:val="00813410"/>
    <w:rsid w:val="00813AE2"/>
    <w:rsid w:val="0081410A"/>
    <w:rsid w:val="008141C5"/>
    <w:rsid w:val="00814B0E"/>
    <w:rsid w:val="0081522E"/>
    <w:rsid w:val="00816A7A"/>
    <w:rsid w:val="00816BB5"/>
    <w:rsid w:val="008170B2"/>
    <w:rsid w:val="008170D7"/>
    <w:rsid w:val="008175FC"/>
    <w:rsid w:val="00817A44"/>
    <w:rsid w:val="0082125D"/>
    <w:rsid w:val="00821C20"/>
    <w:rsid w:val="00821FF8"/>
    <w:rsid w:val="00823388"/>
    <w:rsid w:val="008236C8"/>
    <w:rsid w:val="00823D95"/>
    <w:rsid w:val="00824C49"/>
    <w:rsid w:val="00824CC8"/>
    <w:rsid w:val="00825020"/>
    <w:rsid w:val="00826031"/>
    <w:rsid w:val="008262CE"/>
    <w:rsid w:val="008263A2"/>
    <w:rsid w:val="00826414"/>
    <w:rsid w:val="008265C1"/>
    <w:rsid w:val="008270B1"/>
    <w:rsid w:val="008273CA"/>
    <w:rsid w:val="008301FD"/>
    <w:rsid w:val="00831445"/>
    <w:rsid w:val="008332E1"/>
    <w:rsid w:val="008337FF"/>
    <w:rsid w:val="0083401B"/>
    <w:rsid w:val="008350D0"/>
    <w:rsid w:val="00835343"/>
    <w:rsid w:val="008354FD"/>
    <w:rsid w:val="00836AD2"/>
    <w:rsid w:val="00836D17"/>
    <w:rsid w:val="00837028"/>
    <w:rsid w:val="00837263"/>
    <w:rsid w:val="00837E7A"/>
    <w:rsid w:val="00840449"/>
    <w:rsid w:val="00840A55"/>
    <w:rsid w:val="00840CEB"/>
    <w:rsid w:val="00840D83"/>
    <w:rsid w:val="00840E18"/>
    <w:rsid w:val="008412AE"/>
    <w:rsid w:val="008412E7"/>
    <w:rsid w:val="00841E25"/>
    <w:rsid w:val="00841FBD"/>
    <w:rsid w:val="00841FEA"/>
    <w:rsid w:val="0084365A"/>
    <w:rsid w:val="0084384B"/>
    <w:rsid w:val="00843F11"/>
    <w:rsid w:val="00844D8E"/>
    <w:rsid w:val="008454C6"/>
    <w:rsid w:val="00846269"/>
    <w:rsid w:val="008464CD"/>
    <w:rsid w:val="008466C8"/>
    <w:rsid w:val="0084684E"/>
    <w:rsid w:val="0084699D"/>
    <w:rsid w:val="00846B1A"/>
    <w:rsid w:val="0084798A"/>
    <w:rsid w:val="0085062E"/>
    <w:rsid w:val="008508F2"/>
    <w:rsid w:val="008513B0"/>
    <w:rsid w:val="008514C9"/>
    <w:rsid w:val="008515EE"/>
    <w:rsid w:val="008516E4"/>
    <w:rsid w:val="00852499"/>
    <w:rsid w:val="00852845"/>
    <w:rsid w:val="00852B53"/>
    <w:rsid w:val="00852BC8"/>
    <w:rsid w:val="00853F38"/>
    <w:rsid w:val="00854124"/>
    <w:rsid w:val="008550FB"/>
    <w:rsid w:val="00855488"/>
    <w:rsid w:val="00855566"/>
    <w:rsid w:val="00855917"/>
    <w:rsid w:val="00855D8C"/>
    <w:rsid w:val="0085600D"/>
    <w:rsid w:val="00856B1C"/>
    <w:rsid w:val="00856DCC"/>
    <w:rsid w:val="00856F7D"/>
    <w:rsid w:val="008575B9"/>
    <w:rsid w:val="008575E3"/>
    <w:rsid w:val="00857CDD"/>
    <w:rsid w:val="00860299"/>
    <w:rsid w:val="00860760"/>
    <w:rsid w:val="008609B3"/>
    <w:rsid w:val="008615F6"/>
    <w:rsid w:val="00861BD8"/>
    <w:rsid w:val="00861C4E"/>
    <w:rsid w:val="00861D3A"/>
    <w:rsid w:val="008622C8"/>
    <w:rsid w:val="00862667"/>
    <w:rsid w:val="00863543"/>
    <w:rsid w:val="008641D8"/>
    <w:rsid w:val="0086490E"/>
    <w:rsid w:val="008659B7"/>
    <w:rsid w:val="00866079"/>
    <w:rsid w:val="008661DF"/>
    <w:rsid w:val="00866327"/>
    <w:rsid w:val="00866D21"/>
    <w:rsid w:val="00866DF9"/>
    <w:rsid w:val="008676A1"/>
    <w:rsid w:val="00867796"/>
    <w:rsid w:val="00867E8C"/>
    <w:rsid w:val="008701C4"/>
    <w:rsid w:val="00870A20"/>
    <w:rsid w:val="00870D0E"/>
    <w:rsid w:val="008710FA"/>
    <w:rsid w:val="0087190C"/>
    <w:rsid w:val="008720E6"/>
    <w:rsid w:val="0087280B"/>
    <w:rsid w:val="00872D85"/>
    <w:rsid w:val="00872DCF"/>
    <w:rsid w:val="00873A9B"/>
    <w:rsid w:val="008740EE"/>
    <w:rsid w:val="008744DC"/>
    <w:rsid w:val="008745FB"/>
    <w:rsid w:val="00875620"/>
    <w:rsid w:val="00875720"/>
    <w:rsid w:val="008763AE"/>
    <w:rsid w:val="00876A2F"/>
    <w:rsid w:val="008773A6"/>
    <w:rsid w:val="0088147D"/>
    <w:rsid w:val="00881828"/>
    <w:rsid w:val="008818D7"/>
    <w:rsid w:val="00881DCA"/>
    <w:rsid w:val="00883446"/>
    <w:rsid w:val="00883DDA"/>
    <w:rsid w:val="00884CBD"/>
    <w:rsid w:val="00885EA8"/>
    <w:rsid w:val="00886648"/>
    <w:rsid w:val="00886791"/>
    <w:rsid w:val="00886F13"/>
    <w:rsid w:val="0088713B"/>
    <w:rsid w:val="008873E4"/>
    <w:rsid w:val="00890188"/>
    <w:rsid w:val="008903DF"/>
    <w:rsid w:val="00891755"/>
    <w:rsid w:val="00891FF9"/>
    <w:rsid w:val="00892298"/>
    <w:rsid w:val="008927D6"/>
    <w:rsid w:val="008928B2"/>
    <w:rsid w:val="00892DA2"/>
    <w:rsid w:val="00892E97"/>
    <w:rsid w:val="00893367"/>
    <w:rsid w:val="00893612"/>
    <w:rsid w:val="0089379F"/>
    <w:rsid w:val="008939F6"/>
    <w:rsid w:val="00893D07"/>
    <w:rsid w:val="00893EDD"/>
    <w:rsid w:val="00895F40"/>
    <w:rsid w:val="008978DC"/>
    <w:rsid w:val="00897F23"/>
    <w:rsid w:val="008A041A"/>
    <w:rsid w:val="008A0661"/>
    <w:rsid w:val="008A0929"/>
    <w:rsid w:val="008A1927"/>
    <w:rsid w:val="008A21C4"/>
    <w:rsid w:val="008A2435"/>
    <w:rsid w:val="008A2D4C"/>
    <w:rsid w:val="008A306D"/>
    <w:rsid w:val="008A43FC"/>
    <w:rsid w:val="008A442E"/>
    <w:rsid w:val="008A4C5C"/>
    <w:rsid w:val="008A4CED"/>
    <w:rsid w:val="008A5705"/>
    <w:rsid w:val="008A597A"/>
    <w:rsid w:val="008A65FD"/>
    <w:rsid w:val="008A66E4"/>
    <w:rsid w:val="008A6B05"/>
    <w:rsid w:val="008A7139"/>
    <w:rsid w:val="008A746B"/>
    <w:rsid w:val="008B0078"/>
    <w:rsid w:val="008B02A0"/>
    <w:rsid w:val="008B06FC"/>
    <w:rsid w:val="008B1D08"/>
    <w:rsid w:val="008B25DE"/>
    <w:rsid w:val="008B2746"/>
    <w:rsid w:val="008B2906"/>
    <w:rsid w:val="008B29AD"/>
    <w:rsid w:val="008B31CA"/>
    <w:rsid w:val="008B382B"/>
    <w:rsid w:val="008B3C64"/>
    <w:rsid w:val="008B40CD"/>
    <w:rsid w:val="008B53C4"/>
    <w:rsid w:val="008B76A1"/>
    <w:rsid w:val="008B7956"/>
    <w:rsid w:val="008B7FC5"/>
    <w:rsid w:val="008C0014"/>
    <w:rsid w:val="008C082D"/>
    <w:rsid w:val="008C0C5F"/>
    <w:rsid w:val="008C1B03"/>
    <w:rsid w:val="008C2B93"/>
    <w:rsid w:val="008C32F3"/>
    <w:rsid w:val="008C33BD"/>
    <w:rsid w:val="008C35C5"/>
    <w:rsid w:val="008C3722"/>
    <w:rsid w:val="008C3B67"/>
    <w:rsid w:val="008C3E91"/>
    <w:rsid w:val="008C3F48"/>
    <w:rsid w:val="008C4EDA"/>
    <w:rsid w:val="008C558F"/>
    <w:rsid w:val="008C5FDA"/>
    <w:rsid w:val="008C6418"/>
    <w:rsid w:val="008C6421"/>
    <w:rsid w:val="008C6913"/>
    <w:rsid w:val="008C697E"/>
    <w:rsid w:val="008C6BE6"/>
    <w:rsid w:val="008C71F8"/>
    <w:rsid w:val="008C726C"/>
    <w:rsid w:val="008C7585"/>
    <w:rsid w:val="008C7597"/>
    <w:rsid w:val="008C7FC9"/>
    <w:rsid w:val="008D1092"/>
    <w:rsid w:val="008D15CA"/>
    <w:rsid w:val="008D1610"/>
    <w:rsid w:val="008D32B9"/>
    <w:rsid w:val="008D3958"/>
    <w:rsid w:val="008D413C"/>
    <w:rsid w:val="008D49B4"/>
    <w:rsid w:val="008D49E5"/>
    <w:rsid w:val="008D50B5"/>
    <w:rsid w:val="008D51F4"/>
    <w:rsid w:val="008D5DD9"/>
    <w:rsid w:val="008D63B1"/>
    <w:rsid w:val="008D66CB"/>
    <w:rsid w:val="008D6C1E"/>
    <w:rsid w:val="008D705D"/>
    <w:rsid w:val="008D7498"/>
    <w:rsid w:val="008D76D9"/>
    <w:rsid w:val="008D76F8"/>
    <w:rsid w:val="008D7CC1"/>
    <w:rsid w:val="008E09BC"/>
    <w:rsid w:val="008E1594"/>
    <w:rsid w:val="008E275D"/>
    <w:rsid w:val="008E3FA2"/>
    <w:rsid w:val="008E4AE5"/>
    <w:rsid w:val="008E52ED"/>
    <w:rsid w:val="008E58C0"/>
    <w:rsid w:val="008E74D4"/>
    <w:rsid w:val="008E7687"/>
    <w:rsid w:val="008F06B6"/>
    <w:rsid w:val="008F13CC"/>
    <w:rsid w:val="008F167D"/>
    <w:rsid w:val="008F2B9B"/>
    <w:rsid w:val="008F2BDE"/>
    <w:rsid w:val="008F3259"/>
    <w:rsid w:val="008F344E"/>
    <w:rsid w:val="008F35D3"/>
    <w:rsid w:val="008F3620"/>
    <w:rsid w:val="008F444D"/>
    <w:rsid w:val="008F4EB7"/>
    <w:rsid w:val="008F563A"/>
    <w:rsid w:val="008F616B"/>
    <w:rsid w:val="008F65A5"/>
    <w:rsid w:val="008F6F4F"/>
    <w:rsid w:val="008F7898"/>
    <w:rsid w:val="00900056"/>
    <w:rsid w:val="009007AD"/>
    <w:rsid w:val="00900C13"/>
    <w:rsid w:val="009010F7"/>
    <w:rsid w:val="00901268"/>
    <w:rsid w:val="00901423"/>
    <w:rsid w:val="00901431"/>
    <w:rsid w:val="00901AD6"/>
    <w:rsid w:val="0090264C"/>
    <w:rsid w:val="00904773"/>
    <w:rsid w:val="00904CF0"/>
    <w:rsid w:val="0090573C"/>
    <w:rsid w:val="00905D44"/>
    <w:rsid w:val="0090720F"/>
    <w:rsid w:val="009072DA"/>
    <w:rsid w:val="00907454"/>
    <w:rsid w:val="009074E8"/>
    <w:rsid w:val="009103BF"/>
    <w:rsid w:val="009106E8"/>
    <w:rsid w:val="00910873"/>
    <w:rsid w:val="00910C47"/>
    <w:rsid w:val="009116EF"/>
    <w:rsid w:val="0091180C"/>
    <w:rsid w:val="00911C85"/>
    <w:rsid w:val="00912153"/>
    <w:rsid w:val="00912276"/>
    <w:rsid w:val="0091417F"/>
    <w:rsid w:val="0091438C"/>
    <w:rsid w:val="00915080"/>
    <w:rsid w:val="00915FF3"/>
    <w:rsid w:val="00916E44"/>
    <w:rsid w:val="00917054"/>
    <w:rsid w:val="0091727F"/>
    <w:rsid w:val="00917868"/>
    <w:rsid w:val="00917D0B"/>
    <w:rsid w:val="00917EED"/>
    <w:rsid w:val="009203A9"/>
    <w:rsid w:val="00920418"/>
    <w:rsid w:val="009223B4"/>
    <w:rsid w:val="00922CBC"/>
    <w:rsid w:val="0092342C"/>
    <w:rsid w:val="009236A3"/>
    <w:rsid w:val="00923B08"/>
    <w:rsid w:val="00923FD4"/>
    <w:rsid w:val="0092463B"/>
    <w:rsid w:val="00924A5F"/>
    <w:rsid w:val="00924B59"/>
    <w:rsid w:val="00924C6C"/>
    <w:rsid w:val="00924E24"/>
    <w:rsid w:val="00925C1D"/>
    <w:rsid w:val="00925CEA"/>
    <w:rsid w:val="00926450"/>
    <w:rsid w:val="00926F96"/>
    <w:rsid w:val="0092756B"/>
    <w:rsid w:val="00927698"/>
    <w:rsid w:val="00927F77"/>
    <w:rsid w:val="009302BC"/>
    <w:rsid w:val="00930502"/>
    <w:rsid w:val="00931A46"/>
    <w:rsid w:val="00932621"/>
    <w:rsid w:val="00932B7C"/>
    <w:rsid w:val="00932E96"/>
    <w:rsid w:val="00933960"/>
    <w:rsid w:val="00933E21"/>
    <w:rsid w:val="009340FC"/>
    <w:rsid w:val="00934AC7"/>
    <w:rsid w:val="009357C1"/>
    <w:rsid w:val="00935AC9"/>
    <w:rsid w:val="00936ACD"/>
    <w:rsid w:val="00937CE8"/>
    <w:rsid w:val="0094013C"/>
    <w:rsid w:val="00940350"/>
    <w:rsid w:val="009412C9"/>
    <w:rsid w:val="00941700"/>
    <w:rsid w:val="009418E6"/>
    <w:rsid w:val="00941A02"/>
    <w:rsid w:val="00942143"/>
    <w:rsid w:val="0094235F"/>
    <w:rsid w:val="0094279F"/>
    <w:rsid w:val="009429A5"/>
    <w:rsid w:val="00942E5B"/>
    <w:rsid w:val="009444B6"/>
    <w:rsid w:val="009454FD"/>
    <w:rsid w:val="00946AD5"/>
    <w:rsid w:val="00946B98"/>
    <w:rsid w:val="00946F41"/>
    <w:rsid w:val="0095015D"/>
    <w:rsid w:val="0095036E"/>
    <w:rsid w:val="0095052A"/>
    <w:rsid w:val="00950EB5"/>
    <w:rsid w:val="00951C06"/>
    <w:rsid w:val="009529B2"/>
    <w:rsid w:val="00952A0F"/>
    <w:rsid w:val="00953AF4"/>
    <w:rsid w:val="00953C53"/>
    <w:rsid w:val="00954465"/>
    <w:rsid w:val="00954973"/>
    <w:rsid w:val="00954ABD"/>
    <w:rsid w:val="00954F42"/>
    <w:rsid w:val="00955E20"/>
    <w:rsid w:val="00955F62"/>
    <w:rsid w:val="0095605A"/>
    <w:rsid w:val="00956D0B"/>
    <w:rsid w:val="00956D5A"/>
    <w:rsid w:val="009604E8"/>
    <w:rsid w:val="00960E5E"/>
    <w:rsid w:val="00960F5D"/>
    <w:rsid w:val="00961CE6"/>
    <w:rsid w:val="00962182"/>
    <w:rsid w:val="009621B2"/>
    <w:rsid w:val="00964C26"/>
    <w:rsid w:val="00964F17"/>
    <w:rsid w:val="00964FC4"/>
    <w:rsid w:val="00965151"/>
    <w:rsid w:val="009658F0"/>
    <w:rsid w:val="00965B22"/>
    <w:rsid w:val="00966607"/>
    <w:rsid w:val="00966C81"/>
    <w:rsid w:val="009671BD"/>
    <w:rsid w:val="00967757"/>
    <w:rsid w:val="00967E7F"/>
    <w:rsid w:val="0097125E"/>
    <w:rsid w:val="00971655"/>
    <w:rsid w:val="00971950"/>
    <w:rsid w:val="00971C63"/>
    <w:rsid w:val="009730A6"/>
    <w:rsid w:val="00973271"/>
    <w:rsid w:val="00973660"/>
    <w:rsid w:val="00973ECF"/>
    <w:rsid w:val="00974068"/>
    <w:rsid w:val="009741F8"/>
    <w:rsid w:val="009742FB"/>
    <w:rsid w:val="00974736"/>
    <w:rsid w:val="00974876"/>
    <w:rsid w:val="009748A2"/>
    <w:rsid w:val="00974DDC"/>
    <w:rsid w:val="00975139"/>
    <w:rsid w:val="0097532B"/>
    <w:rsid w:val="00975474"/>
    <w:rsid w:val="0097649B"/>
    <w:rsid w:val="0097652B"/>
    <w:rsid w:val="00976983"/>
    <w:rsid w:val="00977218"/>
    <w:rsid w:val="00977352"/>
    <w:rsid w:val="00977395"/>
    <w:rsid w:val="009775DF"/>
    <w:rsid w:val="009803D1"/>
    <w:rsid w:val="0098153C"/>
    <w:rsid w:val="0098181A"/>
    <w:rsid w:val="00982231"/>
    <w:rsid w:val="00982AF5"/>
    <w:rsid w:val="00983411"/>
    <w:rsid w:val="00984293"/>
    <w:rsid w:val="00984C4B"/>
    <w:rsid w:val="00985A69"/>
    <w:rsid w:val="00985CBA"/>
    <w:rsid w:val="00986D27"/>
    <w:rsid w:val="009879E2"/>
    <w:rsid w:val="009909E7"/>
    <w:rsid w:val="00990CDE"/>
    <w:rsid w:val="00990FD9"/>
    <w:rsid w:val="0099102F"/>
    <w:rsid w:val="00991435"/>
    <w:rsid w:val="00991876"/>
    <w:rsid w:val="00991A0A"/>
    <w:rsid w:val="00991EDD"/>
    <w:rsid w:val="00992B9F"/>
    <w:rsid w:val="009934D8"/>
    <w:rsid w:val="009934E3"/>
    <w:rsid w:val="00994B30"/>
    <w:rsid w:val="00994D62"/>
    <w:rsid w:val="00994F63"/>
    <w:rsid w:val="009963E7"/>
    <w:rsid w:val="00996D3A"/>
    <w:rsid w:val="009A25DE"/>
    <w:rsid w:val="009A2779"/>
    <w:rsid w:val="009A33FA"/>
    <w:rsid w:val="009A341D"/>
    <w:rsid w:val="009A38F8"/>
    <w:rsid w:val="009A4AE9"/>
    <w:rsid w:val="009A4CD0"/>
    <w:rsid w:val="009A5AA2"/>
    <w:rsid w:val="009A5E3A"/>
    <w:rsid w:val="009A6C18"/>
    <w:rsid w:val="009B09C5"/>
    <w:rsid w:val="009B0D1C"/>
    <w:rsid w:val="009B15AA"/>
    <w:rsid w:val="009B1E03"/>
    <w:rsid w:val="009B204B"/>
    <w:rsid w:val="009B2A3A"/>
    <w:rsid w:val="009B2B01"/>
    <w:rsid w:val="009B2BD3"/>
    <w:rsid w:val="009B30EF"/>
    <w:rsid w:val="009B343D"/>
    <w:rsid w:val="009B3C96"/>
    <w:rsid w:val="009B47A7"/>
    <w:rsid w:val="009B5235"/>
    <w:rsid w:val="009B5878"/>
    <w:rsid w:val="009B70E8"/>
    <w:rsid w:val="009B7701"/>
    <w:rsid w:val="009B77B5"/>
    <w:rsid w:val="009C0A54"/>
    <w:rsid w:val="009C1593"/>
    <w:rsid w:val="009C16F5"/>
    <w:rsid w:val="009C1B31"/>
    <w:rsid w:val="009C1DEC"/>
    <w:rsid w:val="009C1E47"/>
    <w:rsid w:val="009C2242"/>
    <w:rsid w:val="009C398C"/>
    <w:rsid w:val="009C3F50"/>
    <w:rsid w:val="009C40E1"/>
    <w:rsid w:val="009C4277"/>
    <w:rsid w:val="009C43D5"/>
    <w:rsid w:val="009C46E8"/>
    <w:rsid w:val="009C5993"/>
    <w:rsid w:val="009C64A9"/>
    <w:rsid w:val="009C71D5"/>
    <w:rsid w:val="009C7632"/>
    <w:rsid w:val="009C797F"/>
    <w:rsid w:val="009C7D77"/>
    <w:rsid w:val="009C7E36"/>
    <w:rsid w:val="009D059B"/>
    <w:rsid w:val="009D0E04"/>
    <w:rsid w:val="009D0E5F"/>
    <w:rsid w:val="009D153B"/>
    <w:rsid w:val="009D1847"/>
    <w:rsid w:val="009D1B03"/>
    <w:rsid w:val="009D1D7A"/>
    <w:rsid w:val="009D3635"/>
    <w:rsid w:val="009D4370"/>
    <w:rsid w:val="009D449A"/>
    <w:rsid w:val="009D454B"/>
    <w:rsid w:val="009D4588"/>
    <w:rsid w:val="009D6A7F"/>
    <w:rsid w:val="009D71D5"/>
    <w:rsid w:val="009D764E"/>
    <w:rsid w:val="009E1C0C"/>
    <w:rsid w:val="009E2E65"/>
    <w:rsid w:val="009E3977"/>
    <w:rsid w:val="009E3EBA"/>
    <w:rsid w:val="009E420B"/>
    <w:rsid w:val="009E4BA9"/>
    <w:rsid w:val="009E665B"/>
    <w:rsid w:val="009E6C80"/>
    <w:rsid w:val="009E72A9"/>
    <w:rsid w:val="009E7DAD"/>
    <w:rsid w:val="009F092B"/>
    <w:rsid w:val="009F0A4D"/>
    <w:rsid w:val="009F0AE8"/>
    <w:rsid w:val="009F20AF"/>
    <w:rsid w:val="009F26E8"/>
    <w:rsid w:val="009F30FC"/>
    <w:rsid w:val="009F32BC"/>
    <w:rsid w:val="009F3816"/>
    <w:rsid w:val="009F49D0"/>
    <w:rsid w:val="009F49F8"/>
    <w:rsid w:val="009F4B43"/>
    <w:rsid w:val="009F4F5E"/>
    <w:rsid w:val="009F54AD"/>
    <w:rsid w:val="009F72FD"/>
    <w:rsid w:val="009F7868"/>
    <w:rsid w:val="009F7CE4"/>
    <w:rsid w:val="00A001F3"/>
    <w:rsid w:val="00A01873"/>
    <w:rsid w:val="00A01E96"/>
    <w:rsid w:val="00A0291E"/>
    <w:rsid w:val="00A043B7"/>
    <w:rsid w:val="00A054DD"/>
    <w:rsid w:val="00A05B91"/>
    <w:rsid w:val="00A10218"/>
    <w:rsid w:val="00A10300"/>
    <w:rsid w:val="00A10768"/>
    <w:rsid w:val="00A10A10"/>
    <w:rsid w:val="00A10EF8"/>
    <w:rsid w:val="00A11162"/>
    <w:rsid w:val="00A118BC"/>
    <w:rsid w:val="00A11AA2"/>
    <w:rsid w:val="00A11E21"/>
    <w:rsid w:val="00A130F8"/>
    <w:rsid w:val="00A13674"/>
    <w:rsid w:val="00A143A5"/>
    <w:rsid w:val="00A14530"/>
    <w:rsid w:val="00A159A5"/>
    <w:rsid w:val="00A168C3"/>
    <w:rsid w:val="00A16BEB"/>
    <w:rsid w:val="00A20001"/>
    <w:rsid w:val="00A2075B"/>
    <w:rsid w:val="00A215F0"/>
    <w:rsid w:val="00A2175D"/>
    <w:rsid w:val="00A2283B"/>
    <w:rsid w:val="00A228CE"/>
    <w:rsid w:val="00A22AEC"/>
    <w:rsid w:val="00A23C07"/>
    <w:rsid w:val="00A2495C"/>
    <w:rsid w:val="00A2510E"/>
    <w:rsid w:val="00A25E64"/>
    <w:rsid w:val="00A26034"/>
    <w:rsid w:val="00A26920"/>
    <w:rsid w:val="00A26E11"/>
    <w:rsid w:val="00A277E7"/>
    <w:rsid w:val="00A27C77"/>
    <w:rsid w:val="00A27E0F"/>
    <w:rsid w:val="00A300FF"/>
    <w:rsid w:val="00A301B7"/>
    <w:rsid w:val="00A306E7"/>
    <w:rsid w:val="00A30C3D"/>
    <w:rsid w:val="00A31075"/>
    <w:rsid w:val="00A310C1"/>
    <w:rsid w:val="00A310CC"/>
    <w:rsid w:val="00A31D84"/>
    <w:rsid w:val="00A32039"/>
    <w:rsid w:val="00A325DB"/>
    <w:rsid w:val="00A325F7"/>
    <w:rsid w:val="00A326F9"/>
    <w:rsid w:val="00A32AE0"/>
    <w:rsid w:val="00A332C1"/>
    <w:rsid w:val="00A336A1"/>
    <w:rsid w:val="00A3372A"/>
    <w:rsid w:val="00A3390F"/>
    <w:rsid w:val="00A34DA2"/>
    <w:rsid w:val="00A369C5"/>
    <w:rsid w:val="00A36AD1"/>
    <w:rsid w:val="00A36C35"/>
    <w:rsid w:val="00A376B8"/>
    <w:rsid w:val="00A37700"/>
    <w:rsid w:val="00A378B6"/>
    <w:rsid w:val="00A37A58"/>
    <w:rsid w:val="00A37C87"/>
    <w:rsid w:val="00A37D64"/>
    <w:rsid w:val="00A430DD"/>
    <w:rsid w:val="00A43227"/>
    <w:rsid w:val="00A434E8"/>
    <w:rsid w:val="00A4364D"/>
    <w:rsid w:val="00A4391A"/>
    <w:rsid w:val="00A44AE0"/>
    <w:rsid w:val="00A459C2"/>
    <w:rsid w:val="00A45C92"/>
    <w:rsid w:val="00A45CE0"/>
    <w:rsid w:val="00A46503"/>
    <w:rsid w:val="00A46CCD"/>
    <w:rsid w:val="00A50A55"/>
    <w:rsid w:val="00A50D2D"/>
    <w:rsid w:val="00A5143D"/>
    <w:rsid w:val="00A51487"/>
    <w:rsid w:val="00A52ED0"/>
    <w:rsid w:val="00A53043"/>
    <w:rsid w:val="00A548AD"/>
    <w:rsid w:val="00A54A27"/>
    <w:rsid w:val="00A54F60"/>
    <w:rsid w:val="00A55504"/>
    <w:rsid w:val="00A55A40"/>
    <w:rsid w:val="00A55BB8"/>
    <w:rsid w:val="00A55C6B"/>
    <w:rsid w:val="00A56ECD"/>
    <w:rsid w:val="00A57E35"/>
    <w:rsid w:val="00A57F2F"/>
    <w:rsid w:val="00A60920"/>
    <w:rsid w:val="00A610A4"/>
    <w:rsid w:val="00A6138C"/>
    <w:rsid w:val="00A61ADE"/>
    <w:rsid w:val="00A62A14"/>
    <w:rsid w:val="00A632D2"/>
    <w:rsid w:val="00A63952"/>
    <w:rsid w:val="00A64041"/>
    <w:rsid w:val="00A641B6"/>
    <w:rsid w:val="00A6476E"/>
    <w:rsid w:val="00A64CD9"/>
    <w:rsid w:val="00A64E73"/>
    <w:rsid w:val="00A65133"/>
    <w:rsid w:val="00A651BA"/>
    <w:rsid w:val="00A652C5"/>
    <w:rsid w:val="00A65F47"/>
    <w:rsid w:val="00A660AC"/>
    <w:rsid w:val="00A6610B"/>
    <w:rsid w:val="00A6612E"/>
    <w:rsid w:val="00A673CF"/>
    <w:rsid w:val="00A719DB"/>
    <w:rsid w:val="00A71BDF"/>
    <w:rsid w:val="00A73787"/>
    <w:rsid w:val="00A73B31"/>
    <w:rsid w:val="00A73E4C"/>
    <w:rsid w:val="00A73EB2"/>
    <w:rsid w:val="00A74560"/>
    <w:rsid w:val="00A7500C"/>
    <w:rsid w:val="00A758EE"/>
    <w:rsid w:val="00A7598A"/>
    <w:rsid w:val="00A75C1F"/>
    <w:rsid w:val="00A75EC8"/>
    <w:rsid w:val="00A768E4"/>
    <w:rsid w:val="00A768F0"/>
    <w:rsid w:val="00A76AFB"/>
    <w:rsid w:val="00A76F0E"/>
    <w:rsid w:val="00A80BBF"/>
    <w:rsid w:val="00A81056"/>
    <w:rsid w:val="00A810FC"/>
    <w:rsid w:val="00A81733"/>
    <w:rsid w:val="00A81990"/>
    <w:rsid w:val="00A81C3E"/>
    <w:rsid w:val="00A827F3"/>
    <w:rsid w:val="00A831BC"/>
    <w:rsid w:val="00A84315"/>
    <w:rsid w:val="00A85C5A"/>
    <w:rsid w:val="00A87064"/>
    <w:rsid w:val="00A875A9"/>
    <w:rsid w:val="00A87604"/>
    <w:rsid w:val="00A877EC"/>
    <w:rsid w:val="00A908AA"/>
    <w:rsid w:val="00A91499"/>
    <w:rsid w:val="00A918C8"/>
    <w:rsid w:val="00A921AB"/>
    <w:rsid w:val="00A9238F"/>
    <w:rsid w:val="00A92472"/>
    <w:rsid w:val="00A93206"/>
    <w:rsid w:val="00A93796"/>
    <w:rsid w:val="00A93ED2"/>
    <w:rsid w:val="00A94324"/>
    <w:rsid w:val="00A94904"/>
    <w:rsid w:val="00A949B4"/>
    <w:rsid w:val="00A95C57"/>
    <w:rsid w:val="00A966C8"/>
    <w:rsid w:val="00A96A08"/>
    <w:rsid w:val="00A96EDF"/>
    <w:rsid w:val="00A97A9F"/>
    <w:rsid w:val="00A97B40"/>
    <w:rsid w:val="00AA0161"/>
    <w:rsid w:val="00AA09AE"/>
    <w:rsid w:val="00AA2113"/>
    <w:rsid w:val="00AA22B6"/>
    <w:rsid w:val="00AA2B7F"/>
    <w:rsid w:val="00AA41B4"/>
    <w:rsid w:val="00AA4E4C"/>
    <w:rsid w:val="00AA638F"/>
    <w:rsid w:val="00AA6AFE"/>
    <w:rsid w:val="00AA717F"/>
    <w:rsid w:val="00AA7E93"/>
    <w:rsid w:val="00AB0A8E"/>
    <w:rsid w:val="00AB1742"/>
    <w:rsid w:val="00AB1D08"/>
    <w:rsid w:val="00AB333E"/>
    <w:rsid w:val="00AB36A1"/>
    <w:rsid w:val="00AB4345"/>
    <w:rsid w:val="00AB45B2"/>
    <w:rsid w:val="00AB4F71"/>
    <w:rsid w:val="00AB4F79"/>
    <w:rsid w:val="00AB50D9"/>
    <w:rsid w:val="00AB5BD7"/>
    <w:rsid w:val="00AB5C0D"/>
    <w:rsid w:val="00AB612F"/>
    <w:rsid w:val="00AB6B32"/>
    <w:rsid w:val="00AB7794"/>
    <w:rsid w:val="00AC0135"/>
    <w:rsid w:val="00AC02B5"/>
    <w:rsid w:val="00AC070D"/>
    <w:rsid w:val="00AC0BC2"/>
    <w:rsid w:val="00AC105B"/>
    <w:rsid w:val="00AC13EA"/>
    <w:rsid w:val="00AC1514"/>
    <w:rsid w:val="00AC1B94"/>
    <w:rsid w:val="00AC248B"/>
    <w:rsid w:val="00AC2E36"/>
    <w:rsid w:val="00AC2FF4"/>
    <w:rsid w:val="00AC36F9"/>
    <w:rsid w:val="00AC39D9"/>
    <w:rsid w:val="00AC4CFC"/>
    <w:rsid w:val="00AC5753"/>
    <w:rsid w:val="00AC5930"/>
    <w:rsid w:val="00AC5E51"/>
    <w:rsid w:val="00AC6557"/>
    <w:rsid w:val="00AC677B"/>
    <w:rsid w:val="00AC6D3E"/>
    <w:rsid w:val="00AC6F25"/>
    <w:rsid w:val="00AC76DA"/>
    <w:rsid w:val="00AD0036"/>
    <w:rsid w:val="00AD0594"/>
    <w:rsid w:val="00AD05A6"/>
    <w:rsid w:val="00AD0616"/>
    <w:rsid w:val="00AD0753"/>
    <w:rsid w:val="00AD1E73"/>
    <w:rsid w:val="00AD2202"/>
    <w:rsid w:val="00AD34FF"/>
    <w:rsid w:val="00AD4DE6"/>
    <w:rsid w:val="00AD5DDD"/>
    <w:rsid w:val="00AD634F"/>
    <w:rsid w:val="00AD63C1"/>
    <w:rsid w:val="00AD698C"/>
    <w:rsid w:val="00AD78EF"/>
    <w:rsid w:val="00AE014D"/>
    <w:rsid w:val="00AE0A48"/>
    <w:rsid w:val="00AE27A2"/>
    <w:rsid w:val="00AE2B44"/>
    <w:rsid w:val="00AE2F1F"/>
    <w:rsid w:val="00AE3356"/>
    <w:rsid w:val="00AE42A3"/>
    <w:rsid w:val="00AE43C4"/>
    <w:rsid w:val="00AE4EAC"/>
    <w:rsid w:val="00AE5609"/>
    <w:rsid w:val="00AE5633"/>
    <w:rsid w:val="00AE58B0"/>
    <w:rsid w:val="00AE636D"/>
    <w:rsid w:val="00AE678A"/>
    <w:rsid w:val="00AE6DBC"/>
    <w:rsid w:val="00AE7541"/>
    <w:rsid w:val="00AF16A9"/>
    <w:rsid w:val="00AF235D"/>
    <w:rsid w:val="00AF2AFF"/>
    <w:rsid w:val="00AF30DE"/>
    <w:rsid w:val="00AF3E95"/>
    <w:rsid w:val="00AF4AE6"/>
    <w:rsid w:val="00AF4FAD"/>
    <w:rsid w:val="00AF5F10"/>
    <w:rsid w:val="00AF688C"/>
    <w:rsid w:val="00AF6E3D"/>
    <w:rsid w:val="00AF7374"/>
    <w:rsid w:val="00AF7C67"/>
    <w:rsid w:val="00AF7F18"/>
    <w:rsid w:val="00B00145"/>
    <w:rsid w:val="00B020CC"/>
    <w:rsid w:val="00B024AA"/>
    <w:rsid w:val="00B02A6D"/>
    <w:rsid w:val="00B03324"/>
    <w:rsid w:val="00B03942"/>
    <w:rsid w:val="00B03A75"/>
    <w:rsid w:val="00B04459"/>
    <w:rsid w:val="00B05919"/>
    <w:rsid w:val="00B059DF"/>
    <w:rsid w:val="00B05A13"/>
    <w:rsid w:val="00B061C8"/>
    <w:rsid w:val="00B06A99"/>
    <w:rsid w:val="00B06E6B"/>
    <w:rsid w:val="00B0701B"/>
    <w:rsid w:val="00B101A5"/>
    <w:rsid w:val="00B1029D"/>
    <w:rsid w:val="00B11AD7"/>
    <w:rsid w:val="00B11D10"/>
    <w:rsid w:val="00B11D75"/>
    <w:rsid w:val="00B12311"/>
    <w:rsid w:val="00B124E9"/>
    <w:rsid w:val="00B12B64"/>
    <w:rsid w:val="00B13240"/>
    <w:rsid w:val="00B13933"/>
    <w:rsid w:val="00B13CC4"/>
    <w:rsid w:val="00B14A0C"/>
    <w:rsid w:val="00B152A2"/>
    <w:rsid w:val="00B15FE9"/>
    <w:rsid w:val="00B1645F"/>
    <w:rsid w:val="00B16FF4"/>
    <w:rsid w:val="00B172C0"/>
    <w:rsid w:val="00B173E3"/>
    <w:rsid w:val="00B17E10"/>
    <w:rsid w:val="00B20058"/>
    <w:rsid w:val="00B20491"/>
    <w:rsid w:val="00B205AA"/>
    <w:rsid w:val="00B21022"/>
    <w:rsid w:val="00B2122A"/>
    <w:rsid w:val="00B219D7"/>
    <w:rsid w:val="00B227E4"/>
    <w:rsid w:val="00B2304F"/>
    <w:rsid w:val="00B232CB"/>
    <w:rsid w:val="00B24247"/>
    <w:rsid w:val="00B24FF7"/>
    <w:rsid w:val="00B27130"/>
    <w:rsid w:val="00B271B7"/>
    <w:rsid w:val="00B27711"/>
    <w:rsid w:val="00B27A11"/>
    <w:rsid w:val="00B3061F"/>
    <w:rsid w:val="00B307CA"/>
    <w:rsid w:val="00B31C70"/>
    <w:rsid w:val="00B322E9"/>
    <w:rsid w:val="00B328C0"/>
    <w:rsid w:val="00B341C5"/>
    <w:rsid w:val="00B347B4"/>
    <w:rsid w:val="00B3535A"/>
    <w:rsid w:val="00B35A07"/>
    <w:rsid w:val="00B36673"/>
    <w:rsid w:val="00B37226"/>
    <w:rsid w:val="00B37F88"/>
    <w:rsid w:val="00B402D2"/>
    <w:rsid w:val="00B40456"/>
    <w:rsid w:val="00B40DDB"/>
    <w:rsid w:val="00B417B8"/>
    <w:rsid w:val="00B42217"/>
    <w:rsid w:val="00B42BCA"/>
    <w:rsid w:val="00B42D27"/>
    <w:rsid w:val="00B43B78"/>
    <w:rsid w:val="00B4437A"/>
    <w:rsid w:val="00B45769"/>
    <w:rsid w:val="00B45793"/>
    <w:rsid w:val="00B45EB0"/>
    <w:rsid w:val="00B46871"/>
    <w:rsid w:val="00B47892"/>
    <w:rsid w:val="00B4797B"/>
    <w:rsid w:val="00B47BE8"/>
    <w:rsid w:val="00B47D58"/>
    <w:rsid w:val="00B50596"/>
    <w:rsid w:val="00B506DB"/>
    <w:rsid w:val="00B50DC5"/>
    <w:rsid w:val="00B50DFB"/>
    <w:rsid w:val="00B5122D"/>
    <w:rsid w:val="00B5170F"/>
    <w:rsid w:val="00B51883"/>
    <w:rsid w:val="00B51DCD"/>
    <w:rsid w:val="00B5228A"/>
    <w:rsid w:val="00B523B1"/>
    <w:rsid w:val="00B524AF"/>
    <w:rsid w:val="00B527A3"/>
    <w:rsid w:val="00B52902"/>
    <w:rsid w:val="00B53444"/>
    <w:rsid w:val="00B53938"/>
    <w:rsid w:val="00B53AD1"/>
    <w:rsid w:val="00B54743"/>
    <w:rsid w:val="00B54987"/>
    <w:rsid w:val="00B552AA"/>
    <w:rsid w:val="00B56A8D"/>
    <w:rsid w:val="00B57509"/>
    <w:rsid w:val="00B57651"/>
    <w:rsid w:val="00B57C42"/>
    <w:rsid w:val="00B60CD4"/>
    <w:rsid w:val="00B61001"/>
    <w:rsid w:val="00B61FD4"/>
    <w:rsid w:val="00B622E9"/>
    <w:rsid w:val="00B62A1E"/>
    <w:rsid w:val="00B62AC5"/>
    <w:rsid w:val="00B62C96"/>
    <w:rsid w:val="00B63444"/>
    <w:rsid w:val="00B636DA"/>
    <w:rsid w:val="00B638D5"/>
    <w:rsid w:val="00B640CD"/>
    <w:rsid w:val="00B66292"/>
    <w:rsid w:val="00B662C5"/>
    <w:rsid w:val="00B66B19"/>
    <w:rsid w:val="00B66F95"/>
    <w:rsid w:val="00B67447"/>
    <w:rsid w:val="00B674DB"/>
    <w:rsid w:val="00B675F2"/>
    <w:rsid w:val="00B71534"/>
    <w:rsid w:val="00B71979"/>
    <w:rsid w:val="00B71C6D"/>
    <w:rsid w:val="00B72062"/>
    <w:rsid w:val="00B723EC"/>
    <w:rsid w:val="00B72924"/>
    <w:rsid w:val="00B73E35"/>
    <w:rsid w:val="00B73F44"/>
    <w:rsid w:val="00B74628"/>
    <w:rsid w:val="00B746F1"/>
    <w:rsid w:val="00B74D5B"/>
    <w:rsid w:val="00B75DB2"/>
    <w:rsid w:val="00B76392"/>
    <w:rsid w:val="00B76438"/>
    <w:rsid w:val="00B76785"/>
    <w:rsid w:val="00B76EC4"/>
    <w:rsid w:val="00B7756C"/>
    <w:rsid w:val="00B77954"/>
    <w:rsid w:val="00B80A8D"/>
    <w:rsid w:val="00B80DCD"/>
    <w:rsid w:val="00B81D65"/>
    <w:rsid w:val="00B82360"/>
    <w:rsid w:val="00B82E8D"/>
    <w:rsid w:val="00B83B8B"/>
    <w:rsid w:val="00B84BA6"/>
    <w:rsid w:val="00B851D6"/>
    <w:rsid w:val="00B85426"/>
    <w:rsid w:val="00B85991"/>
    <w:rsid w:val="00B86B93"/>
    <w:rsid w:val="00B8718A"/>
    <w:rsid w:val="00B8739B"/>
    <w:rsid w:val="00B876D2"/>
    <w:rsid w:val="00B87A75"/>
    <w:rsid w:val="00B90390"/>
    <w:rsid w:val="00B91D79"/>
    <w:rsid w:val="00B9264D"/>
    <w:rsid w:val="00B9272B"/>
    <w:rsid w:val="00B92E3D"/>
    <w:rsid w:val="00B92E7B"/>
    <w:rsid w:val="00B93011"/>
    <w:rsid w:val="00B9329F"/>
    <w:rsid w:val="00B93398"/>
    <w:rsid w:val="00B944BE"/>
    <w:rsid w:val="00B94D99"/>
    <w:rsid w:val="00B95B4B"/>
    <w:rsid w:val="00B95DED"/>
    <w:rsid w:val="00B9652C"/>
    <w:rsid w:val="00B96C00"/>
    <w:rsid w:val="00B97106"/>
    <w:rsid w:val="00B97825"/>
    <w:rsid w:val="00B97F9D"/>
    <w:rsid w:val="00BA0451"/>
    <w:rsid w:val="00BA0BF9"/>
    <w:rsid w:val="00BA0C1A"/>
    <w:rsid w:val="00BA0D0F"/>
    <w:rsid w:val="00BA1158"/>
    <w:rsid w:val="00BA1B30"/>
    <w:rsid w:val="00BA1B7E"/>
    <w:rsid w:val="00BA2DC4"/>
    <w:rsid w:val="00BA2ED9"/>
    <w:rsid w:val="00BA309F"/>
    <w:rsid w:val="00BA3786"/>
    <w:rsid w:val="00BA38EF"/>
    <w:rsid w:val="00BA3B2F"/>
    <w:rsid w:val="00BA3D5D"/>
    <w:rsid w:val="00BA5147"/>
    <w:rsid w:val="00BA5C38"/>
    <w:rsid w:val="00BA5DC0"/>
    <w:rsid w:val="00BA65F7"/>
    <w:rsid w:val="00BA67DA"/>
    <w:rsid w:val="00BA6BCA"/>
    <w:rsid w:val="00BA6C74"/>
    <w:rsid w:val="00BA6EE5"/>
    <w:rsid w:val="00BA7508"/>
    <w:rsid w:val="00BA788E"/>
    <w:rsid w:val="00BA7FE4"/>
    <w:rsid w:val="00BB18F1"/>
    <w:rsid w:val="00BB1BFF"/>
    <w:rsid w:val="00BB23A8"/>
    <w:rsid w:val="00BB2459"/>
    <w:rsid w:val="00BB24C0"/>
    <w:rsid w:val="00BB2ADC"/>
    <w:rsid w:val="00BB3EBF"/>
    <w:rsid w:val="00BB3FA1"/>
    <w:rsid w:val="00BB4555"/>
    <w:rsid w:val="00BB4814"/>
    <w:rsid w:val="00BB4DE8"/>
    <w:rsid w:val="00BB52D9"/>
    <w:rsid w:val="00BB56A3"/>
    <w:rsid w:val="00BB62BB"/>
    <w:rsid w:val="00BB64E6"/>
    <w:rsid w:val="00BB6F8D"/>
    <w:rsid w:val="00BB761E"/>
    <w:rsid w:val="00BB79E7"/>
    <w:rsid w:val="00BB7D64"/>
    <w:rsid w:val="00BC00FE"/>
    <w:rsid w:val="00BC05C5"/>
    <w:rsid w:val="00BC0FD1"/>
    <w:rsid w:val="00BC12B6"/>
    <w:rsid w:val="00BC16E8"/>
    <w:rsid w:val="00BC1A32"/>
    <w:rsid w:val="00BC1EA3"/>
    <w:rsid w:val="00BC25AF"/>
    <w:rsid w:val="00BC271C"/>
    <w:rsid w:val="00BC27B6"/>
    <w:rsid w:val="00BC2B94"/>
    <w:rsid w:val="00BC2E5F"/>
    <w:rsid w:val="00BC3963"/>
    <w:rsid w:val="00BC3C4F"/>
    <w:rsid w:val="00BC41AA"/>
    <w:rsid w:val="00BC421D"/>
    <w:rsid w:val="00BC49BC"/>
    <w:rsid w:val="00BC4AA6"/>
    <w:rsid w:val="00BC5689"/>
    <w:rsid w:val="00BC6450"/>
    <w:rsid w:val="00BC661A"/>
    <w:rsid w:val="00BD0098"/>
    <w:rsid w:val="00BD0308"/>
    <w:rsid w:val="00BD0356"/>
    <w:rsid w:val="00BD04BE"/>
    <w:rsid w:val="00BD1762"/>
    <w:rsid w:val="00BD1E20"/>
    <w:rsid w:val="00BD1F2D"/>
    <w:rsid w:val="00BD205C"/>
    <w:rsid w:val="00BD221D"/>
    <w:rsid w:val="00BD2B50"/>
    <w:rsid w:val="00BD307E"/>
    <w:rsid w:val="00BD42D9"/>
    <w:rsid w:val="00BD4B49"/>
    <w:rsid w:val="00BD4B92"/>
    <w:rsid w:val="00BD4FAC"/>
    <w:rsid w:val="00BD5DB6"/>
    <w:rsid w:val="00BD61B2"/>
    <w:rsid w:val="00BD6B38"/>
    <w:rsid w:val="00BD7039"/>
    <w:rsid w:val="00BD7280"/>
    <w:rsid w:val="00BD73BF"/>
    <w:rsid w:val="00BE0F10"/>
    <w:rsid w:val="00BE1DF4"/>
    <w:rsid w:val="00BE2298"/>
    <w:rsid w:val="00BE3381"/>
    <w:rsid w:val="00BE3A11"/>
    <w:rsid w:val="00BE3A41"/>
    <w:rsid w:val="00BE408A"/>
    <w:rsid w:val="00BE5090"/>
    <w:rsid w:val="00BE58C8"/>
    <w:rsid w:val="00BE5C92"/>
    <w:rsid w:val="00BE68FB"/>
    <w:rsid w:val="00BE6F28"/>
    <w:rsid w:val="00BE76F8"/>
    <w:rsid w:val="00BE7A73"/>
    <w:rsid w:val="00BF00BC"/>
    <w:rsid w:val="00BF017E"/>
    <w:rsid w:val="00BF0AF6"/>
    <w:rsid w:val="00BF0B03"/>
    <w:rsid w:val="00BF1074"/>
    <w:rsid w:val="00BF1860"/>
    <w:rsid w:val="00BF1876"/>
    <w:rsid w:val="00BF24F5"/>
    <w:rsid w:val="00BF29FA"/>
    <w:rsid w:val="00BF2F1F"/>
    <w:rsid w:val="00BF39D1"/>
    <w:rsid w:val="00BF5BDC"/>
    <w:rsid w:val="00BF6229"/>
    <w:rsid w:val="00C00758"/>
    <w:rsid w:val="00C00EE9"/>
    <w:rsid w:val="00C01455"/>
    <w:rsid w:val="00C0161A"/>
    <w:rsid w:val="00C017B4"/>
    <w:rsid w:val="00C02163"/>
    <w:rsid w:val="00C023DC"/>
    <w:rsid w:val="00C03611"/>
    <w:rsid w:val="00C03D5B"/>
    <w:rsid w:val="00C03F6E"/>
    <w:rsid w:val="00C041C9"/>
    <w:rsid w:val="00C04D2B"/>
    <w:rsid w:val="00C04E05"/>
    <w:rsid w:val="00C04F7E"/>
    <w:rsid w:val="00C0618F"/>
    <w:rsid w:val="00C06414"/>
    <w:rsid w:val="00C06657"/>
    <w:rsid w:val="00C06CE5"/>
    <w:rsid w:val="00C07609"/>
    <w:rsid w:val="00C1046F"/>
    <w:rsid w:val="00C1119B"/>
    <w:rsid w:val="00C1121C"/>
    <w:rsid w:val="00C118CF"/>
    <w:rsid w:val="00C11DBB"/>
    <w:rsid w:val="00C128B6"/>
    <w:rsid w:val="00C12D15"/>
    <w:rsid w:val="00C13191"/>
    <w:rsid w:val="00C131B2"/>
    <w:rsid w:val="00C1373B"/>
    <w:rsid w:val="00C13C31"/>
    <w:rsid w:val="00C1493F"/>
    <w:rsid w:val="00C14C75"/>
    <w:rsid w:val="00C15081"/>
    <w:rsid w:val="00C15A2F"/>
    <w:rsid w:val="00C15DB4"/>
    <w:rsid w:val="00C1682D"/>
    <w:rsid w:val="00C17B8D"/>
    <w:rsid w:val="00C17ED3"/>
    <w:rsid w:val="00C202D3"/>
    <w:rsid w:val="00C213CE"/>
    <w:rsid w:val="00C21F83"/>
    <w:rsid w:val="00C221F5"/>
    <w:rsid w:val="00C22B81"/>
    <w:rsid w:val="00C2398F"/>
    <w:rsid w:val="00C25143"/>
    <w:rsid w:val="00C25419"/>
    <w:rsid w:val="00C25545"/>
    <w:rsid w:val="00C25568"/>
    <w:rsid w:val="00C259A8"/>
    <w:rsid w:val="00C260BF"/>
    <w:rsid w:val="00C262CE"/>
    <w:rsid w:val="00C262EF"/>
    <w:rsid w:val="00C26581"/>
    <w:rsid w:val="00C26EF6"/>
    <w:rsid w:val="00C27E06"/>
    <w:rsid w:val="00C305CE"/>
    <w:rsid w:val="00C308D9"/>
    <w:rsid w:val="00C30A58"/>
    <w:rsid w:val="00C30ADA"/>
    <w:rsid w:val="00C3122B"/>
    <w:rsid w:val="00C31283"/>
    <w:rsid w:val="00C31A95"/>
    <w:rsid w:val="00C32F31"/>
    <w:rsid w:val="00C331B2"/>
    <w:rsid w:val="00C351C0"/>
    <w:rsid w:val="00C40972"/>
    <w:rsid w:val="00C41533"/>
    <w:rsid w:val="00C42FE1"/>
    <w:rsid w:val="00C437D1"/>
    <w:rsid w:val="00C44ACC"/>
    <w:rsid w:val="00C44BD2"/>
    <w:rsid w:val="00C44F15"/>
    <w:rsid w:val="00C45493"/>
    <w:rsid w:val="00C45812"/>
    <w:rsid w:val="00C45C91"/>
    <w:rsid w:val="00C45DAF"/>
    <w:rsid w:val="00C46050"/>
    <w:rsid w:val="00C461AF"/>
    <w:rsid w:val="00C4660C"/>
    <w:rsid w:val="00C50AE4"/>
    <w:rsid w:val="00C5132E"/>
    <w:rsid w:val="00C51598"/>
    <w:rsid w:val="00C518E4"/>
    <w:rsid w:val="00C52301"/>
    <w:rsid w:val="00C52F34"/>
    <w:rsid w:val="00C53B4F"/>
    <w:rsid w:val="00C547D8"/>
    <w:rsid w:val="00C55378"/>
    <w:rsid w:val="00C55AB1"/>
    <w:rsid w:val="00C57C4A"/>
    <w:rsid w:val="00C609E9"/>
    <w:rsid w:val="00C60BDD"/>
    <w:rsid w:val="00C6120F"/>
    <w:rsid w:val="00C613D3"/>
    <w:rsid w:val="00C61A7A"/>
    <w:rsid w:val="00C61CDD"/>
    <w:rsid w:val="00C61EF0"/>
    <w:rsid w:val="00C62AE5"/>
    <w:rsid w:val="00C640A1"/>
    <w:rsid w:val="00C643B1"/>
    <w:rsid w:val="00C64FAF"/>
    <w:rsid w:val="00C65469"/>
    <w:rsid w:val="00C6549D"/>
    <w:rsid w:val="00C65DFF"/>
    <w:rsid w:val="00C6642E"/>
    <w:rsid w:val="00C66F3E"/>
    <w:rsid w:val="00C679AE"/>
    <w:rsid w:val="00C67A74"/>
    <w:rsid w:val="00C702AD"/>
    <w:rsid w:val="00C70AB8"/>
    <w:rsid w:val="00C70B5D"/>
    <w:rsid w:val="00C71036"/>
    <w:rsid w:val="00C712C5"/>
    <w:rsid w:val="00C718CE"/>
    <w:rsid w:val="00C72284"/>
    <w:rsid w:val="00C7275E"/>
    <w:rsid w:val="00C73472"/>
    <w:rsid w:val="00C7370A"/>
    <w:rsid w:val="00C737C5"/>
    <w:rsid w:val="00C73FBC"/>
    <w:rsid w:val="00C74B76"/>
    <w:rsid w:val="00C75304"/>
    <w:rsid w:val="00C76FCE"/>
    <w:rsid w:val="00C77023"/>
    <w:rsid w:val="00C77068"/>
    <w:rsid w:val="00C77EC0"/>
    <w:rsid w:val="00C8007F"/>
    <w:rsid w:val="00C800F3"/>
    <w:rsid w:val="00C804BA"/>
    <w:rsid w:val="00C80C46"/>
    <w:rsid w:val="00C80C6F"/>
    <w:rsid w:val="00C80ED2"/>
    <w:rsid w:val="00C81B64"/>
    <w:rsid w:val="00C82EEC"/>
    <w:rsid w:val="00C831DB"/>
    <w:rsid w:val="00C83999"/>
    <w:rsid w:val="00C8482D"/>
    <w:rsid w:val="00C86015"/>
    <w:rsid w:val="00C869AE"/>
    <w:rsid w:val="00C871FE"/>
    <w:rsid w:val="00C87B7F"/>
    <w:rsid w:val="00C87CB7"/>
    <w:rsid w:val="00C9088C"/>
    <w:rsid w:val="00C9365E"/>
    <w:rsid w:val="00C93A5A"/>
    <w:rsid w:val="00C945D7"/>
    <w:rsid w:val="00C94970"/>
    <w:rsid w:val="00C95781"/>
    <w:rsid w:val="00C9769E"/>
    <w:rsid w:val="00CA07A6"/>
    <w:rsid w:val="00CA088C"/>
    <w:rsid w:val="00CA1C8A"/>
    <w:rsid w:val="00CA1E79"/>
    <w:rsid w:val="00CA25E4"/>
    <w:rsid w:val="00CA334C"/>
    <w:rsid w:val="00CA3540"/>
    <w:rsid w:val="00CA3D6D"/>
    <w:rsid w:val="00CA3D91"/>
    <w:rsid w:val="00CA5387"/>
    <w:rsid w:val="00CA5989"/>
    <w:rsid w:val="00CA5B61"/>
    <w:rsid w:val="00CA6DED"/>
    <w:rsid w:val="00CA6E79"/>
    <w:rsid w:val="00CB0215"/>
    <w:rsid w:val="00CB02F2"/>
    <w:rsid w:val="00CB0724"/>
    <w:rsid w:val="00CB09A2"/>
    <w:rsid w:val="00CB2392"/>
    <w:rsid w:val="00CB2A04"/>
    <w:rsid w:val="00CB2BFA"/>
    <w:rsid w:val="00CB2DA5"/>
    <w:rsid w:val="00CB3BCB"/>
    <w:rsid w:val="00CB4F24"/>
    <w:rsid w:val="00CB6067"/>
    <w:rsid w:val="00CB6B8B"/>
    <w:rsid w:val="00CB7477"/>
    <w:rsid w:val="00CC01BD"/>
    <w:rsid w:val="00CC112B"/>
    <w:rsid w:val="00CC1156"/>
    <w:rsid w:val="00CC1CD2"/>
    <w:rsid w:val="00CC1EC1"/>
    <w:rsid w:val="00CC27E4"/>
    <w:rsid w:val="00CC2EB8"/>
    <w:rsid w:val="00CC35C5"/>
    <w:rsid w:val="00CC4921"/>
    <w:rsid w:val="00CC49D4"/>
    <w:rsid w:val="00CC4E75"/>
    <w:rsid w:val="00CC54FF"/>
    <w:rsid w:val="00CC5685"/>
    <w:rsid w:val="00CC56F0"/>
    <w:rsid w:val="00CC7742"/>
    <w:rsid w:val="00CC799D"/>
    <w:rsid w:val="00CC7B06"/>
    <w:rsid w:val="00CD0783"/>
    <w:rsid w:val="00CD0CA0"/>
    <w:rsid w:val="00CD138A"/>
    <w:rsid w:val="00CD13C8"/>
    <w:rsid w:val="00CD1CE2"/>
    <w:rsid w:val="00CD1F76"/>
    <w:rsid w:val="00CD22B3"/>
    <w:rsid w:val="00CD35C9"/>
    <w:rsid w:val="00CD460D"/>
    <w:rsid w:val="00CD485F"/>
    <w:rsid w:val="00CD5B40"/>
    <w:rsid w:val="00CD60F8"/>
    <w:rsid w:val="00CD6A12"/>
    <w:rsid w:val="00CD748C"/>
    <w:rsid w:val="00CD7C96"/>
    <w:rsid w:val="00CE0223"/>
    <w:rsid w:val="00CE1141"/>
    <w:rsid w:val="00CE1518"/>
    <w:rsid w:val="00CE1587"/>
    <w:rsid w:val="00CE17B4"/>
    <w:rsid w:val="00CE307F"/>
    <w:rsid w:val="00CE323E"/>
    <w:rsid w:val="00CE340A"/>
    <w:rsid w:val="00CE396A"/>
    <w:rsid w:val="00CE3A4B"/>
    <w:rsid w:val="00CE42E7"/>
    <w:rsid w:val="00CE47D4"/>
    <w:rsid w:val="00CE4C2B"/>
    <w:rsid w:val="00CE51F9"/>
    <w:rsid w:val="00CE5623"/>
    <w:rsid w:val="00CE56FE"/>
    <w:rsid w:val="00CE5C76"/>
    <w:rsid w:val="00CE6D91"/>
    <w:rsid w:val="00CE6F5A"/>
    <w:rsid w:val="00CE71BD"/>
    <w:rsid w:val="00CE77FD"/>
    <w:rsid w:val="00CE7D31"/>
    <w:rsid w:val="00CE7D47"/>
    <w:rsid w:val="00CE7DF5"/>
    <w:rsid w:val="00CF139E"/>
    <w:rsid w:val="00CF3467"/>
    <w:rsid w:val="00CF3BF7"/>
    <w:rsid w:val="00CF3C9A"/>
    <w:rsid w:val="00CF405C"/>
    <w:rsid w:val="00CF42CF"/>
    <w:rsid w:val="00CF47F0"/>
    <w:rsid w:val="00CF4A19"/>
    <w:rsid w:val="00CF5841"/>
    <w:rsid w:val="00CF5988"/>
    <w:rsid w:val="00CF5AB5"/>
    <w:rsid w:val="00CF6E46"/>
    <w:rsid w:val="00CF7FC0"/>
    <w:rsid w:val="00D00BEE"/>
    <w:rsid w:val="00D0126E"/>
    <w:rsid w:val="00D0173E"/>
    <w:rsid w:val="00D01807"/>
    <w:rsid w:val="00D01BFA"/>
    <w:rsid w:val="00D0257E"/>
    <w:rsid w:val="00D02856"/>
    <w:rsid w:val="00D03424"/>
    <w:rsid w:val="00D03509"/>
    <w:rsid w:val="00D0386E"/>
    <w:rsid w:val="00D03D4C"/>
    <w:rsid w:val="00D03F3B"/>
    <w:rsid w:val="00D0441F"/>
    <w:rsid w:val="00D04F5B"/>
    <w:rsid w:val="00D0563A"/>
    <w:rsid w:val="00D0597A"/>
    <w:rsid w:val="00D05ADA"/>
    <w:rsid w:val="00D05C08"/>
    <w:rsid w:val="00D05D26"/>
    <w:rsid w:val="00D05E4F"/>
    <w:rsid w:val="00D101A1"/>
    <w:rsid w:val="00D102E9"/>
    <w:rsid w:val="00D1066A"/>
    <w:rsid w:val="00D115DD"/>
    <w:rsid w:val="00D11B39"/>
    <w:rsid w:val="00D11B9E"/>
    <w:rsid w:val="00D11CF9"/>
    <w:rsid w:val="00D11D6B"/>
    <w:rsid w:val="00D11F8E"/>
    <w:rsid w:val="00D12010"/>
    <w:rsid w:val="00D13453"/>
    <w:rsid w:val="00D13509"/>
    <w:rsid w:val="00D144E1"/>
    <w:rsid w:val="00D1571A"/>
    <w:rsid w:val="00D158FD"/>
    <w:rsid w:val="00D1688F"/>
    <w:rsid w:val="00D17121"/>
    <w:rsid w:val="00D17A21"/>
    <w:rsid w:val="00D17B23"/>
    <w:rsid w:val="00D20311"/>
    <w:rsid w:val="00D20B51"/>
    <w:rsid w:val="00D20D8B"/>
    <w:rsid w:val="00D2117F"/>
    <w:rsid w:val="00D21C71"/>
    <w:rsid w:val="00D21DA2"/>
    <w:rsid w:val="00D21EF4"/>
    <w:rsid w:val="00D23147"/>
    <w:rsid w:val="00D23387"/>
    <w:rsid w:val="00D23887"/>
    <w:rsid w:val="00D23AFD"/>
    <w:rsid w:val="00D23C1B"/>
    <w:rsid w:val="00D24B8B"/>
    <w:rsid w:val="00D24DEE"/>
    <w:rsid w:val="00D25317"/>
    <w:rsid w:val="00D254FC"/>
    <w:rsid w:val="00D25BB9"/>
    <w:rsid w:val="00D27554"/>
    <w:rsid w:val="00D27A1B"/>
    <w:rsid w:val="00D30076"/>
    <w:rsid w:val="00D3030B"/>
    <w:rsid w:val="00D32396"/>
    <w:rsid w:val="00D32CF1"/>
    <w:rsid w:val="00D32FCF"/>
    <w:rsid w:val="00D330F7"/>
    <w:rsid w:val="00D346A2"/>
    <w:rsid w:val="00D34C97"/>
    <w:rsid w:val="00D35625"/>
    <w:rsid w:val="00D358A0"/>
    <w:rsid w:val="00D358E6"/>
    <w:rsid w:val="00D35E10"/>
    <w:rsid w:val="00D36AD0"/>
    <w:rsid w:val="00D36CDE"/>
    <w:rsid w:val="00D37487"/>
    <w:rsid w:val="00D377E3"/>
    <w:rsid w:val="00D400A7"/>
    <w:rsid w:val="00D406AD"/>
    <w:rsid w:val="00D41181"/>
    <w:rsid w:val="00D413D5"/>
    <w:rsid w:val="00D436B1"/>
    <w:rsid w:val="00D44602"/>
    <w:rsid w:val="00D44973"/>
    <w:rsid w:val="00D44C42"/>
    <w:rsid w:val="00D4636A"/>
    <w:rsid w:val="00D46BA9"/>
    <w:rsid w:val="00D473F8"/>
    <w:rsid w:val="00D47448"/>
    <w:rsid w:val="00D47BEC"/>
    <w:rsid w:val="00D47FF4"/>
    <w:rsid w:val="00D50493"/>
    <w:rsid w:val="00D50A1F"/>
    <w:rsid w:val="00D510F4"/>
    <w:rsid w:val="00D51F3E"/>
    <w:rsid w:val="00D52469"/>
    <w:rsid w:val="00D53A77"/>
    <w:rsid w:val="00D53AB7"/>
    <w:rsid w:val="00D54461"/>
    <w:rsid w:val="00D54A97"/>
    <w:rsid w:val="00D5564C"/>
    <w:rsid w:val="00D55670"/>
    <w:rsid w:val="00D55B9A"/>
    <w:rsid w:val="00D55DB2"/>
    <w:rsid w:val="00D56957"/>
    <w:rsid w:val="00D56CF2"/>
    <w:rsid w:val="00D56F13"/>
    <w:rsid w:val="00D575E0"/>
    <w:rsid w:val="00D57BAD"/>
    <w:rsid w:val="00D60AD7"/>
    <w:rsid w:val="00D6101A"/>
    <w:rsid w:val="00D6154F"/>
    <w:rsid w:val="00D624B5"/>
    <w:rsid w:val="00D62535"/>
    <w:rsid w:val="00D63422"/>
    <w:rsid w:val="00D6363F"/>
    <w:rsid w:val="00D644BD"/>
    <w:rsid w:val="00D6542E"/>
    <w:rsid w:val="00D65836"/>
    <w:rsid w:val="00D66959"/>
    <w:rsid w:val="00D66B4A"/>
    <w:rsid w:val="00D66E8B"/>
    <w:rsid w:val="00D66E9A"/>
    <w:rsid w:val="00D6775F"/>
    <w:rsid w:val="00D67BB5"/>
    <w:rsid w:val="00D706DC"/>
    <w:rsid w:val="00D7090C"/>
    <w:rsid w:val="00D70F02"/>
    <w:rsid w:val="00D71037"/>
    <w:rsid w:val="00D71BB3"/>
    <w:rsid w:val="00D725F4"/>
    <w:rsid w:val="00D729C9"/>
    <w:rsid w:val="00D734FA"/>
    <w:rsid w:val="00D73E6A"/>
    <w:rsid w:val="00D741E7"/>
    <w:rsid w:val="00D7580F"/>
    <w:rsid w:val="00D7643D"/>
    <w:rsid w:val="00D767A3"/>
    <w:rsid w:val="00D77C96"/>
    <w:rsid w:val="00D804FF"/>
    <w:rsid w:val="00D80891"/>
    <w:rsid w:val="00D818D1"/>
    <w:rsid w:val="00D81E92"/>
    <w:rsid w:val="00D82364"/>
    <w:rsid w:val="00D83279"/>
    <w:rsid w:val="00D8467A"/>
    <w:rsid w:val="00D84686"/>
    <w:rsid w:val="00D85715"/>
    <w:rsid w:val="00D85AAF"/>
    <w:rsid w:val="00D85F30"/>
    <w:rsid w:val="00D8615E"/>
    <w:rsid w:val="00D86566"/>
    <w:rsid w:val="00D86D36"/>
    <w:rsid w:val="00D8706C"/>
    <w:rsid w:val="00D87EE8"/>
    <w:rsid w:val="00D90DAD"/>
    <w:rsid w:val="00D9193B"/>
    <w:rsid w:val="00D92850"/>
    <w:rsid w:val="00D934C2"/>
    <w:rsid w:val="00D95A76"/>
    <w:rsid w:val="00D95CDF"/>
    <w:rsid w:val="00D9606B"/>
    <w:rsid w:val="00D9641B"/>
    <w:rsid w:val="00D96688"/>
    <w:rsid w:val="00D967BA"/>
    <w:rsid w:val="00D97737"/>
    <w:rsid w:val="00D979AF"/>
    <w:rsid w:val="00D97A48"/>
    <w:rsid w:val="00D97B19"/>
    <w:rsid w:val="00DA0AE1"/>
    <w:rsid w:val="00DA0B3F"/>
    <w:rsid w:val="00DA0E64"/>
    <w:rsid w:val="00DA142A"/>
    <w:rsid w:val="00DA2044"/>
    <w:rsid w:val="00DA36A1"/>
    <w:rsid w:val="00DA3843"/>
    <w:rsid w:val="00DA3DEB"/>
    <w:rsid w:val="00DA4187"/>
    <w:rsid w:val="00DA461E"/>
    <w:rsid w:val="00DA4633"/>
    <w:rsid w:val="00DA4C62"/>
    <w:rsid w:val="00DA4F8B"/>
    <w:rsid w:val="00DA54B9"/>
    <w:rsid w:val="00DA55DF"/>
    <w:rsid w:val="00DA5F87"/>
    <w:rsid w:val="00DB040D"/>
    <w:rsid w:val="00DB1731"/>
    <w:rsid w:val="00DB2CF5"/>
    <w:rsid w:val="00DB4244"/>
    <w:rsid w:val="00DB4817"/>
    <w:rsid w:val="00DB503F"/>
    <w:rsid w:val="00DB5F73"/>
    <w:rsid w:val="00DB6A17"/>
    <w:rsid w:val="00DB6EFE"/>
    <w:rsid w:val="00DB7025"/>
    <w:rsid w:val="00DB70CF"/>
    <w:rsid w:val="00DB7F46"/>
    <w:rsid w:val="00DC029A"/>
    <w:rsid w:val="00DC0BA6"/>
    <w:rsid w:val="00DC0EEE"/>
    <w:rsid w:val="00DC1DD6"/>
    <w:rsid w:val="00DC201F"/>
    <w:rsid w:val="00DC27D7"/>
    <w:rsid w:val="00DC2876"/>
    <w:rsid w:val="00DC30A7"/>
    <w:rsid w:val="00DC331F"/>
    <w:rsid w:val="00DC3403"/>
    <w:rsid w:val="00DC3857"/>
    <w:rsid w:val="00DC3C78"/>
    <w:rsid w:val="00DC592F"/>
    <w:rsid w:val="00DC5C78"/>
    <w:rsid w:val="00DC60EC"/>
    <w:rsid w:val="00DC60F8"/>
    <w:rsid w:val="00DC6989"/>
    <w:rsid w:val="00DC7248"/>
    <w:rsid w:val="00DD04F5"/>
    <w:rsid w:val="00DD14C0"/>
    <w:rsid w:val="00DD1811"/>
    <w:rsid w:val="00DD1B72"/>
    <w:rsid w:val="00DD1D27"/>
    <w:rsid w:val="00DD2387"/>
    <w:rsid w:val="00DD297F"/>
    <w:rsid w:val="00DD2CB3"/>
    <w:rsid w:val="00DD37EA"/>
    <w:rsid w:val="00DD3B30"/>
    <w:rsid w:val="00DD3D26"/>
    <w:rsid w:val="00DD3E07"/>
    <w:rsid w:val="00DD430C"/>
    <w:rsid w:val="00DD475E"/>
    <w:rsid w:val="00DD4CB2"/>
    <w:rsid w:val="00DD4E84"/>
    <w:rsid w:val="00DD5520"/>
    <w:rsid w:val="00DD5533"/>
    <w:rsid w:val="00DD5E11"/>
    <w:rsid w:val="00DD67D6"/>
    <w:rsid w:val="00DD6F68"/>
    <w:rsid w:val="00DD72FF"/>
    <w:rsid w:val="00DD778E"/>
    <w:rsid w:val="00DE0359"/>
    <w:rsid w:val="00DE1DA5"/>
    <w:rsid w:val="00DE2087"/>
    <w:rsid w:val="00DE2281"/>
    <w:rsid w:val="00DE2844"/>
    <w:rsid w:val="00DE3867"/>
    <w:rsid w:val="00DE3A7A"/>
    <w:rsid w:val="00DE3ACF"/>
    <w:rsid w:val="00DE43E9"/>
    <w:rsid w:val="00DE4C88"/>
    <w:rsid w:val="00DE51B7"/>
    <w:rsid w:val="00DE5FC9"/>
    <w:rsid w:val="00DE6672"/>
    <w:rsid w:val="00DE67A4"/>
    <w:rsid w:val="00DE6809"/>
    <w:rsid w:val="00DE7150"/>
    <w:rsid w:val="00DE723E"/>
    <w:rsid w:val="00DE7C84"/>
    <w:rsid w:val="00DF02EC"/>
    <w:rsid w:val="00DF03F5"/>
    <w:rsid w:val="00DF0593"/>
    <w:rsid w:val="00DF088F"/>
    <w:rsid w:val="00DF0ECC"/>
    <w:rsid w:val="00DF16C2"/>
    <w:rsid w:val="00DF1DFF"/>
    <w:rsid w:val="00DF2C70"/>
    <w:rsid w:val="00DF3452"/>
    <w:rsid w:val="00DF3C5E"/>
    <w:rsid w:val="00DF4F35"/>
    <w:rsid w:val="00DF542B"/>
    <w:rsid w:val="00DF770E"/>
    <w:rsid w:val="00E00F76"/>
    <w:rsid w:val="00E011C0"/>
    <w:rsid w:val="00E013A3"/>
    <w:rsid w:val="00E01457"/>
    <w:rsid w:val="00E01635"/>
    <w:rsid w:val="00E01A3A"/>
    <w:rsid w:val="00E02335"/>
    <w:rsid w:val="00E03824"/>
    <w:rsid w:val="00E03FCC"/>
    <w:rsid w:val="00E04509"/>
    <w:rsid w:val="00E04848"/>
    <w:rsid w:val="00E049E0"/>
    <w:rsid w:val="00E04D0F"/>
    <w:rsid w:val="00E05049"/>
    <w:rsid w:val="00E0529F"/>
    <w:rsid w:val="00E06872"/>
    <w:rsid w:val="00E06A22"/>
    <w:rsid w:val="00E07780"/>
    <w:rsid w:val="00E12340"/>
    <w:rsid w:val="00E12623"/>
    <w:rsid w:val="00E14490"/>
    <w:rsid w:val="00E14578"/>
    <w:rsid w:val="00E14880"/>
    <w:rsid w:val="00E15671"/>
    <w:rsid w:val="00E160B0"/>
    <w:rsid w:val="00E209A5"/>
    <w:rsid w:val="00E20B8B"/>
    <w:rsid w:val="00E21856"/>
    <w:rsid w:val="00E21E75"/>
    <w:rsid w:val="00E22458"/>
    <w:rsid w:val="00E22A67"/>
    <w:rsid w:val="00E2306E"/>
    <w:rsid w:val="00E231E9"/>
    <w:rsid w:val="00E23724"/>
    <w:rsid w:val="00E23B43"/>
    <w:rsid w:val="00E24C19"/>
    <w:rsid w:val="00E25230"/>
    <w:rsid w:val="00E26445"/>
    <w:rsid w:val="00E270E5"/>
    <w:rsid w:val="00E27A41"/>
    <w:rsid w:val="00E300AD"/>
    <w:rsid w:val="00E3018A"/>
    <w:rsid w:val="00E30925"/>
    <w:rsid w:val="00E30A88"/>
    <w:rsid w:val="00E30ECC"/>
    <w:rsid w:val="00E30EF5"/>
    <w:rsid w:val="00E31343"/>
    <w:rsid w:val="00E31A06"/>
    <w:rsid w:val="00E322EB"/>
    <w:rsid w:val="00E326CF"/>
    <w:rsid w:val="00E32E2D"/>
    <w:rsid w:val="00E337E9"/>
    <w:rsid w:val="00E33A10"/>
    <w:rsid w:val="00E348AA"/>
    <w:rsid w:val="00E35610"/>
    <w:rsid w:val="00E3567E"/>
    <w:rsid w:val="00E37176"/>
    <w:rsid w:val="00E374E1"/>
    <w:rsid w:val="00E374F5"/>
    <w:rsid w:val="00E3760B"/>
    <w:rsid w:val="00E37823"/>
    <w:rsid w:val="00E37AAE"/>
    <w:rsid w:val="00E37C2C"/>
    <w:rsid w:val="00E37CB7"/>
    <w:rsid w:val="00E37FD3"/>
    <w:rsid w:val="00E411E9"/>
    <w:rsid w:val="00E4158F"/>
    <w:rsid w:val="00E42A95"/>
    <w:rsid w:val="00E435B9"/>
    <w:rsid w:val="00E43A7B"/>
    <w:rsid w:val="00E43BB1"/>
    <w:rsid w:val="00E43EF9"/>
    <w:rsid w:val="00E4468D"/>
    <w:rsid w:val="00E44A48"/>
    <w:rsid w:val="00E44EC5"/>
    <w:rsid w:val="00E45657"/>
    <w:rsid w:val="00E45667"/>
    <w:rsid w:val="00E458C1"/>
    <w:rsid w:val="00E458E7"/>
    <w:rsid w:val="00E45F6A"/>
    <w:rsid w:val="00E4657E"/>
    <w:rsid w:val="00E4728A"/>
    <w:rsid w:val="00E473FA"/>
    <w:rsid w:val="00E47B17"/>
    <w:rsid w:val="00E47CA3"/>
    <w:rsid w:val="00E47CEB"/>
    <w:rsid w:val="00E504E8"/>
    <w:rsid w:val="00E50747"/>
    <w:rsid w:val="00E5091C"/>
    <w:rsid w:val="00E50DBD"/>
    <w:rsid w:val="00E519DC"/>
    <w:rsid w:val="00E51DC3"/>
    <w:rsid w:val="00E51EFF"/>
    <w:rsid w:val="00E525A5"/>
    <w:rsid w:val="00E52E4E"/>
    <w:rsid w:val="00E53A50"/>
    <w:rsid w:val="00E53DD9"/>
    <w:rsid w:val="00E553BC"/>
    <w:rsid w:val="00E556BD"/>
    <w:rsid w:val="00E55DB3"/>
    <w:rsid w:val="00E55FA5"/>
    <w:rsid w:val="00E56468"/>
    <w:rsid w:val="00E56B41"/>
    <w:rsid w:val="00E574E8"/>
    <w:rsid w:val="00E57BF1"/>
    <w:rsid w:val="00E61326"/>
    <w:rsid w:val="00E61EB8"/>
    <w:rsid w:val="00E62CB9"/>
    <w:rsid w:val="00E62E2A"/>
    <w:rsid w:val="00E630D4"/>
    <w:rsid w:val="00E63455"/>
    <w:rsid w:val="00E649EA"/>
    <w:rsid w:val="00E64AD7"/>
    <w:rsid w:val="00E64DD7"/>
    <w:rsid w:val="00E64F7D"/>
    <w:rsid w:val="00E65768"/>
    <w:rsid w:val="00E65832"/>
    <w:rsid w:val="00E65A56"/>
    <w:rsid w:val="00E670CE"/>
    <w:rsid w:val="00E709AD"/>
    <w:rsid w:val="00E70C4C"/>
    <w:rsid w:val="00E70D7C"/>
    <w:rsid w:val="00E71203"/>
    <w:rsid w:val="00E71317"/>
    <w:rsid w:val="00E7140B"/>
    <w:rsid w:val="00E71FC5"/>
    <w:rsid w:val="00E72063"/>
    <w:rsid w:val="00E7248D"/>
    <w:rsid w:val="00E724AC"/>
    <w:rsid w:val="00E72BEB"/>
    <w:rsid w:val="00E7321E"/>
    <w:rsid w:val="00E732F0"/>
    <w:rsid w:val="00E73E0D"/>
    <w:rsid w:val="00E741A4"/>
    <w:rsid w:val="00E74D9D"/>
    <w:rsid w:val="00E7559F"/>
    <w:rsid w:val="00E757D9"/>
    <w:rsid w:val="00E75F02"/>
    <w:rsid w:val="00E763F7"/>
    <w:rsid w:val="00E76C3E"/>
    <w:rsid w:val="00E77139"/>
    <w:rsid w:val="00E807DA"/>
    <w:rsid w:val="00E80A34"/>
    <w:rsid w:val="00E8175D"/>
    <w:rsid w:val="00E819A2"/>
    <w:rsid w:val="00E84E3A"/>
    <w:rsid w:val="00E850E6"/>
    <w:rsid w:val="00E85151"/>
    <w:rsid w:val="00E851F5"/>
    <w:rsid w:val="00E85937"/>
    <w:rsid w:val="00E862E6"/>
    <w:rsid w:val="00E86A05"/>
    <w:rsid w:val="00E86BA6"/>
    <w:rsid w:val="00E870BF"/>
    <w:rsid w:val="00E87174"/>
    <w:rsid w:val="00E879DB"/>
    <w:rsid w:val="00E87D4E"/>
    <w:rsid w:val="00E90738"/>
    <w:rsid w:val="00E91564"/>
    <w:rsid w:val="00E9165A"/>
    <w:rsid w:val="00E9184F"/>
    <w:rsid w:val="00E91E11"/>
    <w:rsid w:val="00E922E5"/>
    <w:rsid w:val="00E93C63"/>
    <w:rsid w:val="00E940B8"/>
    <w:rsid w:val="00E94144"/>
    <w:rsid w:val="00E94467"/>
    <w:rsid w:val="00E944CA"/>
    <w:rsid w:val="00E961FE"/>
    <w:rsid w:val="00E963DC"/>
    <w:rsid w:val="00E9668B"/>
    <w:rsid w:val="00E96F16"/>
    <w:rsid w:val="00E9709E"/>
    <w:rsid w:val="00E97274"/>
    <w:rsid w:val="00E97458"/>
    <w:rsid w:val="00EA040E"/>
    <w:rsid w:val="00EA05AF"/>
    <w:rsid w:val="00EA1381"/>
    <w:rsid w:val="00EA16AD"/>
    <w:rsid w:val="00EA1C72"/>
    <w:rsid w:val="00EA245D"/>
    <w:rsid w:val="00EA2605"/>
    <w:rsid w:val="00EA2C79"/>
    <w:rsid w:val="00EA3634"/>
    <w:rsid w:val="00EA3DC6"/>
    <w:rsid w:val="00EA40BA"/>
    <w:rsid w:val="00EA4AB9"/>
    <w:rsid w:val="00EA4D3F"/>
    <w:rsid w:val="00EA53CC"/>
    <w:rsid w:val="00EA5912"/>
    <w:rsid w:val="00EA60EB"/>
    <w:rsid w:val="00EA77BD"/>
    <w:rsid w:val="00EA7F7B"/>
    <w:rsid w:val="00EB0911"/>
    <w:rsid w:val="00EB215C"/>
    <w:rsid w:val="00EB2182"/>
    <w:rsid w:val="00EB29F2"/>
    <w:rsid w:val="00EB4BDF"/>
    <w:rsid w:val="00EB4C18"/>
    <w:rsid w:val="00EB4E23"/>
    <w:rsid w:val="00EB5108"/>
    <w:rsid w:val="00EB54A7"/>
    <w:rsid w:val="00EB5CDF"/>
    <w:rsid w:val="00EB6B4F"/>
    <w:rsid w:val="00EB6CBE"/>
    <w:rsid w:val="00EB713C"/>
    <w:rsid w:val="00EC0188"/>
    <w:rsid w:val="00EC0462"/>
    <w:rsid w:val="00EC046E"/>
    <w:rsid w:val="00EC13B7"/>
    <w:rsid w:val="00EC1BBD"/>
    <w:rsid w:val="00EC25CE"/>
    <w:rsid w:val="00EC292F"/>
    <w:rsid w:val="00EC2D3D"/>
    <w:rsid w:val="00EC351C"/>
    <w:rsid w:val="00EC3597"/>
    <w:rsid w:val="00EC392A"/>
    <w:rsid w:val="00EC40E3"/>
    <w:rsid w:val="00EC4389"/>
    <w:rsid w:val="00EC43B9"/>
    <w:rsid w:val="00EC4F9D"/>
    <w:rsid w:val="00EC5E19"/>
    <w:rsid w:val="00EC5E1E"/>
    <w:rsid w:val="00EC6034"/>
    <w:rsid w:val="00EC6F32"/>
    <w:rsid w:val="00EC6F88"/>
    <w:rsid w:val="00EC72C9"/>
    <w:rsid w:val="00EC74B5"/>
    <w:rsid w:val="00EC7A54"/>
    <w:rsid w:val="00ED0947"/>
    <w:rsid w:val="00ED105B"/>
    <w:rsid w:val="00ED1073"/>
    <w:rsid w:val="00ED1233"/>
    <w:rsid w:val="00ED2139"/>
    <w:rsid w:val="00ED2F2B"/>
    <w:rsid w:val="00ED36E7"/>
    <w:rsid w:val="00ED3A28"/>
    <w:rsid w:val="00ED3E98"/>
    <w:rsid w:val="00ED4463"/>
    <w:rsid w:val="00ED477C"/>
    <w:rsid w:val="00ED4C8E"/>
    <w:rsid w:val="00ED4D69"/>
    <w:rsid w:val="00ED533C"/>
    <w:rsid w:val="00ED548E"/>
    <w:rsid w:val="00ED56C1"/>
    <w:rsid w:val="00ED5AF0"/>
    <w:rsid w:val="00ED61AA"/>
    <w:rsid w:val="00ED658E"/>
    <w:rsid w:val="00ED6882"/>
    <w:rsid w:val="00ED6CBE"/>
    <w:rsid w:val="00ED71CE"/>
    <w:rsid w:val="00ED72F3"/>
    <w:rsid w:val="00ED7440"/>
    <w:rsid w:val="00ED752A"/>
    <w:rsid w:val="00ED7A3E"/>
    <w:rsid w:val="00EE0174"/>
    <w:rsid w:val="00EE12A7"/>
    <w:rsid w:val="00EE1416"/>
    <w:rsid w:val="00EE2F42"/>
    <w:rsid w:val="00EE362F"/>
    <w:rsid w:val="00EE3843"/>
    <w:rsid w:val="00EE4322"/>
    <w:rsid w:val="00EE48DE"/>
    <w:rsid w:val="00EE5A0B"/>
    <w:rsid w:val="00EE5CD1"/>
    <w:rsid w:val="00EE61C5"/>
    <w:rsid w:val="00EE65DD"/>
    <w:rsid w:val="00EF0959"/>
    <w:rsid w:val="00EF0B5B"/>
    <w:rsid w:val="00EF0CBC"/>
    <w:rsid w:val="00EF0E19"/>
    <w:rsid w:val="00EF15F1"/>
    <w:rsid w:val="00EF29F0"/>
    <w:rsid w:val="00EF3F08"/>
    <w:rsid w:val="00EF3FD2"/>
    <w:rsid w:val="00EF4CE5"/>
    <w:rsid w:val="00EF5003"/>
    <w:rsid w:val="00EF60D0"/>
    <w:rsid w:val="00EF6A03"/>
    <w:rsid w:val="00EF71D3"/>
    <w:rsid w:val="00EF73A2"/>
    <w:rsid w:val="00F00911"/>
    <w:rsid w:val="00F00B5E"/>
    <w:rsid w:val="00F00D70"/>
    <w:rsid w:val="00F01A97"/>
    <w:rsid w:val="00F02D81"/>
    <w:rsid w:val="00F02F8E"/>
    <w:rsid w:val="00F02FE6"/>
    <w:rsid w:val="00F03438"/>
    <w:rsid w:val="00F037E4"/>
    <w:rsid w:val="00F0437C"/>
    <w:rsid w:val="00F051BE"/>
    <w:rsid w:val="00F053C6"/>
    <w:rsid w:val="00F05AA7"/>
    <w:rsid w:val="00F07162"/>
    <w:rsid w:val="00F07EA5"/>
    <w:rsid w:val="00F10332"/>
    <w:rsid w:val="00F10B23"/>
    <w:rsid w:val="00F10E88"/>
    <w:rsid w:val="00F1119D"/>
    <w:rsid w:val="00F114AE"/>
    <w:rsid w:val="00F1195B"/>
    <w:rsid w:val="00F12107"/>
    <w:rsid w:val="00F13151"/>
    <w:rsid w:val="00F13227"/>
    <w:rsid w:val="00F13C11"/>
    <w:rsid w:val="00F13C17"/>
    <w:rsid w:val="00F13CB1"/>
    <w:rsid w:val="00F14DDC"/>
    <w:rsid w:val="00F1507A"/>
    <w:rsid w:val="00F15546"/>
    <w:rsid w:val="00F15933"/>
    <w:rsid w:val="00F15CE6"/>
    <w:rsid w:val="00F16D9B"/>
    <w:rsid w:val="00F17212"/>
    <w:rsid w:val="00F17920"/>
    <w:rsid w:val="00F17EF0"/>
    <w:rsid w:val="00F20D89"/>
    <w:rsid w:val="00F215E2"/>
    <w:rsid w:val="00F21660"/>
    <w:rsid w:val="00F21923"/>
    <w:rsid w:val="00F21FFC"/>
    <w:rsid w:val="00F22BB3"/>
    <w:rsid w:val="00F22D2A"/>
    <w:rsid w:val="00F2378A"/>
    <w:rsid w:val="00F250DF"/>
    <w:rsid w:val="00F257B6"/>
    <w:rsid w:val="00F259EB"/>
    <w:rsid w:val="00F26122"/>
    <w:rsid w:val="00F27952"/>
    <w:rsid w:val="00F30CC9"/>
    <w:rsid w:val="00F30F90"/>
    <w:rsid w:val="00F313A9"/>
    <w:rsid w:val="00F3159D"/>
    <w:rsid w:val="00F3190B"/>
    <w:rsid w:val="00F3387D"/>
    <w:rsid w:val="00F345C9"/>
    <w:rsid w:val="00F34B49"/>
    <w:rsid w:val="00F34C1A"/>
    <w:rsid w:val="00F34FAB"/>
    <w:rsid w:val="00F355FB"/>
    <w:rsid w:val="00F36E3F"/>
    <w:rsid w:val="00F36FB5"/>
    <w:rsid w:val="00F37275"/>
    <w:rsid w:val="00F372AE"/>
    <w:rsid w:val="00F376E9"/>
    <w:rsid w:val="00F4005D"/>
    <w:rsid w:val="00F40246"/>
    <w:rsid w:val="00F40A6D"/>
    <w:rsid w:val="00F40C2C"/>
    <w:rsid w:val="00F40CA9"/>
    <w:rsid w:val="00F4100E"/>
    <w:rsid w:val="00F41422"/>
    <w:rsid w:val="00F41549"/>
    <w:rsid w:val="00F41837"/>
    <w:rsid w:val="00F420F9"/>
    <w:rsid w:val="00F43850"/>
    <w:rsid w:val="00F43CA0"/>
    <w:rsid w:val="00F43EE0"/>
    <w:rsid w:val="00F44327"/>
    <w:rsid w:val="00F4463B"/>
    <w:rsid w:val="00F44A26"/>
    <w:rsid w:val="00F45192"/>
    <w:rsid w:val="00F45429"/>
    <w:rsid w:val="00F45A86"/>
    <w:rsid w:val="00F50D64"/>
    <w:rsid w:val="00F50F1A"/>
    <w:rsid w:val="00F51826"/>
    <w:rsid w:val="00F51BB1"/>
    <w:rsid w:val="00F53503"/>
    <w:rsid w:val="00F54B2E"/>
    <w:rsid w:val="00F54BB8"/>
    <w:rsid w:val="00F54BCC"/>
    <w:rsid w:val="00F55030"/>
    <w:rsid w:val="00F55288"/>
    <w:rsid w:val="00F563E1"/>
    <w:rsid w:val="00F5688E"/>
    <w:rsid w:val="00F56DD2"/>
    <w:rsid w:val="00F601BE"/>
    <w:rsid w:val="00F601E9"/>
    <w:rsid w:val="00F606CC"/>
    <w:rsid w:val="00F60880"/>
    <w:rsid w:val="00F608CB"/>
    <w:rsid w:val="00F60A58"/>
    <w:rsid w:val="00F60B77"/>
    <w:rsid w:val="00F61183"/>
    <w:rsid w:val="00F619A4"/>
    <w:rsid w:val="00F63948"/>
    <w:rsid w:val="00F640E6"/>
    <w:rsid w:val="00F65A77"/>
    <w:rsid w:val="00F66088"/>
    <w:rsid w:val="00F67389"/>
    <w:rsid w:val="00F704C1"/>
    <w:rsid w:val="00F71410"/>
    <w:rsid w:val="00F71C67"/>
    <w:rsid w:val="00F724C6"/>
    <w:rsid w:val="00F73704"/>
    <w:rsid w:val="00F74439"/>
    <w:rsid w:val="00F74B36"/>
    <w:rsid w:val="00F74BB0"/>
    <w:rsid w:val="00F74DCA"/>
    <w:rsid w:val="00F74F5C"/>
    <w:rsid w:val="00F74FD1"/>
    <w:rsid w:val="00F75547"/>
    <w:rsid w:val="00F761F6"/>
    <w:rsid w:val="00F7696F"/>
    <w:rsid w:val="00F76CDA"/>
    <w:rsid w:val="00F77091"/>
    <w:rsid w:val="00F7737F"/>
    <w:rsid w:val="00F80069"/>
    <w:rsid w:val="00F8096B"/>
    <w:rsid w:val="00F816A1"/>
    <w:rsid w:val="00F81B7C"/>
    <w:rsid w:val="00F8209B"/>
    <w:rsid w:val="00F8255A"/>
    <w:rsid w:val="00F825F9"/>
    <w:rsid w:val="00F82FD1"/>
    <w:rsid w:val="00F83074"/>
    <w:rsid w:val="00F8448A"/>
    <w:rsid w:val="00F85489"/>
    <w:rsid w:val="00F858E6"/>
    <w:rsid w:val="00F85D5D"/>
    <w:rsid w:val="00F8608B"/>
    <w:rsid w:val="00F86B15"/>
    <w:rsid w:val="00F86F83"/>
    <w:rsid w:val="00F86FDF"/>
    <w:rsid w:val="00F90107"/>
    <w:rsid w:val="00F9023C"/>
    <w:rsid w:val="00F9038A"/>
    <w:rsid w:val="00F92477"/>
    <w:rsid w:val="00F9250F"/>
    <w:rsid w:val="00F9286A"/>
    <w:rsid w:val="00F92CE7"/>
    <w:rsid w:val="00F934E9"/>
    <w:rsid w:val="00F945B9"/>
    <w:rsid w:val="00F95E05"/>
    <w:rsid w:val="00F96A4E"/>
    <w:rsid w:val="00F96CF7"/>
    <w:rsid w:val="00F978C2"/>
    <w:rsid w:val="00F97CD9"/>
    <w:rsid w:val="00F97F35"/>
    <w:rsid w:val="00FA0562"/>
    <w:rsid w:val="00FA0576"/>
    <w:rsid w:val="00FA0866"/>
    <w:rsid w:val="00FA0998"/>
    <w:rsid w:val="00FA1392"/>
    <w:rsid w:val="00FA1C04"/>
    <w:rsid w:val="00FA1F85"/>
    <w:rsid w:val="00FA2418"/>
    <w:rsid w:val="00FA3DA0"/>
    <w:rsid w:val="00FA5131"/>
    <w:rsid w:val="00FA6F5A"/>
    <w:rsid w:val="00FA7A3A"/>
    <w:rsid w:val="00FB007D"/>
    <w:rsid w:val="00FB0C53"/>
    <w:rsid w:val="00FB0FDB"/>
    <w:rsid w:val="00FB2662"/>
    <w:rsid w:val="00FB291A"/>
    <w:rsid w:val="00FB29F4"/>
    <w:rsid w:val="00FB34F2"/>
    <w:rsid w:val="00FB4B25"/>
    <w:rsid w:val="00FB50B4"/>
    <w:rsid w:val="00FB57EB"/>
    <w:rsid w:val="00FB75E6"/>
    <w:rsid w:val="00FB795B"/>
    <w:rsid w:val="00FC0A2A"/>
    <w:rsid w:val="00FC0E31"/>
    <w:rsid w:val="00FC1966"/>
    <w:rsid w:val="00FC1CE9"/>
    <w:rsid w:val="00FC224C"/>
    <w:rsid w:val="00FC2F2D"/>
    <w:rsid w:val="00FC34C1"/>
    <w:rsid w:val="00FC3D5B"/>
    <w:rsid w:val="00FC4526"/>
    <w:rsid w:val="00FC4AC5"/>
    <w:rsid w:val="00FC4B1E"/>
    <w:rsid w:val="00FC5235"/>
    <w:rsid w:val="00FC53A3"/>
    <w:rsid w:val="00FC54B6"/>
    <w:rsid w:val="00FC597A"/>
    <w:rsid w:val="00FC6039"/>
    <w:rsid w:val="00FC632A"/>
    <w:rsid w:val="00FC6368"/>
    <w:rsid w:val="00FC7FAB"/>
    <w:rsid w:val="00FD093C"/>
    <w:rsid w:val="00FD0A25"/>
    <w:rsid w:val="00FD1A15"/>
    <w:rsid w:val="00FD2918"/>
    <w:rsid w:val="00FD34D2"/>
    <w:rsid w:val="00FD384F"/>
    <w:rsid w:val="00FD3B16"/>
    <w:rsid w:val="00FD4B97"/>
    <w:rsid w:val="00FD502C"/>
    <w:rsid w:val="00FD5158"/>
    <w:rsid w:val="00FD5595"/>
    <w:rsid w:val="00FD56C6"/>
    <w:rsid w:val="00FD5AC2"/>
    <w:rsid w:val="00FD5CEB"/>
    <w:rsid w:val="00FD63FD"/>
    <w:rsid w:val="00FD64A1"/>
    <w:rsid w:val="00FD66AA"/>
    <w:rsid w:val="00FD70A6"/>
    <w:rsid w:val="00FD7B72"/>
    <w:rsid w:val="00FE009F"/>
    <w:rsid w:val="00FE09D4"/>
    <w:rsid w:val="00FE0A66"/>
    <w:rsid w:val="00FE0C80"/>
    <w:rsid w:val="00FE0ECE"/>
    <w:rsid w:val="00FE1770"/>
    <w:rsid w:val="00FE1F37"/>
    <w:rsid w:val="00FE2E42"/>
    <w:rsid w:val="00FE38E5"/>
    <w:rsid w:val="00FE399E"/>
    <w:rsid w:val="00FE4441"/>
    <w:rsid w:val="00FE4544"/>
    <w:rsid w:val="00FE4E24"/>
    <w:rsid w:val="00FE55EB"/>
    <w:rsid w:val="00FE60C3"/>
    <w:rsid w:val="00FE61B4"/>
    <w:rsid w:val="00FE6231"/>
    <w:rsid w:val="00FE637A"/>
    <w:rsid w:val="00FE68B5"/>
    <w:rsid w:val="00FE6DE9"/>
    <w:rsid w:val="00FE796C"/>
    <w:rsid w:val="00FE7E3C"/>
    <w:rsid w:val="00FF0A67"/>
    <w:rsid w:val="00FF0C86"/>
    <w:rsid w:val="00FF1367"/>
    <w:rsid w:val="00FF1BB4"/>
    <w:rsid w:val="00FF265B"/>
    <w:rsid w:val="00FF3045"/>
    <w:rsid w:val="00FF3C9C"/>
    <w:rsid w:val="00FF59C0"/>
    <w:rsid w:val="00FF64E8"/>
    <w:rsid w:val="00FF6AFD"/>
    <w:rsid w:val="00FF7128"/>
    <w:rsid w:val="00FF7D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2689">
      <o:colormru v:ext="edit" colors="silver,#ddd"/>
      <o:colormenu v:ext="edit" strokecolor="none [2732]"/>
    </o:shapedefaults>
    <o:shapelayout v:ext="edit">
      <o:idmap v:ext="edit" data="1"/>
      <o:regrouptable v:ext="edit">
        <o:entry new="1" old="0"/>
        <o:entry new="2" old="1"/>
        <o:entry new="3" old="2"/>
        <o:entry new="4" old="1"/>
        <o:entry new="5" old="2"/>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0547D4"/>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1"/>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8"/>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ERnumberedlist">
    <w:name w:val="AER numbered list"/>
    <w:uiPriority w:val="99"/>
    <w:rsid w:val="00EB5CDF"/>
    <w:pPr>
      <w:numPr>
        <w:numId w:val="9"/>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266A5D"/>
    <w:pPr>
      <w:tabs>
        <w:tab w:val="left" w:pos="800"/>
        <w:tab w:val="right" w:leader="dot" w:pos="9016"/>
      </w:tabs>
      <w:spacing w:before="120" w:after="0"/>
      <w:ind w:left="200"/>
      <w:jc w:val="left"/>
    </w:pPr>
    <w:rPr>
      <w:rFonts w:ascii="Arial" w:hAnsi="Arial" w:cs="Arial"/>
      <w:noProof/>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NormalWeb">
    <w:name w:val="Normal (Web)"/>
    <w:basedOn w:val="Normal"/>
    <w:uiPriority w:val="99"/>
    <w:semiHidden/>
    <w:unhideWhenUsed/>
    <w:locked/>
    <w:rsid w:val="00BC6450"/>
    <w:rPr>
      <w:rFonts w:ascii="Times New Roman" w:hAnsi="Times New Roman"/>
      <w:sz w:val="24"/>
      <w:szCs w:val="24"/>
    </w:rPr>
  </w:style>
  <w:style w:type="paragraph" w:styleId="Revision">
    <w:name w:val="Revision"/>
    <w:hidden/>
    <w:uiPriority w:val="99"/>
    <w:semiHidden/>
    <w:rsid w:val="00807C76"/>
    <w:rPr>
      <w:lang w:eastAsia="en-US"/>
    </w:rPr>
  </w:style>
  <w:style w:type="character" w:styleId="FollowedHyperlink">
    <w:name w:val="FollowedHyperlink"/>
    <w:basedOn w:val="DefaultParagraphFont"/>
    <w:uiPriority w:val="99"/>
    <w:semiHidden/>
    <w:unhideWhenUsed/>
    <w:rsid w:val="003829C3"/>
    <w:rPr>
      <w:color w:val="800080" w:themeColor="followedHyperlink"/>
      <w:u w:val="single"/>
    </w:rPr>
  </w:style>
  <w:style w:type="paragraph" w:styleId="ListBullet">
    <w:name w:val="List Bullet"/>
    <w:basedOn w:val="Normal"/>
    <w:uiPriority w:val="99"/>
    <w:semiHidden/>
    <w:unhideWhenUsed/>
    <w:locked/>
    <w:rsid w:val="00746797"/>
    <w:pPr>
      <w:tabs>
        <w:tab w:val="num" w:pos="0"/>
      </w:tabs>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8"/>
      </w:numPr>
    </w:pPr>
  </w:style>
  <w:style w:type="numbering" w:customStyle="1" w:styleId="Heading1Char">
    <w:name w:val="OldAERheadings"/>
    <w:pPr>
      <w:numPr>
        <w:numId w:val="7"/>
      </w:numPr>
    </w:pPr>
  </w:style>
  <w:style w:type="numbering" w:customStyle="1" w:styleId="Heading2Char">
    <w:name w:val="AERnumbered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24839">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03895143">
      <w:bodyDiv w:val="1"/>
      <w:marLeft w:val="0"/>
      <w:marRight w:val="0"/>
      <w:marTop w:val="0"/>
      <w:marBottom w:val="0"/>
      <w:divBdr>
        <w:top w:val="none" w:sz="0" w:space="0" w:color="auto"/>
        <w:left w:val="none" w:sz="0" w:space="0" w:color="auto"/>
        <w:bottom w:val="none" w:sz="0" w:space="0" w:color="auto"/>
        <w:right w:val="none" w:sz="0" w:space="0" w:color="auto"/>
      </w:divBdr>
      <w:divsChild>
        <w:div w:id="767769839">
          <w:marLeft w:val="0"/>
          <w:marRight w:val="0"/>
          <w:marTop w:val="0"/>
          <w:marBottom w:val="0"/>
          <w:divBdr>
            <w:top w:val="none" w:sz="0" w:space="0" w:color="auto"/>
            <w:left w:val="none" w:sz="0" w:space="0" w:color="auto"/>
            <w:bottom w:val="none" w:sz="0" w:space="0" w:color="auto"/>
            <w:right w:val="none" w:sz="0" w:space="0" w:color="auto"/>
          </w:divBdr>
          <w:divsChild>
            <w:div w:id="10184142">
              <w:marLeft w:val="0"/>
              <w:marRight w:val="0"/>
              <w:marTop w:val="0"/>
              <w:marBottom w:val="0"/>
              <w:divBdr>
                <w:top w:val="none" w:sz="0" w:space="0" w:color="auto"/>
                <w:left w:val="none" w:sz="0" w:space="0" w:color="auto"/>
                <w:bottom w:val="none" w:sz="0" w:space="0" w:color="auto"/>
                <w:right w:val="none" w:sz="0" w:space="0" w:color="auto"/>
              </w:divBdr>
              <w:divsChild>
                <w:div w:id="1078476808">
                  <w:marLeft w:val="0"/>
                  <w:marRight w:val="0"/>
                  <w:marTop w:val="0"/>
                  <w:marBottom w:val="0"/>
                  <w:divBdr>
                    <w:top w:val="none" w:sz="0" w:space="0" w:color="auto"/>
                    <w:left w:val="none" w:sz="0" w:space="0" w:color="auto"/>
                    <w:bottom w:val="none" w:sz="0" w:space="0" w:color="auto"/>
                    <w:right w:val="none" w:sz="0" w:space="0" w:color="auto"/>
                  </w:divBdr>
                  <w:divsChild>
                    <w:div w:id="1123500031">
                      <w:marLeft w:val="0"/>
                      <w:marRight w:val="0"/>
                      <w:marTop w:val="0"/>
                      <w:marBottom w:val="0"/>
                      <w:divBdr>
                        <w:top w:val="none" w:sz="0" w:space="0" w:color="auto"/>
                        <w:left w:val="none" w:sz="0" w:space="0" w:color="auto"/>
                        <w:bottom w:val="none" w:sz="0" w:space="0" w:color="auto"/>
                        <w:right w:val="none" w:sz="0" w:space="0" w:color="auto"/>
                      </w:divBdr>
                      <w:divsChild>
                        <w:div w:id="876622630">
                          <w:marLeft w:val="0"/>
                          <w:marRight w:val="0"/>
                          <w:marTop w:val="0"/>
                          <w:marBottom w:val="0"/>
                          <w:divBdr>
                            <w:top w:val="none" w:sz="0" w:space="0" w:color="auto"/>
                            <w:left w:val="none" w:sz="0" w:space="0" w:color="auto"/>
                            <w:bottom w:val="none" w:sz="0" w:space="0" w:color="auto"/>
                            <w:right w:val="none" w:sz="0" w:space="0" w:color="auto"/>
                          </w:divBdr>
                          <w:divsChild>
                            <w:div w:id="1129472899">
                              <w:marLeft w:val="0"/>
                              <w:marRight w:val="0"/>
                              <w:marTop w:val="0"/>
                              <w:marBottom w:val="0"/>
                              <w:divBdr>
                                <w:top w:val="none" w:sz="0" w:space="0" w:color="auto"/>
                                <w:left w:val="none" w:sz="0" w:space="0" w:color="auto"/>
                                <w:bottom w:val="none" w:sz="0" w:space="0" w:color="auto"/>
                                <w:right w:val="none" w:sz="0" w:space="0" w:color="auto"/>
                              </w:divBdr>
                              <w:divsChild>
                                <w:div w:id="562450376">
                                  <w:marLeft w:val="0"/>
                                  <w:marRight w:val="0"/>
                                  <w:marTop w:val="0"/>
                                  <w:marBottom w:val="0"/>
                                  <w:divBdr>
                                    <w:top w:val="none" w:sz="0" w:space="0" w:color="auto"/>
                                    <w:left w:val="none" w:sz="0" w:space="0" w:color="auto"/>
                                    <w:bottom w:val="none" w:sz="0" w:space="0" w:color="auto"/>
                                    <w:right w:val="none" w:sz="0" w:space="0" w:color="auto"/>
                                  </w:divBdr>
                                  <w:divsChild>
                                    <w:div w:id="2004894305">
                                      <w:marLeft w:val="240"/>
                                      <w:marRight w:val="240"/>
                                      <w:marTop w:val="240"/>
                                      <w:marBottom w:val="0"/>
                                      <w:divBdr>
                                        <w:top w:val="none" w:sz="0" w:space="0" w:color="auto"/>
                                        <w:left w:val="none" w:sz="0" w:space="0" w:color="auto"/>
                                        <w:bottom w:val="none" w:sz="0" w:space="0" w:color="auto"/>
                                        <w:right w:val="none" w:sz="0" w:space="0" w:color="auto"/>
                                      </w:divBdr>
                                      <w:divsChild>
                                        <w:div w:id="1518033439">
                                          <w:marLeft w:val="0"/>
                                          <w:marRight w:val="0"/>
                                          <w:marTop w:val="0"/>
                                          <w:marBottom w:val="0"/>
                                          <w:divBdr>
                                            <w:top w:val="none" w:sz="0" w:space="0" w:color="auto"/>
                                            <w:left w:val="none" w:sz="0" w:space="0" w:color="auto"/>
                                            <w:bottom w:val="none" w:sz="0" w:space="0" w:color="auto"/>
                                            <w:right w:val="none" w:sz="0" w:space="0" w:color="auto"/>
                                          </w:divBdr>
                                          <w:divsChild>
                                            <w:div w:id="426191323">
                                              <w:marLeft w:val="0"/>
                                              <w:marRight w:val="0"/>
                                              <w:marTop w:val="0"/>
                                              <w:marBottom w:val="0"/>
                                              <w:divBdr>
                                                <w:top w:val="none" w:sz="0" w:space="0" w:color="auto"/>
                                                <w:left w:val="none" w:sz="0" w:space="0" w:color="auto"/>
                                                <w:bottom w:val="none" w:sz="0" w:space="0" w:color="auto"/>
                                                <w:right w:val="none" w:sz="0" w:space="0" w:color="auto"/>
                                              </w:divBdr>
                                              <w:divsChild>
                                                <w:div w:id="846553779">
                                                  <w:marLeft w:val="0"/>
                                                  <w:marRight w:val="0"/>
                                                  <w:marTop w:val="0"/>
                                                  <w:marBottom w:val="0"/>
                                                  <w:divBdr>
                                                    <w:top w:val="none" w:sz="0" w:space="0" w:color="auto"/>
                                                    <w:left w:val="none" w:sz="0" w:space="0" w:color="auto"/>
                                                    <w:bottom w:val="none" w:sz="0" w:space="0" w:color="auto"/>
                                                    <w:right w:val="none" w:sz="0" w:space="0" w:color="auto"/>
                                                  </w:divBdr>
                                                  <w:divsChild>
                                                    <w:div w:id="1277984308">
                                                      <w:marLeft w:val="0"/>
                                                      <w:marRight w:val="0"/>
                                                      <w:marTop w:val="0"/>
                                                      <w:marBottom w:val="0"/>
                                                      <w:divBdr>
                                                        <w:top w:val="none" w:sz="0" w:space="0" w:color="auto"/>
                                                        <w:left w:val="none" w:sz="0" w:space="0" w:color="auto"/>
                                                        <w:bottom w:val="none" w:sz="0" w:space="0" w:color="auto"/>
                                                        <w:right w:val="none" w:sz="0" w:space="0" w:color="auto"/>
                                                      </w:divBdr>
                                                      <w:divsChild>
                                                        <w:div w:id="312681433">
                                                          <w:marLeft w:val="0"/>
                                                          <w:marRight w:val="0"/>
                                                          <w:marTop w:val="0"/>
                                                          <w:marBottom w:val="0"/>
                                                          <w:divBdr>
                                                            <w:top w:val="none" w:sz="0" w:space="0" w:color="auto"/>
                                                            <w:left w:val="none" w:sz="0" w:space="0" w:color="auto"/>
                                                            <w:bottom w:val="none" w:sz="0" w:space="0" w:color="auto"/>
                                                            <w:right w:val="none" w:sz="0" w:space="0" w:color="auto"/>
                                                          </w:divBdr>
                                                          <w:divsChild>
                                                            <w:div w:id="1365180903">
                                                              <w:marLeft w:val="0"/>
                                                              <w:marRight w:val="0"/>
                                                              <w:marTop w:val="0"/>
                                                              <w:marBottom w:val="0"/>
                                                              <w:divBdr>
                                                                <w:top w:val="none" w:sz="0" w:space="0" w:color="auto"/>
                                                                <w:left w:val="none" w:sz="0" w:space="0" w:color="auto"/>
                                                                <w:bottom w:val="none" w:sz="0" w:space="0" w:color="auto"/>
                                                                <w:right w:val="none" w:sz="0" w:space="0" w:color="auto"/>
                                                              </w:divBdr>
                                                              <w:divsChild>
                                                                <w:div w:id="631180004">
                                                                  <w:marLeft w:val="0"/>
                                                                  <w:marRight w:val="0"/>
                                                                  <w:marTop w:val="0"/>
                                                                  <w:marBottom w:val="0"/>
                                                                  <w:divBdr>
                                                                    <w:top w:val="none" w:sz="0" w:space="0" w:color="auto"/>
                                                                    <w:left w:val="none" w:sz="0" w:space="0" w:color="auto"/>
                                                                    <w:bottom w:val="none" w:sz="0" w:space="0" w:color="auto"/>
                                                                    <w:right w:val="none" w:sz="0" w:space="0" w:color="auto"/>
                                                                  </w:divBdr>
                                                                  <w:divsChild>
                                                                    <w:div w:id="939332784">
                                                                      <w:marLeft w:val="0"/>
                                                                      <w:marRight w:val="0"/>
                                                                      <w:marTop w:val="0"/>
                                                                      <w:marBottom w:val="0"/>
                                                                      <w:divBdr>
                                                                        <w:top w:val="none" w:sz="0" w:space="0" w:color="auto"/>
                                                                        <w:left w:val="none" w:sz="0" w:space="0" w:color="auto"/>
                                                                        <w:bottom w:val="none" w:sz="0" w:space="0" w:color="auto"/>
                                                                        <w:right w:val="none" w:sz="0" w:space="0" w:color="auto"/>
                                                                      </w:divBdr>
                                                                      <w:divsChild>
                                                                        <w:div w:id="388041310">
                                                                          <w:marLeft w:val="0"/>
                                                                          <w:marRight w:val="0"/>
                                                                          <w:marTop w:val="0"/>
                                                                          <w:marBottom w:val="120"/>
                                                                          <w:divBdr>
                                                                            <w:top w:val="none" w:sz="0" w:space="0" w:color="auto"/>
                                                                            <w:left w:val="none" w:sz="0" w:space="0" w:color="auto"/>
                                                                            <w:bottom w:val="none" w:sz="0" w:space="0" w:color="auto"/>
                                                                            <w:right w:val="none" w:sz="0" w:space="0" w:color="auto"/>
                                                                          </w:divBdr>
                                                                          <w:divsChild>
                                                                            <w:div w:id="497888827">
                                                                              <w:marLeft w:val="0"/>
                                                                              <w:marRight w:val="0"/>
                                                                              <w:marTop w:val="0"/>
                                                                              <w:marBottom w:val="0"/>
                                                                              <w:divBdr>
                                                                                <w:top w:val="none" w:sz="0" w:space="0" w:color="auto"/>
                                                                                <w:left w:val="none" w:sz="0" w:space="0" w:color="auto"/>
                                                                                <w:bottom w:val="none" w:sz="0" w:space="0" w:color="auto"/>
                                                                                <w:right w:val="none" w:sz="0" w:space="0" w:color="auto"/>
                                                                              </w:divBdr>
                                                                              <w:divsChild>
                                                                                <w:div w:id="719281946">
                                                                                  <w:marLeft w:val="0"/>
                                                                                  <w:marRight w:val="0"/>
                                                                                  <w:marTop w:val="0"/>
                                                                                  <w:marBottom w:val="0"/>
                                                                                  <w:divBdr>
                                                                                    <w:top w:val="none" w:sz="0" w:space="0" w:color="auto"/>
                                                                                    <w:left w:val="none" w:sz="0" w:space="0" w:color="auto"/>
                                                                                    <w:bottom w:val="none" w:sz="0" w:space="0" w:color="auto"/>
                                                                                    <w:right w:val="none" w:sz="0" w:space="0" w:color="auto"/>
                                                                                  </w:divBdr>
                                                                                  <w:divsChild>
                                                                                    <w:div w:id="1593583887">
                                                                                      <w:marLeft w:val="0"/>
                                                                                      <w:marRight w:val="0"/>
                                                                                      <w:marTop w:val="0"/>
                                                                                      <w:marBottom w:val="0"/>
                                                                                      <w:divBdr>
                                                                                        <w:top w:val="none" w:sz="0" w:space="0" w:color="auto"/>
                                                                                        <w:left w:val="none" w:sz="0" w:space="0" w:color="auto"/>
                                                                                        <w:bottom w:val="none" w:sz="0" w:space="0" w:color="auto"/>
                                                                                        <w:right w:val="none" w:sz="0" w:space="0" w:color="auto"/>
                                                                                      </w:divBdr>
                                                                                      <w:divsChild>
                                                                                        <w:div w:id="1218854822">
                                                                                          <w:marLeft w:val="0"/>
                                                                                          <w:marRight w:val="0"/>
                                                                                          <w:marTop w:val="0"/>
                                                                                          <w:marBottom w:val="0"/>
                                                                                          <w:divBdr>
                                                                                            <w:top w:val="none" w:sz="0" w:space="0" w:color="auto"/>
                                                                                            <w:left w:val="none" w:sz="0" w:space="0" w:color="auto"/>
                                                                                            <w:bottom w:val="none" w:sz="0" w:space="0" w:color="auto"/>
                                                                                            <w:right w:val="none" w:sz="0" w:space="0" w:color="auto"/>
                                                                                          </w:divBdr>
                                                                                          <w:divsChild>
                                                                                            <w:div w:id="463811372">
                                                                                              <w:marLeft w:val="0"/>
                                                                                              <w:marRight w:val="0"/>
                                                                                              <w:marTop w:val="0"/>
                                                                                              <w:marBottom w:val="0"/>
                                                                                              <w:divBdr>
                                                                                                <w:top w:val="none" w:sz="0" w:space="0" w:color="auto"/>
                                                                                                <w:left w:val="none" w:sz="0" w:space="0" w:color="auto"/>
                                                                                                <w:bottom w:val="none" w:sz="0" w:space="0" w:color="auto"/>
                                                                                                <w:right w:val="none" w:sz="0" w:space="0" w:color="auto"/>
                                                                                              </w:divBdr>
                                                                                              <w:divsChild>
                                                                                                <w:div w:id="1593930083">
                                                                                                  <w:marLeft w:val="0"/>
                                                                                                  <w:marRight w:val="0"/>
                                                                                                  <w:marTop w:val="0"/>
                                                                                                  <w:marBottom w:val="0"/>
                                                                                                  <w:divBdr>
                                                                                                    <w:top w:val="none" w:sz="0" w:space="0" w:color="auto"/>
                                                                                                    <w:left w:val="none" w:sz="0" w:space="0" w:color="auto"/>
                                                                                                    <w:bottom w:val="none" w:sz="0" w:space="0" w:color="auto"/>
                                                                                                    <w:right w:val="none" w:sz="0" w:space="0" w:color="auto"/>
                                                                                                  </w:divBdr>
                                                                                                  <w:divsChild>
                                                                                                    <w:div w:id="8449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0614314">
      <w:bodyDiv w:val="1"/>
      <w:marLeft w:val="0"/>
      <w:marRight w:val="0"/>
      <w:marTop w:val="0"/>
      <w:marBottom w:val="0"/>
      <w:divBdr>
        <w:top w:val="none" w:sz="0" w:space="0" w:color="auto"/>
        <w:left w:val="none" w:sz="0" w:space="0" w:color="auto"/>
        <w:bottom w:val="none" w:sz="0" w:space="0" w:color="auto"/>
        <w:right w:val="none" w:sz="0" w:space="0" w:color="auto"/>
      </w:divBdr>
    </w:div>
    <w:div w:id="1431272597">
      <w:bodyDiv w:val="1"/>
      <w:marLeft w:val="0"/>
      <w:marRight w:val="0"/>
      <w:marTop w:val="0"/>
      <w:marBottom w:val="0"/>
      <w:divBdr>
        <w:top w:val="none" w:sz="0" w:space="0" w:color="auto"/>
        <w:left w:val="none" w:sz="0" w:space="0" w:color="auto"/>
        <w:bottom w:val="none" w:sz="0" w:space="0" w:color="auto"/>
        <w:right w:val="none" w:sz="0" w:space="0" w:color="auto"/>
      </w:divBdr>
    </w:div>
    <w:div w:id="157728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24" Type="http://schemas.openxmlformats.org/officeDocument/2006/relationships/image" Target="media/image14.png"/><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hyperlink" Target="mailto:publishing.unit@accc.gov.au" TargetMode="External"/><Relationship Id="rId19" Type="http://schemas.openxmlformats.org/officeDocument/2006/relationships/image" Target="media/image9.pn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46A69-6315-4254-A653-4C8C28313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1AC3909C</Template>
  <TotalTime>1403</TotalTime>
  <Pages>40</Pages>
  <Words>10133</Words>
  <Characters>57759</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67757</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AER</dc:creator>
  <cp:lastModifiedBy>Yap, Kenny</cp:lastModifiedBy>
  <cp:revision>73</cp:revision>
  <cp:lastPrinted>2015-01-29T03:58:00Z</cp:lastPrinted>
  <dcterms:created xsi:type="dcterms:W3CDTF">2014-12-10T00:14:00Z</dcterms:created>
  <dcterms:modified xsi:type="dcterms:W3CDTF">2015-01-29T03:58:00Z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\\cdchnas-evs02\home$\kyap\20150123 - 3.1.5 - distribution ptrm handbook - january 2015 - appendix d (D2014-00193153).docx</vt:lpwstr>
  </property>
  <property fmtid="{D5CDD505-2E9C-101B-9397-08002B2CF9AE}" pid="3" name="URI">
    <vt:lpwstr>8345107</vt:lpwstr>
  </property>
</Properties>
</file>