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934" w:rsidRDefault="00690541" w:rsidP="0069742C">
      <w:r w:rsidRPr="0069742C">
        <w:rPr>
          <w:noProof/>
          <w:lang w:eastAsia="en-AU"/>
        </w:rPr>
        <w:drawing>
          <wp:anchor distT="0" distB="0" distL="114300" distR="114300" simplePos="0" relativeHeight="251659264" behindDoc="1" locked="0" layoutInCell="1" allowOverlap="1" wp14:anchorId="082E01B5" wp14:editId="4CFCC9DA">
            <wp:simplePos x="0" y="0"/>
            <wp:positionH relativeFrom="column">
              <wp:posOffset>-1148441</wp:posOffset>
            </wp:positionH>
            <wp:positionV relativeFrom="paragraph">
              <wp:posOffset>-945515</wp:posOffset>
            </wp:positionV>
            <wp:extent cx="7654925" cy="11078845"/>
            <wp:effectExtent l="0" t="0" r="3175" b="8255"/>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4925" cy="11078845"/>
                    </a:xfrm>
                    <a:prstGeom prst="rect">
                      <a:avLst/>
                    </a:prstGeom>
                    <a:noFill/>
                  </pic:spPr>
                </pic:pic>
              </a:graphicData>
            </a:graphic>
            <wp14:sizeRelH relativeFrom="page">
              <wp14:pctWidth>0</wp14:pctWidth>
            </wp14:sizeRelH>
            <wp14:sizeRelV relativeFrom="page">
              <wp14:pctHeight>0</wp14:pctHeight>
            </wp14:sizeRelV>
          </wp:anchor>
        </w:drawing>
      </w:r>
    </w:p>
    <w:sdt>
      <w:sdtPr>
        <w:id w:val="1099676627"/>
        <w:docPartObj>
          <w:docPartGallery w:val="Cover Pages"/>
          <w:docPartUnique/>
        </w:docPartObj>
      </w:sdtPr>
      <w:sdtEndPr/>
      <w:sdtContent>
        <w:p w:rsidR="0069742C" w:rsidRPr="00DB723B" w:rsidRDefault="0069742C" w:rsidP="0069742C"/>
        <w:p w:rsidR="0069742C" w:rsidRPr="00DB723B" w:rsidRDefault="0069742C" w:rsidP="0069742C"/>
        <w:p w:rsidR="0069742C" w:rsidRPr="00DB723B" w:rsidRDefault="0069742C" w:rsidP="0069742C"/>
        <w:p w:rsidR="0069742C" w:rsidRPr="00DB723B" w:rsidRDefault="0069742C" w:rsidP="0069742C"/>
        <w:p w:rsidR="0069742C" w:rsidRPr="00DB723B" w:rsidRDefault="0069742C" w:rsidP="0069742C"/>
        <w:p w:rsidR="0069742C" w:rsidRPr="00DB723B" w:rsidRDefault="0069742C" w:rsidP="0069742C"/>
        <w:p w:rsidR="0069742C" w:rsidRPr="00DB723B" w:rsidRDefault="0069742C" w:rsidP="0069742C"/>
        <w:p w:rsidR="0069742C" w:rsidRPr="00DB723B" w:rsidRDefault="0069742C" w:rsidP="0069742C"/>
        <w:p w:rsidR="0069742C" w:rsidRPr="00DB723B" w:rsidRDefault="0069742C" w:rsidP="0069742C"/>
        <w:p w:rsidR="0069742C" w:rsidRPr="00DB723B" w:rsidRDefault="0069742C" w:rsidP="0069742C">
          <w:pPr>
            <w:pStyle w:val="ReportTitle"/>
          </w:pPr>
          <w:r>
            <w:t>Annual Benchmarking Report</w:t>
          </w:r>
        </w:p>
        <w:p w:rsidR="0069742C" w:rsidRPr="00DB723B" w:rsidRDefault="0069742C" w:rsidP="0069742C">
          <w:pPr>
            <w:pStyle w:val="ReportSubtitle"/>
          </w:pPr>
          <w:r>
            <w:t>Electricity distribution network service providers</w:t>
          </w:r>
        </w:p>
        <w:p w:rsidR="0069742C" w:rsidRPr="00DB723B" w:rsidRDefault="0069742C" w:rsidP="0069742C">
          <w:pPr>
            <w:pStyle w:val="ReportDate"/>
          </w:pPr>
          <w:r>
            <w:t>November</w:t>
          </w:r>
          <w:r w:rsidRPr="00DB723B">
            <w:t xml:space="preserve"> 201</w:t>
          </w:r>
          <w:r>
            <w:t>5</w:t>
          </w:r>
        </w:p>
        <w:p w:rsidR="0069742C" w:rsidRPr="00680644" w:rsidRDefault="0069742C" w:rsidP="0069742C">
          <w:r w:rsidRPr="00DB723B">
            <w:br w:type="page"/>
          </w:r>
        </w:p>
      </w:sdtContent>
    </w:sdt>
    <w:p w:rsidR="0069742C" w:rsidRPr="0069742C" w:rsidRDefault="0069742C" w:rsidP="0069742C">
      <w:r>
        <w:lastRenderedPageBreak/>
        <w:t>© Commonwealth of Australia 201</w:t>
      </w:r>
      <w:r w:rsidRPr="0069742C">
        <w:t>5</w:t>
      </w:r>
    </w:p>
    <w:p w:rsidR="0069742C" w:rsidRDefault="0069742C" w:rsidP="0069742C">
      <w:pPr>
        <w:pStyle w:val="Copyright"/>
      </w:pPr>
      <w:r>
        <w:t>This work is copyright. In addition to any use permitted under the Copyright Act 1968, all material contained within this work is provided under a Creative Commons Attributions 3.0 Australia licence, with the exception of:</w:t>
      </w:r>
    </w:p>
    <w:p w:rsidR="0069742C" w:rsidRDefault="0069742C" w:rsidP="0069742C">
      <w:pPr>
        <w:pStyle w:val="AERbulletlistfirststyle"/>
      </w:pPr>
      <w:r>
        <w:t>the Commonwealth Coat of Arms</w:t>
      </w:r>
    </w:p>
    <w:p w:rsidR="0069742C" w:rsidRDefault="0069742C" w:rsidP="0069742C">
      <w:pPr>
        <w:pStyle w:val="AERbulletlistfirststyle"/>
      </w:pPr>
      <w:r>
        <w:t>the ACCC and AER logos</w:t>
      </w:r>
    </w:p>
    <w:p w:rsidR="0069742C" w:rsidRPr="0069742C" w:rsidRDefault="0069742C" w:rsidP="0069742C">
      <w:pPr>
        <w:pStyle w:val="AERbulletlistfirststyle"/>
      </w:pPr>
      <w:r w:rsidRPr="0069742C">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69742C" w:rsidRDefault="0069742C" w:rsidP="0069742C">
      <w:pPr>
        <w:pStyle w:val="Copyright"/>
      </w:pPr>
      <w:r>
        <w:t xml:space="preserve">Requests and inquiries concerning reproduction and rights should be addressed to the </w:t>
      </w:r>
      <w:r>
        <w:br/>
        <w:t xml:space="preserve">Director, Corporate Communications, </w:t>
      </w:r>
      <w:r>
        <w:br/>
        <w:t xml:space="preserve">Australian Competition and Consumer Commission, </w:t>
      </w:r>
      <w:r>
        <w:br/>
        <w:t xml:space="preserve">GPO Box 4141, </w:t>
      </w:r>
      <w:r>
        <w:br/>
        <w:t xml:space="preserve">Canberra ACT 2601 </w:t>
      </w:r>
      <w:r>
        <w:br/>
        <w:t>or publishing.unit@accc.gov.au.</w:t>
      </w:r>
    </w:p>
    <w:p w:rsidR="0069742C" w:rsidRDefault="0069742C" w:rsidP="0069742C">
      <w:pPr>
        <w:pStyle w:val="Copyright"/>
      </w:pPr>
      <w:r>
        <w:t>Inquiries about this publication should be addressed to:</w:t>
      </w:r>
    </w:p>
    <w:p w:rsidR="0069742C" w:rsidRDefault="0069742C" w:rsidP="0069742C">
      <w:pPr>
        <w:pStyle w:val="Copyright"/>
      </w:pPr>
      <w:r>
        <w:t xml:space="preserve">Australian Energy </w:t>
      </w:r>
      <w:r w:rsidRPr="00F171E0">
        <w:t>Regulator</w:t>
      </w:r>
      <w:r>
        <w:br/>
        <w:t>GPO Box 520</w:t>
      </w:r>
      <w:r>
        <w:br/>
        <w:t>Melbourne  Vic  3001</w:t>
      </w:r>
    </w:p>
    <w:p w:rsidR="0069742C" w:rsidRDefault="0069742C" w:rsidP="0069742C">
      <w:pPr>
        <w:pStyle w:val="Copyright"/>
      </w:pPr>
      <w:r>
        <w:t>Tel: (03) 9290 1444</w:t>
      </w:r>
      <w:r>
        <w:br/>
        <w:t>Fax: (03) 9290 1457</w:t>
      </w:r>
    </w:p>
    <w:p w:rsidR="00F40268" w:rsidRDefault="0069742C" w:rsidP="003A4C69">
      <w:pPr>
        <w:pStyle w:val="Copyright"/>
        <w:sectPr w:rsidR="00F40268" w:rsidSect="00E056BF">
          <w:headerReference w:type="default" r:id="rId10"/>
          <w:pgSz w:w="11906" w:h="16838" w:code="9"/>
          <w:pgMar w:top="1440" w:right="1700" w:bottom="1582" w:left="1729" w:header="720" w:footer="409" w:gutter="0"/>
          <w:pgNumType w:fmt="lowerRoman"/>
          <w:cols w:space="720"/>
          <w:docGrid w:linePitch="326"/>
        </w:sectPr>
      </w:pPr>
      <w:r>
        <w:t xml:space="preserve">Email: </w:t>
      </w:r>
      <w:hyperlink r:id="rId11" w:history="1">
        <w:r w:rsidRPr="00D64888">
          <w:rPr>
            <w:rStyle w:val="Hyperlink"/>
          </w:rPr>
          <w:t>AERInquiry@aer.gov.au</w:t>
        </w:r>
      </w:hyperlink>
      <w:r>
        <w:rPr>
          <w:rStyle w:val="Hyperlink"/>
        </w:rPr>
        <w:br/>
      </w:r>
      <w:r>
        <w:t>AER Referenc</w:t>
      </w:r>
      <w:r w:rsidRPr="003A4C69">
        <w:t xml:space="preserve">e: </w:t>
      </w:r>
      <w:r w:rsidR="003A4C69" w:rsidRPr="005206C3">
        <w:t>D15/156976</w:t>
      </w:r>
    </w:p>
    <w:p w:rsidR="00272BE0" w:rsidRDefault="00272BE0" w:rsidP="00272BE0">
      <w:pPr>
        <w:pStyle w:val="UnnumberedHeading"/>
      </w:pPr>
      <w:bookmarkStart w:id="0" w:name="_Toc435712619"/>
      <w:r>
        <w:lastRenderedPageBreak/>
        <w:t>Shortened forms</w:t>
      </w:r>
      <w:bookmarkEnd w:id="0"/>
    </w:p>
    <w:tbl>
      <w:tblPr>
        <w:tblStyle w:val="AERtable-text0"/>
        <w:tblW w:w="0" w:type="auto"/>
        <w:tblLook w:val="04A0" w:firstRow="1" w:lastRow="0" w:firstColumn="1" w:lastColumn="0" w:noHBand="0" w:noVBand="1"/>
      </w:tblPr>
      <w:tblGrid>
        <w:gridCol w:w="2235"/>
        <w:gridCol w:w="6458"/>
      </w:tblGrid>
      <w:tr w:rsidR="00272BE0" w:rsidRPr="00063915" w:rsidTr="00272BE0">
        <w:trPr>
          <w:cnfStyle w:val="100000000000" w:firstRow="1" w:lastRow="0" w:firstColumn="0" w:lastColumn="0" w:oddVBand="0" w:evenVBand="0" w:oddHBand="0" w:evenHBand="0" w:firstRowFirstColumn="0" w:firstRowLastColumn="0" w:lastRowFirstColumn="0" w:lastRowLastColumn="0"/>
        </w:trPr>
        <w:tc>
          <w:tcPr>
            <w:tcW w:w="2235" w:type="dxa"/>
            <w:noWrap/>
          </w:tcPr>
          <w:p w:rsidR="00272BE0" w:rsidRPr="00C30FA2" w:rsidRDefault="00272BE0" w:rsidP="005206C3">
            <w:r>
              <w:t>Shortened form</w:t>
            </w:r>
          </w:p>
        </w:tc>
        <w:tc>
          <w:tcPr>
            <w:tcW w:w="6458" w:type="dxa"/>
            <w:noWrap/>
          </w:tcPr>
          <w:p w:rsidR="00272BE0" w:rsidRPr="00C30FA2" w:rsidRDefault="00272BE0" w:rsidP="005206C3">
            <w:r>
              <w:t>Description</w:t>
            </w:r>
          </w:p>
        </w:tc>
      </w:tr>
      <w:tr w:rsidR="00272BE0" w:rsidRPr="00063915" w:rsidTr="00272BE0">
        <w:tc>
          <w:tcPr>
            <w:tcW w:w="2235" w:type="dxa"/>
            <w:noWrap/>
          </w:tcPr>
          <w:p w:rsidR="00272BE0" w:rsidRPr="00C30FA2" w:rsidRDefault="00272BE0" w:rsidP="005206C3">
            <w:r w:rsidRPr="00FE72F1">
              <w:t>AEMC</w:t>
            </w:r>
          </w:p>
        </w:tc>
        <w:tc>
          <w:tcPr>
            <w:tcW w:w="6458" w:type="dxa"/>
            <w:noWrap/>
          </w:tcPr>
          <w:p w:rsidR="00272BE0" w:rsidRPr="00C30FA2" w:rsidRDefault="00272BE0" w:rsidP="005206C3">
            <w:r w:rsidRPr="00FE72F1">
              <w:t>Australian Energy Market Commission</w:t>
            </w:r>
          </w:p>
        </w:tc>
      </w:tr>
      <w:tr w:rsidR="00272BE0" w:rsidRPr="00063915" w:rsidTr="00272BE0">
        <w:trPr>
          <w:cnfStyle w:val="000000010000" w:firstRow="0" w:lastRow="0" w:firstColumn="0" w:lastColumn="0" w:oddVBand="0" w:evenVBand="0" w:oddHBand="0" w:evenHBand="1" w:firstRowFirstColumn="0" w:firstRowLastColumn="0" w:lastRowFirstColumn="0" w:lastRowLastColumn="0"/>
        </w:trPr>
        <w:tc>
          <w:tcPr>
            <w:tcW w:w="2235" w:type="dxa"/>
            <w:noWrap/>
          </w:tcPr>
          <w:p w:rsidR="00272BE0" w:rsidRPr="00C30FA2" w:rsidRDefault="00272BE0" w:rsidP="005206C3">
            <w:r w:rsidRPr="00FE72F1">
              <w:t>AER</w:t>
            </w:r>
          </w:p>
        </w:tc>
        <w:tc>
          <w:tcPr>
            <w:tcW w:w="6458" w:type="dxa"/>
            <w:noWrap/>
          </w:tcPr>
          <w:p w:rsidR="00272BE0" w:rsidRPr="00C30FA2" w:rsidRDefault="00272BE0" w:rsidP="005206C3">
            <w:r w:rsidRPr="00FE72F1">
              <w:t xml:space="preserve">Australian </w:t>
            </w:r>
            <w:r w:rsidRPr="00C30FA2">
              <w:t>Energy Regulator</w:t>
            </w:r>
          </w:p>
        </w:tc>
      </w:tr>
      <w:tr w:rsidR="00272BE0" w:rsidRPr="00063915" w:rsidTr="00272BE0">
        <w:tc>
          <w:tcPr>
            <w:tcW w:w="2235" w:type="dxa"/>
            <w:noWrap/>
          </w:tcPr>
          <w:p w:rsidR="00272BE0" w:rsidRPr="00C30FA2" w:rsidRDefault="00272BE0" w:rsidP="005206C3">
            <w:r w:rsidRPr="00FE72F1">
              <w:t>ACT</w:t>
            </w:r>
          </w:p>
        </w:tc>
        <w:tc>
          <w:tcPr>
            <w:tcW w:w="6458" w:type="dxa"/>
            <w:noWrap/>
          </w:tcPr>
          <w:p w:rsidR="00272BE0" w:rsidRPr="00C30FA2" w:rsidRDefault="00272BE0" w:rsidP="005206C3">
            <w:r w:rsidRPr="00FE72F1">
              <w:t>ActewAGL</w:t>
            </w:r>
          </w:p>
        </w:tc>
      </w:tr>
      <w:tr w:rsidR="00272BE0" w:rsidRPr="00063915" w:rsidTr="00272BE0">
        <w:trPr>
          <w:cnfStyle w:val="000000010000" w:firstRow="0" w:lastRow="0" w:firstColumn="0" w:lastColumn="0" w:oddVBand="0" w:evenVBand="0" w:oddHBand="0" w:evenHBand="1" w:firstRowFirstColumn="0" w:firstRowLastColumn="0" w:lastRowFirstColumn="0" w:lastRowLastColumn="0"/>
        </w:trPr>
        <w:tc>
          <w:tcPr>
            <w:tcW w:w="2235" w:type="dxa"/>
            <w:noWrap/>
          </w:tcPr>
          <w:p w:rsidR="00272BE0" w:rsidRPr="00C30FA2" w:rsidRDefault="00272BE0" w:rsidP="005206C3">
            <w:r w:rsidRPr="00FE72F1">
              <w:t>AGD</w:t>
            </w:r>
          </w:p>
        </w:tc>
        <w:tc>
          <w:tcPr>
            <w:tcW w:w="6458" w:type="dxa"/>
            <w:noWrap/>
          </w:tcPr>
          <w:p w:rsidR="00272BE0" w:rsidRPr="00C30FA2" w:rsidRDefault="00272BE0" w:rsidP="005206C3">
            <w:r>
              <w:t>Ausg</w:t>
            </w:r>
            <w:r w:rsidRPr="00C30FA2">
              <w:t>rid</w:t>
            </w:r>
          </w:p>
        </w:tc>
      </w:tr>
      <w:tr w:rsidR="00272BE0" w:rsidRPr="00063915" w:rsidTr="00272BE0">
        <w:tc>
          <w:tcPr>
            <w:tcW w:w="2235" w:type="dxa"/>
            <w:noWrap/>
          </w:tcPr>
          <w:p w:rsidR="00272BE0" w:rsidRPr="00C30FA2" w:rsidRDefault="00272BE0" w:rsidP="005206C3">
            <w:r>
              <w:t>AN</w:t>
            </w:r>
            <w:r w:rsidRPr="00C30FA2">
              <w:t>D</w:t>
            </w:r>
          </w:p>
        </w:tc>
        <w:tc>
          <w:tcPr>
            <w:tcW w:w="6458" w:type="dxa"/>
            <w:noWrap/>
          </w:tcPr>
          <w:p w:rsidR="00272BE0" w:rsidRPr="00C30FA2" w:rsidRDefault="00272BE0" w:rsidP="005206C3">
            <w:r w:rsidRPr="00FE72F1">
              <w:t>AusNet</w:t>
            </w:r>
            <w:r w:rsidRPr="00C30FA2">
              <w:t xml:space="preserve"> Services (distribution)</w:t>
            </w:r>
          </w:p>
        </w:tc>
      </w:tr>
      <w:tr w:rsidR="00272BE0" w:rsidRPr="00063915" w:rsidTr="00272BE0">
        <w:trPr>
          <w:cnfStyle w:val="000000010000" w:firstRow="0" w:lastRow="0" w:firstColumn="0" w:lastColumn="0" w:oddVBand="0" w:evenVBand="0" w:oddHBand="0" w:evenHBand="1" w:firstRowFirstColumn="0" w:firstRowLastColumn="0" w:lastRowFirstColumn="0" w:lastRowLastColumn="0"/>
        </w:trPr>
        <w:tc>
          <w:tcPr>
            <w:tcW w:w="2235" w:type="dxa"/>
            <w:noWrap/>
          </w:tcPr>
          <w:p w:rsidR="00272BE0" w:rsidRPr="00C30FA2" w:rsidRDefault="00272BE0" w:rsidP="005206C3">
            <w:r>
              <w:t>C</w:t>
            </w:r>
            <w:r w:rsidRPr="00FE72F1">
              <w:t>apex</w:t>
            </w:r>
          </w:p>
        </w:tc>
        <w:tc>
          <w:tcPr>
            <w:tcW w:w="6458" w:type="dxa"/>
            <w:noWrap/>
          </w:tcPr>
          <w:p w:rsidR="00272BE0" w:rsidRPr="00C30FA2" w:rsidRDefault="00272BE0" w:rsidP="005206C3">
            <w:r w:rsidRPr="00FE72F1">
              <w:t>Capital expenditure</w:t>
            </w:r>
          </w:p>
        </w:tc>
      </w:tr>
      <w:tr w:rsidR="00272BE0" w:rsidRPr="00063915" w:rsidTr="00272BE0">
        <w:tc>
          <w:tcPr>
            <w:tcW w:w="2235" w:type="dxa"/>
            <w:noWrap/>
          </w:tcPr>
          <w:p w:rsidR="00272BE0" w:rsidRPr="00C30FA2" w:rsidRDefault="00272BE0" w:rsidP="005206C3">
            <w:r w:rsidRPr="00FE72F1">
              <w:t>CIT</w:t>
            </w:r>
          </w:p>
        </w:tc>
        <w:tc>
          <w:tcPr>
            <w:tcW w:w="6458" w:type="dxa"/>
            <w:noWrap/>
          </w:tcPr>
          <w:p w:rsidR="00272BE0" w:rsidRPr="00C30FA2" w:rsidRDefault="00272BE0" w:rsidP="005206C3">
            <w:r w:rsidRPr="00FE72F1">
              <w:t>Citi</w:t>
            </w:r>
            <w:r w:rsidRPr="00C30FA2">
              <w:t>Power</w:t>
            </w:r>
          </w:p>
        </w:tc>
      </w:tr>
      <w:tr w:rsidR="00272BE0" w:rsidRPr="00063915" w:rsidTr="00272BE0">
        <w:trPr>
          <w:cnfStyle w:val="000000010000" w:firstRow="0" w:lastRow="0" w:firstColumn="0" w:lastColumn="0" w:oddVBand="0" w:evenVBand="0" w:oddHBand="0" w:evenHBand="1" w:firstRowFirstColumn="0" w:firstRowLastColumn="0" w:lastRowFirstColumn="0" w:lastRowLastColumn="0"/>
        </w:trPr>
        <w:tc>
          <w:tcPr>
            <w:tcW w:w="2235" w:type="dxa"/>
            <w:noWrap/>
          </w:tcPr>
          <w:p w:rsidR="00272BE0" w:rsidRPr="00FE72F1" w:rsidRDefault="00272BE0" w:rsidP="005206C3">
            <w:r>
              <w:t>DNSP</w:t>
            </w:r>
          </w:p>
        </w:tc>
        <w:tc>
          <w:tcPr>
            <w:tcW w:w="6458" w:type="dxa"/>
            <w:noWrap/>
          </w:tcPr>
          <w:p w:rsidR="00272BE0" w:rsidRPr="00FE72F1" w:rsidRDefault="00272BE0" w:rsidP="005206C3">
            <w:r>
              <w:t>Distribution network service provider</w:t>
            </w:r>
          </w:p>
        </w:tc>
      </w:tr>
      <w:tr w:rsidR="00272BE0" w:rsidRPr="00063915" w:rsidTr="00272BE0">
        <w:tc>
          <w:tcPr>
            <w:tcW w:w="2235" w:type="dxa"/>
            <w:noWrap/>
          </w:tcPr>
          <w:p w:rsidR="00272BE0" w:rsidRPr="00C30FA2" w:rsidRDefault="00272BE0" w:rsidP="005206C3">
            <w:r w:rsidRPr="00FE72F1">
              <w:t>END</w:t>
            </w:r>
          </w:p>
        </w:tc>
        <w:tc>
          <w:tcPr>
            <w:tcW w:w="6458" w:type="dxa"/>
            <w:noWrap/>
          </w:tcPr>
          <w:p w:rsidR="00272BE0" w:rsidRPr="00C30FA2" w:rsidRDefault="00272BE0" w:rsidP="005206C3">
            <w:r w:rsidRPr="00FE72F1">
              <w:t>Endeavour Energy</w:t>
            </w:r>
          </w:p>
        </w:tc>
      </w:tr>
      <w:tr w:rsidR="00272BE0" w:rsidRPr="00063915" w:rsidTr="00272BE0">
        <w:trPr>
          <w:cnfStyle w:val="000000010000" w:firstRow="0" w:lastRow="0" w:firstColumn="0" w:lastColumn="0" w:oddVBand="0" w:evenVBand="0" w:oddHBand="0" w:evenHBand="1" w:firstRowFirstColumn="0" w:firstRowLastColumn="0" w:lastRowFirstColumn="0" w:lastRowLastColumn="0"/>
        </w:trPr>
        <w:tc>
          <w:tcPr>
            <w:tcW w:w="2235" w:type="dxa"/>
            <w:noWrap/>
          </w:tcPr>
          <w:p w:rsidR="00272BE0" w:rsidRPr="00C30FA2" w:rsidRDefault="00272BE0" w:rsidP="005206C3">
            <w:r w:rsidRPr="00FE72F1">
              <w:t>ENX</w:t>
            </w:r>
          </w:p>
        </w:tc>
        <w:tc>
          <w:tcPr>
            <w:tcW w:w="6458" w:type="dxa"/>
            <w:noWrap/>
          </w:tcPr>
          <w:p w:rsidR="00272BE0" w:rsidRPr="00C30FA2" w:rsidRDefault="00272BE0" w:rsidP="005206C3">
            <w:r w:rsidRPr="00FE72F1">
              <w:t>Energex</w:t>
            </w:r>
          </w:p>
        </w:tc>
      </w:tr>
      <w:tr w:rsidR="00272BE0" w:rsidRPr="00063915" w:rsidTr="00272BE0">
        <w:tc>
          <w:tcPr>
            <w:tcW w:w="2235" w:type="dxa"/>
            <w:noWrap/>
          </w:tcPr>
          <w:p w:rsidR="00272BE0" w:rsidRPr="00C30FA2" w:rsidRDefault="00272BE0" w:rsidP="005206C3">
            <w:r w:rsidRPr="00FE72F1">
              <w:t>ERG</w:t>
            </w:r>
          </w:p>
        </w:tc>
        <w:tc>
          <w:tcPr>
            <w:tcW w:w="6458" w:type="dxa"/>
            <w:noWrap/>
          </w:tcPr>
          <w:p w:rsidR="00272BE0" w:rsidRPr="00C30FA2" w:rsidRDefault="00272BE0" w:rsidP="005206C3">
            <w:r w:rsidRPr="00FE72F1">
              <w:t>Ergon Energy</w:t>
            </w:r>
          </w:p>
        </w:tc>
      </w:tr>
      <w:tr w:rsidR="00272BE0" w:rsidRPr="00063915" w:rsidTr="00272BE0">
        <w:trPr>
          <w:cnfStyle w:val="000000010000" w:firstRow="0" w:lastRow="0" w:firstColumn="0" w:lastColumn="0" w:oddVBand="0" w:evenVBand="0" w:oddHBand="0" w:evenHBand="1" w:firstRowFirstColumn="0" w:firstRowLastColumn="0" w:lastRowFirstColumn="0" w:lastRowLastColumn="0"/>
        </w:trPr>
        <w:tc>
          <w:tcPr>
            <w:tcW w:w="2235" w:type="dxa"/>
            <w:noWrap/>
          </w:tcPr>
          <w:p w:rsidR="00272BE0" w:rsidRPr="00C30FA2" w:rsidRDefault="00272BE0" w:rsidP="005206C3">
            <w:r w:rsidRPr="00FE72F1">
              <w:t>ESS</w:t>
            </w:r>
          </w:p>
        </w:tc>
        <w:tc>
          <w:tcPr>
            <w:tcW w:w="6458" w:type="dxa"/>
            <w:noWrap/>
          </w:tcPr>
          <w:p w:rsidR="00272BE0" w:rsidRPr="00C30FA2" w:rsidRDefault="00272BE0" w:rsidP="005206C3">
            <w:r w:rsidRPr="00FE72F1">
              <w:t>Essential Energy</w:t>
            </w:r>
          </w:p>
        </w:tc>
      </w:tr>
      <w:tr w:rsidR="009B5636" w:rsidRPr="00063915" w:rsidTr="00272BE0">
        <w:tc>
          <w:tcPr>
            <w:tcW w:w="2235" w:type="dxa"/>
            <w:noWrap/>
          </w:tcPr>
          <w:p w:rsidR="009B5636" w:rsidRPr="00FE72F1" w:rsidRDefault="009B5636" w:rsidP="005206C3">
            <w:r>
              <w:t>IEEE</w:t>
            </w:r>
          </w:p>
        </w:tc>
        <w:tc>
          <w:tcPr>
            <w:tcW w:w="6458" w:type="dxa"/>
            <w:noWrap/>
          </w:tcPr>
          <w:p w:rsidR="009B5636" w:rsidRPr="00FE72F1" w:rsidRDefault="009B5636" w:rsidP="005206C3">
            <w:r w:rsidRPr="006915AD">
              <w:t>Institute of Electrical and Electronics Engineers</w:t>
            </w:r>
          </w:p>
        </w:tc>
      </w:tr>
      <w:tr w:rsidR="00272BE0" w:rsidRPr="00063915" w:rsidTr="00272BE0">
        <w:trPr>
          <w:cnfStyle w:val="000000010000" w:firstRow="0" w:lastRow="0" w:firstColumn="0" w:lastColumn="0" w:oddVBand="0" w:evenVBand="0" w:oddHBand="0" w:evenHBand="1" w:firstRowFirstColumn="0" w:firstRowLastColumn="0" w:lastRowFirstColumn="0" w:lastRowLastColumn="0"/>
        </w:trPr>
        <w:tc>
          <w:tcPr>
            <w:tcW w:w="2235" w:type="dxa"/>
            <w:noWrap/>
          </w:tcPr>
          <w:p w:rsidR="00272BE0" w:rsidRPr="00C30FA2" w:rsidRDefault="00272BE0" w:rsidP="005206C3">
            <w:r w:rsidRPr="00FE72F1">
              <w:t>JEN</w:t>
            </w:r>
          </w:p>
        </w:tc>
        <w:tc>
          <w:tcPr>
            <w:tcW w:w="6458" w:type="dxa"/>
            <w:noWrap/>
          </w:tcPr>
          <w:p w:rsidR="00272BE0" w:rsidRPr="00C30FA2" w:rsidRDefault="00272BE0" w:rsidP="005206C3">
            <w:r w:rsidRPr="00FE72F1">
              <w:t>Jemena Electricity Networks</w:t>
            </w:r>
          </w:p>
        </w:tc>
      </w:tr>
      <w:tr w:rsidR="00272BE0" w:rsidRPr="00063915" w:rsidTr="00272BE0">
        <w:tc>
          <w:tcPr>
            <w:tcW w:w="2235" w:type="dxa"/>
            <w:noWrap/>
          </w:tcPr>
          <w:p w:rsidR="00272BE0" w:rsidRPr="00FE72F1" w:rsidRDefault="00272BE0" w:rsidP="005206C3">
            <w:r>
              <w:t>MW</w:t>
            </w:r>
          </w:p>
        </w:tc>
        <w:tc>
          <w:tcPr>
            <w:tcW w:w="6458" w:type="dxa"/>
            <w:noWrap/>
          </w:tcPr>
          <w:p w:rsidR="00272BE0" w:rsidRPr="00FE72F1" w:rsidRDefault="00272BE0" w:rsidP="005206C3">
            <w:r>
              <w:t>Megawatt</w:t>
            </w:r>
          </w:p>
        </w:tc>
      </w:tr>
      <w:tr w:rsidR="00272BE0" w:rsidRPr="00063915" w:rsidTr="00272BE0">
        <w:trPr>
          <w:cnfStyle w:val="000000010000" w:firstRow="0" w:lastRow="0" w:firstColumn="0" w:lastColumn="0" w:oddVBand="0" w:evenVBand="0" w:oddHBand="0" w:evenHBand="1" w:firstRowFirstColumn="0" w:firstRowLastColumn="0" w:lastRowFirstColumn="0" w:lastRowLastColumn="0"/>
        </w:trPr>
        <w:tc>
          <w:tcPr>
            <w:tcW w:w="2235" w:type="dxa"/>
            <w:noWrap/>
          </w:tcPr>
          <w:p w:rsidR="00272BE0" w:rsidRPr="00C30FA2" w:rsidRDefault="00272BE0" w:rsidP="005206C3">
            <w:r w:rsidRPr="00FE72F1">
              <w:t>NEL</w:t>
            </w:r>
          </w:p>
        </w:tc>
        <w:tc>
          <w:tcPr>
            <w:tcW w:w="6458" w:type="dxa"/>
            <w:noWrap/>
          </w:tcPr>
          <w:p w:rsidR="00272BE0" w:rsidRPr="00C30FA2" w:rsidRDefault="00272BE0" w:rsidP="005206C3">
            <w:r w:rsidRPr="00FE72F1">
              <w:t>National Electricity Law</w:t>
            </w:r>
          </w:p>
        </w:tc>
      </w:tr>
      <w:tr w:rsidR="00272BE0" w:rsidRPr="00063915" w:rsidTr="00272BE0">
        <w:tc>
          <w:tcPr>
            <w:tcW w:w="2235" w:type="dxa"/>
            <w:noWrap/>
          </w:tcPr>
          <w:p w:rsidR="00272BE0" w:rsidRPr="00C30FA2" w:rsidRDefault="00272BE0" w:rsidP="005206C3">
            <w:r w:rsidRPr="00FE72F1">
              <w:t>NEM</w:t>
            </w:r>
          </w:p>
        </w:tc>
        <w:tc>
          <w:tcPr>
            <w:tcW w:w="6458" w:type="dxa"/>
            <w:noWrap/>
          </w:tcPr>
          <w:p w:rsidR="00272BE0" w:rsidRPr="00C30FA2" w:rsidRDefault="00272BE0" w:rsidP="005206C3">
            <w:r w:rsidRPr="00FE72F1">
              <w:t>National Electricity Market</w:t>
            </w:r>
          </w:p>
        </w:tc>
      </w:tr>
      <w:tr w:rsidR="00272BE0" w:rsidRPr="00063915" w:rsidTr="00272BE0">
        <w:trPr>
          <w:cnfStyle w:val="000000010000" w:firstRow="0" w:lastRow="0" w:firstColumn="0" w:lastColumn="0" w:oddVBand="0" w:evenVBand="0" w:oddHBand="0" w:evenHBand="1" w:firstRowFirstColumn="0" w:firstRowLastColumn="0" w:lastRowFirstColumn="0" w:lastRowLastColumn="0"/>
        </w:trPr>
        <w:tc>
          <w:tcPr>
            <w:tcW w:w="2235" w:type="dxa"/>
            <w:noWrap/>
          </w:tcPr>
          <w:p w:rsidR="00272BE0" w:rsidRPr="00C30FA2" w:rsidRDefault="00272BE0" w:rsidP="005206C3">
            <w:r w:rsidRPr="00FE72F1">
              <w:t>NER</w:t>
            </w:r>
          </w:p>
        </w:tc>
        <w:tc>
          <w:tcPr>
            <w:tcW w:w="6458" w:type="dxa"/>
            <w:noWrap/>
          </w:tcPr>
          <w:p w:rsidR="00272BE0" w:rsidRPr="00C30FA2" w:rsidRDefault="00272BE0" w:rsidP="005206C3">
            <w:r w:rsidRPr="00FE72F1">
              <w:t>National Electricity Rules</w:t>
            </w:r>
          </w:p>
        </w:tc>
      </w:tr>
      <w:tr w:rsidR="00272BE0" w:rsidRPr="00063915" w:rsidTr="00272BE0">
        <w:tc>
          <w:tcPr>
            <w:tcW w:w="2235" w:type="dxa"/>
            <w:noWrap/>
          </w:tcPr>
          <w:p w:rsidR="00272BE0" w:rsidRPr="00C30FA2" w:rsidRDefault="00272BE0" w:rsidP="005206C3">
            <w:r>
              <w:t>O</w:t>
            </w:r>
            <w:r w:rsidRPr="00FE72F1">
              <w:t>pex</w:t>
            </w:r>
          </w:p>
        </w:tc>
        <w:tc>
          <w:tcPr>
            <w:tcW w:w="6458" w:type="dxa"/>
            <w:noWrap/>
          </w:tcPr>
          <w:p w:rsidR="00272BE0" w:rsidRPr="00C30FA2" w:rsidRDefault="00272BE0" w:rsidP="005206C3">
            <w:r w:rsidRPr="00FE72F1">
              <w:t>Operating expenditure</w:t>
            </w:r>
          </w:p>
        </w:tc>
      </w:tr>
      <w:tr w:rsidR="00272BE0" w:rsidRPr="00063915" w:rsidTr="00272BE0">
        <w:trPr>
          <w:cnfStyle w:val="000000010000" w:firstRow="0" w:lastRow="0" w:firstColumn="0" w:lastColumn="0" w:oddVBand="0" w:evenVBand="0" w:oddHBand="0" w:evenHBand="1" w:firstRowFirstColumn="0" w:firstRowLastColumn="0" w:lastRowFirstColumn="0" w:lastRowLastColumn="0"/>
        </w:trPr>
        <w:tc>
          <w:tcPr>
            <w:tcW w:w="2235" w:type="dxa"/>
            <w:noWrap/>
          </w:tcPr>
          <w:p w:rsidR="00272BE0" w:rsidRPr="00C30FA2" w:rsidRDefault="00272BE0" w:rsidP="005206C3">
            <w:r w:rsidRPr="00FE72F1">
              <w:t>PCR</w:t>
            </w:r>
          </w:p>
        </w:tc>
        <w:tc>
          <w:tcPr>
            <w:tcW w:w="6458" w:type="dxa"/>
            <w:noWrap/>
          </w:tcPr>
          <w:p w:rsidR="00272BE0" w:rsidRPr="00C30FA2" w:rsidRDefault="00272BE0" w:rsidP="005206C3">
            <w:r w:rsidRPr="00FE72F1">
              <w:t>Powercor</w:t>
            </w:r>
          </w:p>
        </w:tc>
      </w:tr>
      <w:tr w:rsidR="00272BE0" w:rsidRPr="00063915" w:rsidTr="00272BE0">
        <w:tc>
          <w:tcPr>
            <w:tcW w:w="2235" w:type="dxa"/>
            <w:noWrap/>
          </w:tcPr>
          <w:p w:rsidR="00272BE0" w:rsidRPr="00C30FA2" w:rsidRDefault="00272BE0" w:rsidP="005206C3">
            <w:r w:rsidRPr="00FE72F1">
              <w:t>RAB</w:t>
            </w:r>
          </w:p>
        </w:tc>
        <w:tc>
          <w:tcPr>
            <w:tcW w:w="6458" w:type="dxa"/>
            <w:noWrap/>
          </w:tcPr>
          <w:p w:rsidR="00272BE0" w:rsidRPr="00C30FA2" w:rsidRDefault="00272BE0" w:rsidP="005206C3">
            <w:r w:rsidRPr="00FE72F1">
              <w:t>Regulatory asset base</w:t>
            </w:r>
          </w:p>
        </w:tc>
      </w:tr>
      <w:tr w:rsidR="00272BE0" w:rsidRPr="00063915" w:rsidTr="00272BE0">
        <w:trPr>
          <w:cnfStyle w:val="000000010000" w:firstRow="0" w:lastRow="0" w:firstColumn="0" w:lastColumn="0" w:oddVBand="0" w:evenVBand="0" w:oddHBand="0" w:evenHBand="1" w:firstRowFirstColumn="0" w:firstRowLastColumn="0" w:lastRowFirstColumn="0" w:lastRowLastColumn="0"/>
        </w:trPr>
        <w:tc>
          <w:tcPr>
            <w:tcW w:w="2235" w:type="dxa"/>
            <w:noWrap/>
          </w:tcPr>
          <w:p w:rsidR="00272BE0" w:rsidRPr="00C30FA2" w:rsidRDefault="00272BE0" w:rsidP="005206C3">
            <w:r w:rsidRPr="00FE72F1">
              <w:t>SAP</w:t>
            </w:r>
          </w:p>
        </w:tc>
        <w:tc>
          <w:tcPr>
            <w:tcW w:w="6458" w:type="dxa"/>
            <w:noWrap/>
          </w:tcPr>
          <w:p w:rsidR="00272BE0" w:rsidRPr="00C30FA2" w:rsidRDefault="00272BE0" w:rsidP="005206C3">
            <w:r w:rsidRPr="00FE72F1">
              <w:t>SA Power Networks</w:t>
            </w:r>
          </w:p>
        </w:tc>
      </w:tr>
      <w:tr w:rsidR="00272BE0" w:rsidRPr="00063915" w:rsidTr="00272BE0">
        <w:trPr>
          <w:trHeight w:val="142"/>
        </w:trPr>
        <w:tc>
          <w:tcPr>
            <w:tcW w:w="2235" w:type="dxa"/>
            <w:noWrap/>
          </w:tcPr>
          <w:p w:rsidR="00272BE0" w:rsidRPr="00FE72F1" w:rsidRDefault="00272BE0" w:rsidP="005206C3">
            <w:r>
              <w:t>TND</w:t>
            </w:r>
          </w:p>
        </w:tc>
        <w:tc>
          <w:tcPr>
            <w:tcW w:w="6458" w:type="dxa"/>
            <w:noWrap/>
          </w:tcPr>
          <w:p w:rsidR="00272BE0" w:rsidRPr="00FE72F1" w:rsidRDefault="00272BE0" w:rsidP="005206C3">
            <w:r>
              <w:t>TasNetworks (Distribution)</w:t>
            </w:r>
          </w:p>
        </w:tc>
      </w:tr>
      <w:tr w:rsidR="00272BE0" w:rsidRPr="00063915" w:rsidTr="00272BE0">
        <w:trPr>
          <w:cnfStyle w:val="000000010000" w:firstRow="0" w:lastRow="0" w:firstColumn="0" w:lastColumn="0" w:oddVBand="0" w:evenVBand="0" w:oddHBand="0" w:evenHBand="1" w:firstRowFirstColumn="0" w:firstRowLastColumn="0" w:lastRowFirstColumn="0" w:lastRowLastColumn="0"/>
          <w:trHeight w:val="142"/>
        </w:trPr>
        <w:tc>
          <w:tcPr>
            <w:tcW w:w="2235" w:type="dxa"/>
            <w:noWrap/>
          </w:tcPr>
          <w:p w:rsidR="00272BE0" w:rsidRPr="00C30FA2" w:rsidRDefault="00272BE0" w:rsidP="005206C3">
            <w:r w:rsidRPr="00FE72F1">
              <w:t>UED</w:t>
            </w:r>
          </w:p>
        </w:tc>
        <w:tc>
          <w:tcPr>
            <w:tcW w:w="6458" w:type="dxa"/>
            <w:noWrap/>
          </w:tcPr>
          <w:p w:rsidR="00272BE0" w:rsidRPr="00C30FA2" w:rsidRDefault="00272BE0" w:rsidP="005206C3">
            <w:r w:rsidRPr="00FE72F1">
              <w:t>United Energy Distribution</w:t>
            </w:r>
          </w:p>
        </w:tc>
      </w:tr>
    </w:tbl>
    <w:p w:rsidR="0069742C" w:rsidRDefault="00AD5FA9" w:rsidP="00D2716D">
      <w:pPr>
        <w:pStyle w:val="UnnumberedHeading"/>
      </w:pPr>
      <w:bookmarkStart w:id="1" w:name="_Toc435712620"/>
      <w:r>
        <w:lastRenderedPageBreak/>
        <w:t>Glos</w:t>
      </w:r>
      <w:r w:rsidR="0069742C">
        <w:t>s</w:t>
      </w:r>
      <w:r>
        <w:t>ary</w:t>
      </w:r>
      <w:bookmarkEnd w:id="1"/>
    </w:p>
    <w:tbl>
      <w:tblPr>
        <w:tblStyle w:val="AERtable-text0"/>
        <w:tblW w:w="0" w:type="auto"/>
        <w:tblLook w:val="04A0" w:firstRow="1" w:lastRow="0" w:firstColumn="1" w:lastColumn="0" w:noHBand="0" w:noVBand="1"/>
      </w:tblPr>
      <w:tblGrid>
        <w:gridCol w:w="3039"/>
        <w:gridCol w:w="5654"/>
      </w:tblGrid>
      <w:tr w:rsidR="0069742C" w:rsidRPr="005F6082" w:rsidTr="00BD524F">
        <w:trPr>
          <w:cnfStyle w:val="100000000000" w:firstRow="1" w:lastRow="0" w:firstColumn="0" w:lastColumn="0" w:oddVBand="0" w:evenVBand="0" w:oddHBand="0" w:evenHBand="0" w:firstRowFirstColumn="0" w:firstRowLastColumn="0" w:lastRowFirstColumn="0" w:lastRowLastColumn="0"/>
        </w:trPr>
        <w:tc>
          <w:tcPr>
            <w:tcW w:w="3039" w:type="dxa"/>
          </w:tcPr>
          <w:p w:rsidR="0069742C" w:rsidRPr="00C30FA2" w:rsidRDefault="00AD5FA9" w:rsidP="00F40268">
            <w:r>
              <w:t>T</w:t>
            </w:r>
            <w:r w:rsidR="0069742C">
              <w:t>erm</w:t>
            </w:r>
          </w:p>
        </w:tc>
        <w:tc>
          <w:tcPr>
            <w:tcW w:w="5654" w:type="dxa"/>
          </w:tcPr>
          <w:p w:rsidR="0069742C" w:rsidRPr="00C30FA2" w:rsidRDefault="00AD5FA9" w:rsidP="00F40268">
            <w:r>
              <w:t>Description</w:t>
            </w:r>
          </w:p>
        </w:tc>
      </w:tr>
      <w:tr w:rsidR="00AD5FA9" w:rsidRPr="00063915" w:rsidTr="00BD524F">
        <w:tc>
          <w:tcPr>
            <w:tcW w:w="3039" w:type="dxa"/>
            <w:noWrap/>
          </w:tcPr>
          <w:p w:rsidR="00AD5FA9" w:rsidRDefault="00AD5FA9" w:rsidP="00F40268">
            <w:r>
              <w:t>Allocative efficiency</w:t>
            </w:r>
          </w:p>
        </w:tc>
        <w:tc>
          <w:tcPr>
            <w:tcW w:w="5654" w:type="dxa"/>
            <w:noWrap/>
          </w:tcPr>
          <w:p w:rsidR="00AD5FA9" w:rsidRPr="00FE72F1" w:rsidRDefault="00AD5FA9" w:rsidP="00F40268">
            <w:r>
              <w:t>Allocative efficiency is achieved where resources used to produce a set of goods or services are allocated to their highest value uses (i.e., those that provide the greatest benefit relative to costs). In other words, goods and services are produced in the combination that consumers value the most. To achieve this, prices of the goods and services must reflect the productively efficient costs of providing those goods and services.</w:t>
            </w:r>
          </w:p>
        </w:tc>
      </w:tr>
      <w:tr w:rsidR="00AD5FA9" w:rsidRPr="00063915" w:rsidTr="00BD524F">
        <w:trPr>
          <w:cnfStyle w:val="000000010000" w:firstRow="0" w:lastRow="0" w:firstColumn="0" w:lastColumn="0" w:oddVBand="0" w:evenVBand="0" w:oddHBand="0" w:evenHBand="1" w:firstRowFirstColumn="0" w:firstRowLastColumn="0" w:lastRowFirstColumn="0" w:lastRowLastColumn="0"/>
        </w:trPr>
        <w:tc>
          <w:tcPr>
            <w:tcW w:w="3039" w:type="dxa"/>
            <w:noWrap/>
          </w:tcPr>
          <w:p w:rsidR="00AD5FA9" w:rsidRPr="00FE72F1" w:rsidRDefault="00AD5FA9" w:rsidP="00AD5FA9">
            <w:r>
              <w:t>Dynamic efficiency</w:t>
            </w:r>
          </w:p>
        </w:tc>
        <w:tc>
          <w:tcPr>
            <w:tcW w:w="5654" w:type="dxa"/>
            <w:noWrap/>
          </w:tcPr>
          <w:p w:rsidR="00AD5FA9" w:rsidRPr="00FE72F1" w:rsidRDefault="00AD5FA9" w:rsidP="00AD5FA9">
            <w:r>
              <w:t>Dynamic efficiency reflects the need for industries to make timely changes to technology and products in response to changes in consumer tastes and in productive opportunity. Dynamic efficiency is achieved when a business is productively and allocatively efficient over time.</w:t>
            </w:r>
          </w:p>
        </w:tc>
      </w:tr>
      <w:tr w:rsidR="004E2E3C" w:rsidRPr="00063915" w:rsidTr="00BD524F">
        <w:tc>
          <w:tcPr>
            <w:tcW w:w="3039" w:type="dxa"/>
            <w:noWrap/>
          </w:tcPr>
          <w:p w:rsidR="004E2E3C" w:rsidRPr="00FE72F1" w:rsidRDefault="004E2E3C" w:rsidP="00F40268">
            <w:r>
              <w:t>Inputs</w:t>
            </w:r>
          </w:p>
        </w:tc>
        <w:tc>
          <w:tcPr>
            <w:tcW w:w="5654" w:type="dxa"/>
            <w:noWrap/>
          </w:tcPr>
          <w:p w:rsidR="004E2E3C" w:rsidRPr="00FE72F1" w:rsidRDefault="003A4C69" w:rsidP="00F40268">
            <w:r>
              <w:t>Inputs are the resources DNSPs use to provide services</w:t>
            </w:r>
            <w:r w:rsidR="00272BE0">
              <w:t>.</w:t>
            </w:r>
          </w:p>
        </w:tc>
      </w:tr>
      <w:tr w:rsidR="008A7BEA" w:rsidRPr="00063915" w:rsidTr="00BD524F">
        <w:trPr>
          <w:cnfStyle w:val="000000010000" w:firstRow="0" w:lastRow="0" w:firstColumn="0" w:lastColumn="0" w:oddVBand="0" w:evenVBand="0" w:oddHBand="0" w:evenHBand="1" w:firstRowFirstColumn="0" w:firstRowLastColumn="0" w:lastRowFirstColumn="0" w:lastRowLastColumn="0"/>
        </w:trPr>
        <w:tc>
          <w:tcPr>
            <w:tcW w:w="3039" w:type="dxa"/>
            <w:noWrap/>
          </w:tcPr>
          <w:p w:rsidR="008A7BEA" w:rsidRDefault="008A7BEA" w:rsidP="00F40268">
            <w:r>
              <w:t>LSE</w:t>
            </w:r>
          </w:p>
        </w:tc>
        <w:tc>
          <w:tcPr>
            <w:tcW w:w="5654" w:type="dxa"/>
            <w:noWrap/>
          </w:tcPr>
          <w:p w:rsidR="008A7BEA" w:rsidRDefault="008A7BEA" w:rsidP="005E1BEE">
            <w:r>
              <w:t>Least squares econometrics</w:t>
            </w:r>
            <w:r w:rsidR="00AD5FA9">
              <w:t xml:space="preserve">. LSE is </w:t>
            </w:r>
            <w:r w:rsidR="00BD524F">
              <w:t xml:space="preserve">an econometric modelling technique that uses statistics to estimate the relationship </w:t>
            </w:r>
            <w:r w:rsidR="00BD524F" w:rsidRPr="005E1BEE">
              <w:t>between inputs and outputs</w:t>
            </w:r>
            <w:r w:rsidR="00BD524F">
              <w:t xml:space="preserve">. </w:t>
            </w:r>
            <w:r w:rsidR="005E1BEE">
              <w:t xml:space="preserve">Because they are statistical models, LSE models </w:t>
            </w:r>
            <w:r w:rsidR="00274E50">
              <w:t xml:space="preserve">allow for economies and diseconomies of scale and </w:t>
            </w:r>
            <w:r w:rsidR="005E1BEE">
              <w:t xml:space="preserve">can distinguish between </w:t>
            </w:r>
            <w:r w:rsidR="00274E50">
              <w:t>random variations in the data and systematic differences between DNSPs.</w:t>
            </w:r>
          </w:p>
        </w:tc>
      </w:tr>
      <w:tr w:rsidR="008A7BEA" w:rsidRPr="00063915" w:rsidTr="00BD524F">
        <w:tc>
          <w:tcPr>
            <w:tcW w:w="3039" w:type="dxa"/>
            <w:noWrap/>
          </w:tcPr>
          <w:p w:rsidR="008A7BEA" w:rsidRPr="00FE72F1" w:rsidRDefault="008A7BEA" w:rsidP="00F40268">
            <w:r>
              <w:t>MPFP</w:t>
            </w:r>
          </w:p>
        </w:tc>
        <w:tc>
          <w:tcPr>
            <w:tcW w:w="5654" w:type="dxa"/>
            <w:noWrap/>
          </w:tcPr>
          <w:p w:rsidR="008A7BEA" w:rsidRPr="00FE72F1" w:rsidRDefault="008A7BEA" w:rsidP="00274E50">
            <w:r>
              <w:t>Multilateral partial factor productivity</w:t>
            </w:r>
            <w:r w:rsidR="00274E50">
              <w:t>. MPFP is a PIN technique that measures the relationship between total output and one input.</w:t>
            </w:r>
          </w:p>
        </w:tc>
      </w:tr>
      <w:tr w:rsidR="0069742C" w:rsidRPr="00063915" w:rsidTr="00BD524F">
        <w:trPr>
          <w:cnfStyle w:val="000000010000" w:firstRow="0" w:lastRow="0" w:firstColumn="0" w:lastColumn="0" w:oddVBand="0" w:evenVBand="0" w:oddHBand="0" w:evenHBand="1" w:firstRowFirstColumn="0" w:firstRowLastColumn="0" w:lastRowFirstColumn="0" w:lastRowLastColumn="0"/>
        </w:trPr>
        <w:tc>
          <w:tcPr>
            <w:tcW w:w="3039" w:type="dxa"/>
            <w:noWrap/>
          </w:tcPr>
          <w:p w:rsidR="0069742C" w:rsidRPr="00C30FA2" w:rsidRDefault="0069742C" w:rsidP="00F40268">
            <w:r w:rsidRPr="00FE72F1">
              <w:t>MTFP</w:t>
            </w:r>
          </w:p>
        </w:tc>
        <w:tc>
          <w:tcPr>
            <w:tcW w:w="5654" w:type="dxa"/>
            <w:noWrap/>
          </w:tcPr>
          <w:p w:rsidR="0069742C" w:rsidRPr="00C30FA2" w:rsidRDefault="0069742C" w:rsidP="00F40268">
            <w:r w:rsidRPr="00FE72F1">
              <w:t xml:space="preserve">Multilateral total </w:t>
            </w:r>
            <w:r w:rsidRPr="00C30FA2">
              <w:t>factor productivity</w:t>
            </w:r>
            <w:r w:rsidR="00274E50">
              <w:t>. MTFP is a PIN technique that measures the relationship between total output and total input.</w:t>
            </w:r>
          </w:p>
        </w:tc>
      </w:tr>
      <w:tr w:rsidR="00596D16" w:rsidRPr="00063915" w:rsidTr="00BD524F">
        <w:tc>
          <w:tcPr>
            <w:tcW w:w="3039" w:type="dxa"/>
            <w:noWrap/>
          </w:tcPr>
          <w:p w:rsidR="00596D16" w:rsidRDefault="00596D16" w:rsidP="00F40268">
            <w:r>
              <w:t>Network services opex</w:t>
            </w:r>
          </w:p>
        </w:tc>
        <w:tc>
          <w:tcPr>
            <w:tcW w:w="5654" w:type="dxa"/>
            <w:noWrap/>
          </w:tcPr>
          <w:p w:rsidR="00596D16" w:rsidRDefault="00596D16" w:rsidP="00BD524F">
            <w:r>
              <w:t>Opex for network services excludes amounts associated with metering, customer connections, street lighting, ancillary services and solar feed-in tariff payments.</w:t>
            </w:r>
          </w:p>
        </w:tc>
      </w:tr>
      <w:tr w:rsidR="00BD524F" w:rsidRPr="00063915" w:rsidTr="00BD524F">
        <w:trPr>
          <w:cnfStyle w:val="000000010000" w:firstRow="0" w:lastRow="0" w:firstColumn="0" w:lastColumn="0" w:oddVBand="0" w:evenVBand="0" w:oddHBand="0" w:evenHBand="1" w:firstRowFirstColumn="0" w:firstRowLastColumn="0" w:lastRowFirstColumn="0" w:lastRowLastColumn="0"/>
        </w:trPr>
        <w:tc>
          <w:tcPr>
            <w:tcW w:w="3039" w:type="dxa"/>
            <w:noWrap/>
          </w:tcPr>
          <w:p w:rsidR="00BD524F" w:rsidRDefault="00BD524F" w:rsidP="00F40268">
            <w:r>
              <w:t>OEF</w:t>
            </w:r>
            <w:r w:rsidR="00272BE0">
              <w:t>s</w:t>
            </w:r>
          </w:p>
        </w:tc>
        <w:tc>
          <w:tcPr>
            <w:tcW w:w="5654" w:type="dxa"/>
            <w:noWrap/>
          </w:tcPr>
          <w:p w:rsidR="00BD524F" w:rsidRPr="00FE72F1" w:rsidRDefault="00BD524F" w:rsidP="00274E50">
            <w:r>
              <w:t>Operating environment factor</w:t>
            </w:r>
            <w:r w:rsidR="00272BE0">
              <w:t>s</w:t>
            </w:r>
            <w:r>
              <w:t xml:space="preserve">. OEFs are factors beyond a DNSP’s control that can affect its costs </w:t>
            </w:r>
            <w:r w:rsidR="00274E50">
              <w:t>and benchmarking performance</w:t>
            </w:r>
            <w:r>
              <w:t xml:space="preserve">. </w:t>
            </w:r>
          </w:p>
        </w:tc>
      </w:tr>
      <w:tr w:rsidR="004E2E3C" w:rsidRPr="00063915" w:rsidTr="00BD524F">
        <w:tc>
          <w:tcPr>
            <w:tcW w:w="3039" w:type="dxa"/>
            <w:noWrap/>
          </w:tcPr>
          <w:p w:rsidR="004E2E3C" w:rsidRPr="00FE72F1" w:rsidRDefault="004E2E3C" w:rsidP="00F40268">
            <w:r>
              <w:t>Outputs</w:t>
            </w:r>
          </w:p>
        </w:tc>
        <w:tc>
          <w:tcPr>
            <w:tcW w:w="5654" w:type="dxa"/>
            <w:noWrap/>
          </w:tcPr>
          <w:p w:rsidR="004E2E3C" w:rsidRPr="00FE72F1" w:rsidRDefault="003A4C69" w:rsidP="00F40268">
            <w:r>
              <w:t xml:space="preserve">Outputs are quantitative </w:t>
            </w:r>
            <w:r w:rsidR="00C13F9E">
              <w:t xml:space="preserve">or qualitative </w:t>
            </w:r>
            <w:r>
              <w:t>measures that represent the services DNSPs provide.</w:t>
            </w:r>
          </w:p>
        </w:tc>
      </w:tr>
      <w:tr w:rsidR="00AF04FB" w:rsidRPr="00063915" w:rsidTr="00BD524F">
        <w:trPr>
          <w:cnfStyle w:val="000000010000" w:firstRow="0" w:lastRow="0" w:firstColumn="0" w:lastColumn="0" w:oddVBand="0" w:evenVBand="0" w:oddHBand="0" w:evenHBand="1" w:firstRowFirstColumn="0" w:firstRowLastColumn="0" w:lastRowFirstColumn="0" w:lastRowLastColumn="0"/>
        </w:trPr>
        <w:tc>
          <w:tcPr>
            <w:tcW w:w="3039" w:type="dxa"/>
            <w:noWrap/>
          </w:tcPr>
          <w:p w:rsidR="00AF04FB" w:rsidRDefault="00AF04FB" w:rsidP="00F40268">
            <w:r>
              <w:t>PIN</w:t>
            </w:r>
          </w:p>
        </w:tc>
        <w:tc>
          <w:tcPr>
            <w:tcW w:w="5654" w:type="dxa"/>
            <w:noWrap/>
          </w:tcPr>
          <w:p w:rsidR="00AF04FB" w:rsidRDefault="00AF04FB" w:rsidP="00F40268">
            <w:r>
              <w:t>Productivity index number</w:t>
            </w:r>
            <w:r w:rsidR="00274E50">
              <w:t>. PIN techniques determine the relationship between inputs and outputs using an index.</w:t>
            </w:r>
          </w:p>
        </w:tc>
      </w:tr>
      <w:tr w:rsidR="0069742C" w:rsidRPr="00063915" w:rsidTr="00BD524F">
        <w:tc>
          <w:tcPr>
            <w:tcW w:w="3039" w:type="dxa"/>
            <w:noWrap/>
          </w:tcPr>
          <w:p w:rsidR="0069742C" w:rsidRPr="00C30FA2" w:rsidRDefault="0069742C" w:rsidP="00F40268">
            <w:r>
              <w:t>PPI</w:t>
            </w:r>
          </w:p>
        </w:tc>
        <w:tc>
          <w:tcPr>
            <w:tcW w:w="5654" w:type="dxa"/>
            <w:noWrap/>
          </w:tcPr>
          <w:p w:rsidR="0069742C" w:rsidRPr="00C30FA2" w:rsidRDefault="0069742C" w:rsidP="00274E50">
            <w:r>
              <w:t>Partial performance indicator</w:t>
            </w:r>
            <w:r w:rsidR="00AD5FA9">
              <w:t xml:space="preserve">. PPIs </w:t>
            </w:r>
            <w:r w:rsidR="00274E50">
              <w:t>are simple techniques that measure the relationship between one input and one output.</w:t>
            </w:r>
          </w:p>
        </w:tc>
      </w:tr>
      <w:tr w:rsidR="00AD5FA9" w:rsidRPr="00063915" w:rsidTr="00BD524F">
        <w:trPr>
          <w:cnfStyle w:val="000000010000" w:firstRow="0" w:lastRow="0" w:firstColumn="0" w:lastColumn="0" w:oddVBand="0" w:evenVBand="0" w:oddHBand="0" w:evenHBand="1" w:firstRowFirstColumn="0" w:firstRowLastColumn="0" w:lastRowFirstColumn="0" w:lastRowLastColumn="0"/>
        </w:trPr>
        <w:tc>
          <w:tcPr>
            <w:tcW w:w="3039" w:type="dxa"/>
            <w:noWrap/>
          </w:tcPr>
          <w:p w:rsidR="00AD5FA9" w:rsidRPr="00FE72F1" w:rsidRDefault="00AD5FA9" w:rsidP="00F40268">
            <w:r>
              <w:t>Productive efficiency</w:t>
            </w:r>
          </w:p>
        </w:tc>
        <w:tc>
          <w:tcPr>
            <w:tcW w:w="5654" w:type="dxa"/>
            <w:noWrap/>
          </w:tcPr>
          <w:p w:rsidR="00AD5FA9" w:rsidRPr="00FE72F1" w:rsidRDefault="00AD5FA9" w:rsidP="00F40268">
            <w:r>
              <w:t>Productive efficiency is achieved when a business produces its goods and/or services at the least possible cost. To achieve this, the business must be technically efficient (produce the most output possible from the combination of inputs used) while also selecting the lowest cost combination of inputs given prevailing input prices.</w:t>
            </w:r>
          </w:p>
        </w:tc>
      </w:tr>
      <w:tr w:rsidR="00272BE0" w:rsidRPr="00063915" w:rsidTr="00BD524F">
        <w:tc>
          <w:tcPr>
            <w:tcW w:w="3039" w:type="dxa"/>
            <w:noWrap/>
          </w:tcPr>
          <w:p w:rsidR="00272BE0" w:rsidRDefault="00272BE0" w:rsidP="00F40268">
            <w:r>
              <w:t>Ratcheted maximum demand</w:t>
            </w:r>
          </w:p>
        </w:tc>
        <w:tc>
          <w:tcPr>
            <w:tcW w:w="5654" w:type="dxa"/>
            <w:noWrap/>
          </w:tcPr>
          <w:p w:rsidR="00272BE0" w:rsidRDefault="00272BE0" w:rsidP="00272BE0">
            <w:r>
              <w:t xml:space="preserve">Ratcheted maximum demand is </w:t>
            </w:r>
            <w:r w:rsidRPr="004E1F45">
              <w:t xml:space="preserve">the highest value of </w:t>
            </w:r>
            <w:r>
              <w:t>maximum</w:t>
            </w:r>
            <w:r w:rsidRPr="004E1F45">
              <w:t xml:space="preserve"> demand </w:t>
            </w:r>
            <w:r>
              <w:t xml:space="preserve">for each DNSP, </w:t>
            </w:r>
            <w:r w:rsidRPr="004E1F45">
              <w:t xml:space="preserve">observed in the time period up to the year in question. It recognises capacity that has been used to satisfy demand and gives the DNSP credit for this capacity in subsequent years, even though annual </w:t>
            </w:r>
            <w:r>
              <w:t xml:space="preserve">maximum </w:t>
            </w:r>
            <w:r w:rsidRPr="004E1F45">
              <w:t>demand may be lower in subsequent years.</w:t>
            </w:r>
          </w:p>
        </w:tc>
      </w:tr>
      <w:tr w:rsidR="008A7BEA" w:rsidRPr="00063915" w:rsidTr="00BD524F">
        <w:trPr>
          <w:cnfStyle w:val="000000010000" w:firstRow="0" w:lastRow="0" w:firstColumn="0" w:lastColumn="0" w:oddVBand="0" w:evenVBand="0" w:oddHBand="0" w:evenHBand="1" w:firstRowFirstColumn="0" w:firstRowLastColumn="0" w:lastRowFirstColumn="0" w:lastRowLastColumn="0"/>
        </w:trPr>
        <w:tc>
          <w:tcPr>
            <w:tcW w:w="3039" w:type="dxa"/>
            <w:noWrap/>
          </w:tcPr>
          <w:p w:rsidR="008A7BEA" w:rsidRPr="00FE72F1" w:rsidRDefault="008A7BEA" w:rsidP="00F40268">
            <w:r>
              <w:t>SFA</w:t>
            </w:r>
          </w:p>
        </w:tc>
        <w:tc>
          <w:tcPr>
            <w:tcW w:w="5654" w:type="dxa"/>
            <w:noWrap/>
          </w:tcPr>
          <w:p w:rsidR="008A7BEA" w:rsidRPr="00FE72F1" w:rsidRDefault="008A7BEA" w:rsidP="00274E50">
            <w:r>
              <w:t>Stochastic frontier analysis</w:t>
            </w:r>
            <w:r w:rsidR="00AD5FA9">
              <w:t xml:space="preserve">. SFA </w:t>
            </w:r>
            <w:r w:rsidR="00274E50">
              <w:t xml:space="preserve">is an econometric modelling technique that uses statistics to estimate the relationship </w:t>
            </w:r>
            <w:r w:rsidR="00274E50" w:rsidRPr="005E1BEE">
              <w:t>between inputs and outputs</w:t>
            </w:r>
            <w:r w:rsidR="00274E50">
              <w:t>. Like LSE models, SFA models allow for economies and diseconomies of scale and directly estimates efficiency for each DNSP.</w:t>
            </w:r>
          </w:p>
        </w:tc>
      </w:tr>
    </w:tbl>
    <w:p w:rsidR="0069742C" w:rsidRDefault="0069742C" w:rsidP="00F40268">
      <w:pPr>
        <w:pStyle w:val="UnnumberedHeading"/>
      </w:pPr>
      <w:bookmarkStart w:id="2" w:name="_Toc435712621"/>
      <w:r>
        <w:lastRenderedPageBreak/>
        <w:t>Contents</w:t>
      </w:r>
      <w:bookmarkEnd w:id="2"/>
    </w:p>
    <w:bookmarkStart w:id="3" w:name="_Toc404010808"/>
    <w:bookmarkStart w:id="4" w:name="_Toc404244858"/>
    <w:bookmarkStart w:id="5" w:name="_Toc213047617"/>
    <w:p w:rsidR="00416FB6" w:rsidRDefault="00F40268">
      <w:pPr>
        <w:pStyle w:val="TOC1"/>
        <w:rPr>
          <w:rFonts w:asciiTheme="minorHAnsi" w:eastAsiaTheme="minorEastAsia" w:hAnsiTheme="minorHAnsi"/>
          <w:b w:val="0"/>
          <w:color w:val="auto"/>
          <w:sz w:val="22"/>
          <w:lang w:val="en-AU" w:eastAsia="en-AU"/>
        </w:rPr>
      </w:pPr>
      <w:r>
        <w:rPr>
          <w:bCs/>
        </w:rPr>
        <w:fldChar w:fldCharType="begin"/>
      </w:r>
      <w:r>
        <w:rPr>
          <w:bCs/>
        </w:rPr>
        <w:instrText xml:space="preserve"> TOC \o "1-1" \h \z \t "Heading 7,1" </w:instrText>
      </w:r>
      <w:r>
        <w:rPr>
          <w:bCs/>
        </w:rPr>
        <w:fldChar w:fldCharType="separate"/>
      </w:r>
      <w:hyperlink w:anchor="_Toc435712619" w:history="1">
        <w:r w:rsidR="00416FB6" w:rsidRPr="0043338D">
          <w:rPr>
            <w:rStyle w:val="Hyperlink"/>
          </w:rPr>
          <w:t>Shortened forms</w:t>
        </w:r>
        <w:r w:rsidR="00416FB6">
          <w:rPr>
            <w:webHidden/>
          </w:rPr>
          <w:tab/>
        </w:r>
        <w:r w:rsidR="00416FB6">
          <w:rPr>
            <w:webHidden/>
          </w:rPr>
          <w:fldChar w:fldCharType="begin"/>
        </w:r>
        <w:r w:rsidR="00416FB6">
          <w:rPr>
            <w:webHidden/>
          </w:rPr>
          <w:instrText xml:space="preserve"> PAGEREF _Toc435712619 \h </w:instrText>
        </w:r>
        <w:r w:rsidR="00416FB6">
          <w:rPr>
            <w:webHidden/>
          </w:rPr>
        </w:r>
        <w:r w:rsidR="00416FB6">
          <w:rPr>
            <w:webHidden/>
          </w:rPr>
          <w:fldChar w:fldCharType="separate"/>
        </w:r>
        <w:r w:rsidR="00EF5714">
          <w:rPr>
            <w:webHidden/>
          </w:rPr>
          <w:t>i</w:t>
        </w:r>
        <w:r w:rsidR="00416FB6">
          <w:rPr>
            <w:webHidden/>
          </w:rPr>
          <w:fldChar w:fldCharType="end"/>
        </w:r>
      </w:hyperlink>
    </w:p>
    <w:p w:rsidR="00416FB6" w:rsidRDefault="00EF5714">
      <w:pPr>
        <w:pStyle w:val="TOC1"/>
        <w:rPr>
          <w:rFonts w:asciiTheme="minorHAnsi" w:eastAsiaTheme="minorEastAsia" w:hAnsiTheme="minorHAnsi"/>
          <w:b w:val="0"/>
          <w:color w:val="auto"/>
          <w:sz w:val="22"/>
          <w:lang w:val="en-AU" w:eastAsia="en-AU"/>
        </w:rPr>
      </w:pPr>
      <w:hyperlink w:anchor="_Toc435712620" w:history="1">
        <w:r w:rsidR="00416FB6" w:rsidRPr="0043338D">
          <w:rPr>
            <w:rStyle w:val="Hyperlink"/>
          </w:rPr>
          <w:t>Glossary</w:t>
        </w:r>
        <w:r w:rsidR="00416FB6">
          <w:rPr>
            <w:webHidden/>
          </w:rPr>
          <w:tab/>
        </w:r>
        <w:r w:rsidR="00416FB6">
          <w:rPr>
            <w:webHidden/>
          </w:rPr>
          <w:fldChar w:fldCharType="begin"/>
        </w:r>
        <w:r w:rsidR="00416FB6">
          <w:rPr>
            <w:webHidden/>
          </w:rPr>
          <w:instrText xml:space="preserve"> PAGEREF _Toc435712620 \h </w:instrText>
        </w:r>
        <w:r w:rsidR="00416FB6">
          <w:rPr>
            <w:webHidden/>
          </w:rPr>
        </w:r>
        <w:r w:rsidR="00416FB6">
          <w:rPr>
            <w:webHidden/>
          </w:rPr>
          <w:fldChar w:fldCharType="separate"/>
        </w:r>
        <w:r>
          <w:rPr>
            <w:webHidden/>
          </w:rPr>
          <w:t>ii</w:t>
        </w:r>
        <w:r w:rsidR="00416FB6">
          <w:rPr>
            <w:webHidden/>
          </w:rPr>
          <w:fldChar w:fldCharType="end"/>
        </w:r>
      </w:hyperlink>
    </w:p>
    <w:p w:rsidR="00416FB6" w:rsidRDefault="00EF5714">
      <w:pPr>
        <w:pStyle w:val="TOC1"/>
        <w:rPr>
          <w:rFonts w:asciiTheme="minorHAnsi" w:eastAsiaTheme="minorEastAsia" w:hAnsiTheme="minorHAnsi"/>
          <w:b w:val="0"/>
          <w:color w:val="auto"/>
          <w:sz w:val="22"/>
          <w:lang w:val="en-AU" w:eastAsia="en-AU"/>
        </w:rPr>
      </w:pPr>
      <w:hyperlink w:anchor="_Toc435712621" w:history="1">
        <w:r w:rsidR="00416FB6" w:rsidRPr="0043338D">
          <w:rPr>
            <w:rStyle w:val="Hyperlink"/>
          </w:rPr>
          <w:t>Contents</w:t>
        </w:r>
        <w:r w:rsidR="00416FB6">
          <w:rPr>
            <w:webHidden/>
          </w:rPr>
          <w:tab/>
        </w:r>
        <w:r w:rsidR="00416FB6">
          <w:rPr>
            <w:webHidden/>
          </w:rPr>
          <w:fldChar w:fldCharType="begin"/>
        </w:r>
        <w:r w:rsidR="00416FB6">
          <w:rPr>
            <w:webHidden/>
          </w:rPr>
          <w:instrText xml:space="preserve"> PAGEREF _Toc435712621 \h </w:instrText>
        </w:r>
        <w:r w:rsidR="00416FB6">
          <w:rPr>
            <w:webHidden/>
          </w:rPr>
        </w:r>
        <w:r w:rsidR="00416FB6">
          <w:rPr>
            <w:webHidden/>
          </w:rPr>
          <w:fldChar w:fldCharType="separate"/>
        </w:r>
        <w:r>
          <w:rPr>
            <w:webHidden/>
          </w:rPr>
          <w:t>iii</w:t>
        </w:r>
        <w:r w:rsidR="00416FB6">
          <w:rPr>
            <w:webHidden/>
          </w:rPr>
          <w:fldChar w:fldCharType="end"/>
        </w:r>
      </w:hyperlink>
    </w:p>
    <w:p w:rsidR="00416FB6" w:rsidRDefault="00EF5714">
      <w:pPr>
        <w:pStyle w:val="TOC1"/>
        <w:rPr>
          <w:rFonts w:asciiTheme="minorHAnsi" w:eastAsiaTheme="minorEastAsia" w:hAnsiTheme="minorHAnsi"/>
          <w:b w:val="0"/>
          <w:color w:val="auto"/>
          <w:sz w:val="22"/>
          <w:lang w:val="en-AU" w:eastAsia="en-AU"/>
        </w:rPr>
      </w:pPr>
      <w:hyperlink w:anchor="_Toc435712622" w:history="1">
        <w:r w:rsidR="00416FB6" w:rsidRPr="0043338D">
          <w:rPr>
            <w:rStyle w:val="Hyperlink"/>
          </w:rPr>
          <w:t>Overview</w:t>
        </w:r>
        <w:r w:rsidR="00416FB6">
          <w:rPr>
            <w:webHidden/>
          </w:rPr>
          <w:tab/>
        </w:r>
        <w:r w:rsidR="00416FB6">
          <w:rPr>
            <w:webHidden/>
          </w:rPr>
          <w:fldChar w:fldCharType="begin"/>
        </w:r>
        <w:r w:rsidR="00416FB6">
          <w:rPr>
            <w:webHidden/>
          </w:rPr>
          <w:instrText xml:space="preserve"> PAGEREF _Toc435712622 \h </w:instrText>
        </w:r>
        <w:r w:rsidR="00416FB6">
          <w:rPr>
            <w:webHidden/>
          </w:rPr>
        </w:r>
        <w:r w:rsidR="00416FB6">
          <w:rPr>
            <w:webHidden/>
          </w:rPr>
          <w:fldChar w:fldCharType="separate"/>
        </w:r>
        <w:r>
          <w:rPr>
            <w:webHidden/>
          </w:rPr>
          <w:t>iv</w:t>
        </w:r>
        <w:r w:rsidR="00416FB6">
          <w:rPr>
            <w:webHidden/>
          </w:rPr>
          <w:fldChar w:fldCharType="end"/>
        </w:r>
      </w:hyperlink>
    </w:p>
    <w:p w:rsidR="00416FB6" w:rsidRDefault="00EF5714">
      <w:pPr>
        <w:pStyle w:val="TOC1"/>
        <w:rPr>
          <w:rFonts w:asciiTheme="minorHAnsi" w:eastAsiaTheme="minorEastAsia" w:hAnsiTheme="minorHAnsi"/>
          <w:b w:val="0"/>
          <w:color w:val="auto"/>
          <w:sz w:val="22"/>
          <w:lang w:val="en-AU" w:eastAsia="en-AU"/>
        </w:rPr>
      </w:pPr>
      <w:hyperlink w:anchor="_Toc435712623" w:history="1">
        <w:r w:rsidR="00416FB6" w:rsidRPr="0043338D">
          <w:rPr>
            <w:rStyle w:val="Hyperlink"/>
          </w:rPr>
          <w:t>1</w:t>
        </w:r>
        <w:r w:rsidR="00416FB6">
          <w:rPr>
            <w:rFonts w:asciiTheme="minorHAnsi" w:eastAsiaTheme="minorEastAsia" w:hAnsiTheme="minorHAnsi"/>
            <w:b w:val="0"/>
            <w:color w:val="auto"/>
            <w:sz w:val="22"/>
            <w:lang w:val="en-AU" w:eastAsia="en-AU"/>
          </w:rPr>
          <w:tab/>
        </w:r>
        <w:r w:rsidR="00416FB6" w:rsidRPr="0043338D">
          <w:rPr>
            <w:rStyle w:val="Hyperlink"/>
          </w:rPr>
          <w:t>Introduction</w:t>
        </w:r>
        <w:r w:rsidR="00416FB6">
          <w:rPr>
            <w:webHidden/>
          </w:rPr>
          <w:tab/>
        </w:r>
        <w:r w:rsidR="00416FB6">
          <w:rPr>
            <w:webHidden/>
          </w:rPr>
          <w:fldChar w:fldCharType="begin"/>
        </w:r>
        <w:r w:rsidR="00416FB6">
          <w:rPr>
            <w:webHidden/>
          </w:rPr>
          <w:instrText xml:space="preserve"> PAGEREF _Toc435712623 \h </w:instrText>
        </w:r>
        <w:r w:rsidR="00416FB6">
          <w:rPr>
            <w:webHidden/>
          </w:rPr>
        </w:r>
        <w:r w:rsidR="00416FB6">
          <w:rPr>
            <w:webHidden/>
          </w:rPr>
          <w:fldChar w:fldCharType="separate"/>
        </w:r>
        <w:r>
          <w:rPr>
            <w:webHidden/>
          </w:rPr>
          <w:t>1</w:t>
        </w:r>
        <w:r w:rsidR="00416FB6">
          <w:rPr>
            <w:webHidden/>
          </w:rPr>
          <w:fldChar w:fldCharType="end"/>
        </w:r>
      </w:hyperlink>
    </w:p>
    <w:p w:rsidR="00416FB6" w:rsidRDefault="00EF5714">
      <w:pPr>
        <w:pStyle w:val="TOC1"/>
        <w:rPr>
          <w:rFonts w:asciiTheme="minorHAnsi" w:eastAsiaTheme="minorEastAsia" w:hAnsiTheme="minorHAnsi"/>
          <w:b w:val="0"/>
          <w:color w:val="auto"/>
          <w:sz w:val="22"/>
          <w:lang w:val="en-AU" w:eastAsia="en-AU"/>
        </w:rPr>
      </w:pPr>
      <w:hyperlink w:anchor="_Toc435712624" w:history="1">
        <w:r w:rsidR="00416FB6" w:rsidRPr="0043338D">
          <w:rPr>
            <w:rStyle w:val="Hyperlink"/>
          </w:rPr>
          <w:t>2</w:t>
        </w:r>
        <w:r w:rsidR="00416FB6">
          <w:rPr>
            <w:rFonts w:asciiTheme="minorHAnsi" w:eastAsiaTheme="minorEastAsia" w:hAnsiTheme="minorHAnsi"/>
            <w:b w:val="0"/>
            <w:color w:val="auto"/>
            <w:sz w:val="22"/>
            <w:lang w:val="en-AU" w:eastAsia="en-AU"/>
          </w:rPr>
          <w:tab/>
        </w:r>
        <w:r w:rsidR="00416FB6" w:rsidRPr="0043338D">
          <w:rPr>
            <w:rStyle w:val="Hyperlink"/>
          </w:rPr>
          <w:t>Approach</w:t>
        </w:r>
        <w:r w:rsidR="00416FB6">
          <w:rPr>
            <w:webHidden/>
          </w:rPr>
          <w:tab/>
        </w:r>
        <w:r w:rsidR="00416FB6">
          <w:rPr>
            <w:webHidden/>
          </w:rPr>
          <w:fldChar w:fldCharType="begin"/>
        </w:r>
        <w:r w:rsidR="00416FB6">
          <w:rPr>
            <w:webHidden/>
          </w:rPr>
          <w:instrText xml:space="preserve"> PAGEREF _Toc435712624 \h </w:instrText>
        </w:r>
        <w:r w:rsidR="00416FB6">
          <w:rPr>
            <w:webHidden/>
          </w:rPr>
        </w:r>
        <w:r w:rsidR="00416FB6">
          <w:rPr>
            <w:webHidden/>
          </w:rPr>
          <w:fldChar w:fldCharType="separate"/>
        </w:r>
        <w:r>
          <w:rPr>
            <w:webHidden/>
          </w:rPr>
          <w:t>4</w:t>
        </w:r>
        <w:r w:rsidR="00416FB6">
          <w:rPr>
            <w:webHidden/>
          </w:rPr>
          <w:fldChar w:fldCharType="end"/>
        </w:r>
      </w:hyperlink>
    </w:p>
    <w:p w:rsidR="00416FB6" w:rsidRDefault="00EF5714">
      <w:pPr>
        <w:pStyle w:val="TOC1"/>
        <w:rPr>
          <w:rFonts w:asciiTheme="minorHAnsi" w:eastAsiaTheme="minorEastAsia" w:hAnsiTheme="minorHAnsi"/>
          <w:b w:val="0"/>
          <w:color w:val="auto"/>
          <w:sz w:val="22"/>
          <w:lang w:val="en-AU" w:eastAsia="en-AU"/>
        </w:rPr>
      </w:pPr>
      <w:hyperlink w:anchor="_Toc435712625" w:history="1">
        <w:r w:rsidR="00416FB6" w:rsidRPr="0043338D">
          <w:rPr>
            <w:rStyle w:val="Hyperlink"/>
          </w:rPr>
          <w:t>3</w:t>
        </w:r>
        <w:r w:rsidR="00416FB6">
          <w:rPr>
            <w:rFonts w:asciiTheme="minorHAnsi" w:eastAsiaTheme="minorEastAsia" w:hAnsiTheme="minorHAnsi"/>
            <w:b w:val="0"/>
            <w:color w:val="auto"/>
            <w:sz w:val="22"/>
            <w:lang w:val="en-AU" w:eastAsia="en-AU"/>
          </w:rPr>
          <w:tab/>
        </w:r>
        <w:r w:rsidR="00416FB6" w:rsidRPr="0043338D">
          <w:rPr>
            <w:rStyle w:val="Hyperlink"/>
          </w:rPr>
          <w:t>Multilateral total factor productivity results</w:t>
        </w:r>
        <w:r w:rsidR="00416FB6">
          <w:rPr>
            <w:webHidden/>
          </w:rPr>
          <w:tab/>
        </w:r>
        <w:r w:rsidR="00416FB6">
          <w:rPr>
            <w:webHidden/>
          </w:rPr>
          <w:fldChar w:fldCharType="begin"/>
        </w:r>
        <w:r w:rsidR="00416FB6">
          <w:rPr>
            <w:webHidden/>
          </w:rPr>
          <w:instrText xml:space="preserve"> PAGEREF _Toc435712625 \h </w:instrText>
        </w:r>
        <w:r w:rsidR="00416FB6">
          <w:rPr>
            <w:webHidden/>
          </w:rPr>
        </w:r>
        <w:r w:rsidR="00416FB6">
          <w:rPr>
            <w:webHidden/>
          </w:rPr>
          <w:fldChar w:fldCharType="separate"/>
        </w:r>
        <w:r>
          <w:rPr>
            <w:webHidden/>
          </w:rPr>
          <w:t>7</w:t>
        </w:r>
        <w:r w:rsidR="00416FB6">
          <w:rPr>
            <w:webHidden/>
          </w:rPr>
          <w:fldChar w:fldCharType="end"/>
        </w:r>
      </w:hyperlink>
    </w:p>
    <w:p w:rsidR="00416FB6" w:rsidRDefault="00EF5714">
      <w:pPr>
        <w:pStyle w:val="TOC1"/>
        <w:rPr>
          <w:rFonts w:asciiTheme="minorHAnsi" w:eastAsiaTheme="minorEastAsia" w:hAnsiTheme="minorHAnsi"/>
          <w:b w:val="0"/>
          <w:color w:val="auto"/>
          <w:sz w:val="22"/>
          <w:lang w:val="en-AU" w:eastAsia="en-AU"/>
        </w:rPr>
      </w:pPr>
      <w:hyperlink w:anchor="_Toc435712626" w:history="1">
        <w:r w:rsidR="00416FB6" w:rsidRPr="0043338D">
          <w:rPr>
            <w:rStyle w:val="Hyperlink"/>
          </w:rPr>
          <w:t>4</w:t>
        </w:r>
        <w:r w:rsidR="00416FB6">
          <w:rPr>
            <w:rFonts w:asciiTheme="minorHAnsi" w:eastAsiaTheme="minorEastAsia" w:hAnsiTheme="minorHAnsi"/>
            <w:b w:val="0"/>
            <w:color w:val="auto"/>
            <w:sz w:val="22"/>
            <w:lang w:val="en-AU" w:eastAsia="en-AU"/>
          </w:rPr>
          <w:tab/>
        </w:r>
        <w:r w:rsidR="00416FB6" w:rsidRPr="0043338D">
          <w:rPr>
            <w:rStyle w:val="Hyperlink"/>
          </w:rPr>
          <w:t>Results from supporting techniques</w:t>
        </w:r>
        <w:r w:rsidR="00416FB6">
          <w:rPr>
            <w:webHidden/>
          </w:rPr>
          <w:tab/>
        </w:r>
        <w:r w:rsidR="00416FB6">
          <w:rPr>
            <w:webHidden/>
          </w:rPr>
          <w:fldChar w:fldCharType="begin"/>
        </w:r>
        <w:r w:rsidR="00416FB6">
          <w:rPr>
            <w:webHidden/>
          </w:rPr>
          <w:instrText xml:space="preserve"> PAGEREF _Toc435712626 \h </w:instrText>
        </w:r>
        <w:r w:rsidR="00416FB6">
          <w:rPr>
            <w:webHidden/>
          </w:rPr>
        </w:r>
        <w:r w:rsidR="00416FB6">
          <w:rPr>
            <w:webHidden/>
          </w:rPr>
          <w:fldChar w:fldCharType="separate"/>
        </w:r>
        <w:r>
          <w:rPr>
            <w:webHidden/>
          </w:rPr>
          <w:t>11</w:t>
        </w:r>
        <w:r w:rsidR="00416FB6">
          <w:rPr>
            <w:webHidden/>
          </w:rPr>
          <w:fldChar w:fldCharType="end"/>
        </w:r>
      </w:hyperlink>
    </w:p>
    <w:p w:rsidR="00416FB6" w:rsidRDefault="00EF5714">
      <w:pPr>
        <w:pStyle w:val="TOC1"/>
        <w:rPr>
          <w:rFonts w:asciiTheme="minorHAnsi" w:eastAsiaTheme="minorEastAsia" w:hAnsiTheme="minorHAnsi"/>
          <w:b w:val="0"/>
          <w:color w:val="auto"/>
          <w:sz w:val="22"/>
          <w:lang w:val="en-AU" w:eastAsia="en-AU"/>
        </w:rPr>
      </w:pPr>
      <w:hyperlink w:anchor="_Toc435712627" w:history="1">
        <w:r w:rsidR="00416FB6" w:rsidRPr="0043338D">
          <w:rPr>
            <w:rStyle w:val="Hyperlink"/>
          </w:rPr>
          <w:t>5</w:t>
        </w:r>
        <w:r w:rsidR="00416FB6">
          <w:rPr>
            <w:rFonts w:asciiTheme="minorHAnsi" w:eastAsiaTheme="minorEastAsia" w:hAnsiTheme="minorHAnsi"/>
            <w:b w:val="0"/>
            <w:color w:val="auto"/>
            <w:sz w:val="22"/>
            <w:lang w:val="en-AU" w:eastAsia="en-AU"/>
          </w:rPr>
          <w:tab/>
        </w:r>
        <w:r w:rsidR="00416FB6" w:rsidRPr="0043338D">
          <w:rPr>
            <w:rStyle w:val="Hyperlink"/>
          </w:rPr>
          <w:t>Conclusions</w:t>
        </w:r>
        <w:r w:rsidR="00416FB6">
          <w:rPr>
            <w:webHidden/>
          </w:rPr>
          <w:tab/>
        </w:r>
        <w:r w:rsidR="00416FB6">
          <w:rPr>
            <w:webHidden/>
          </w:rPr>
          <w:fldChar w:fldCharType="begin"/>
        </w:r>
        <w:r w:rsidR="00416FB6">
          <w:rPr>
            <w:webHidden/>
          </w:rPr>
          <w:instrText xml:space="preserve"> PAGEREF _Toc435712627 \h </w:instrText>
        </w:r>
        <w:r w:rsidR="00416FB6">
          <w:rPr>
            <w:webHidden/>
          </w:rPr>
        </w:r>
        <w:r w:rsidR="00416FB6">
          <w:rPr>
            <w:webHidden/>
          </w:rPr>
          <w:fldChar w:fldCharType="separate"/>
        </w:r>
        <w:r>
          <w:rPr>
            <w:webHidden/>
          </w:rPr>
          <w:t>16</w:t>
        </w:r>
        <w:r w:rsidR="00416FB6">
          <w:rPr>
            <w:webHidden/>
          </w:rPr>
          <w:fldChar w:fldCharType="end"/>
        </w:r>
      </w:hyperlink>
    </w:p>
    <w:p w:rsidR="00416FB6" w:rsidRDefault="00EF5714">
      <w:pPr>
        <w:pStyle w:val="TOC1"/>
        <w:rPr>
          <w:rFonts w:asciiTheme="minorHAnsi" w:eastAsiaTheme="minorEastAsia" w:hAnsiTheme="minorHAnsi"/>
          <w:b w:val="0"/>
          <w:color w:val="auto"/>
          <w:sz w:val="22"/>
          <w:lang w:val="en-AU" w:eastAsia="en-AU"/>
        </w:rPr>
      </w:pPr>
      <w:hyperlink w:anchor="_Toc435712628" w:history="1">
        <w:r w:rsidR="00416FB6" w:rsidRPr="0043338D">
          <w:rPr>
            <w:rStyle w:val="Hyperlink"/>
          </w:rPr>
          <w:t>Appendices</w:t>
        </w:r>
        <w:r w:rsidR="00416FB6">
          <w:rPr>
            <w:webHidden/>
          </w:rPr>
          <w:tab/>
        </w:r>
        <w:r w:rsidR="00416FB6">
          <w:rPr>
            <w:webHidden/>
          </w:rPr>
          <w:fldChar w:fldCharType="begin"/>
        </w:r>
        <w:r w:rsidR="00416FB6">
          <w:rPr>
            <w:webHidden/>
          </w:rPr>
          <w:instrText xml:space="preserve"> PAGEREF _Toc435712628 \h </w:instrText>
        </w:r>
        <w:r w:rsidR="00416FB6">
          <w:rPr>
            <w:webHidden/>
          </w:rPr>
        </w:r>
        <w:r w:rsidR="00416FB6">
          <w:rPr>
            <w:webHidden/>
          </w:rPr>
          <w:fldChar w:fldCharType="separate"/>
        </w:r>
        <w:r>
          <w:rPr>
            <w:webHidden/>
          </w:rPr>
          <w:t>17</w:t>
        </w:r>
        <w:r w:rsidR="00416FB6">
          <w:rPr>
            <w:webHidden/>
          </w:rPr>
          <w:fldChar w:fldCharType="end"/>
        </w:r>
      </w:hyperlink>
    </w:p>
    <w:p w:rsidR="00416FB6" w:rsidRDefault="00EF5714">
      <w:pPr>
        <w:pStyle w:val="TOC1"/>
        <w:rPr>
          <w:rFonts w:asciiTheme="minorHAnsi" w:eastAsiaTheme="minorEastAsia" w:hAnsiTheme="minorHAnsi"/>
          <w:b w:val="0"/>
          <w:color w:val="auto"/>
          <w:sz w:val="22"/>
          <w:lang w:val="en-AU" w:eastAsia="en-AU"/>
        </w:rPr>
      </w:pPr>
      <w:hyperlink w:anchor="_Toc435712629" w:history="1">
        <w:r w:rsidR="00416FB6" w:rsidRPr="0043338D">
          <w:rPr>
            <w:rStyle w:val="Hyperlink"/>
          </w:rPr>
          <w:t>A</w:t>
        </w:r>
        <w:r w:rsidR="00416FB6">
          <w:rPr>
            <w:rFonts w:asciiTheme="minorHAnsi" w:eastAsiaTheme="minorEastAsia" w:hAnsiTheme="minorHAnsi"/>
            <w:b w:val="0"/>
            <w:color w:val="auto"/>
            <w:sz w:val="22"/>
            <w:lang w:val="en-AU" w:eastAsia="en-AU"/>
          </w:rPr>
          <w:tab/>
        </w:r>
        <w:r w:rsidR="00416FB6" w:rsidRPr="0043338D">
          <w:rPr>
            <w:rStyle w:val="Hyperlink"/>
          </w:rPr>
          <w:t>References and further reading</w:t>
        </w:r>
        <w:r w:rsidR="00416FB6">
          <w:rPr>
            <w:webHidden/>
          </w:rPr>
          <w:tab/>
        </w:r>
        <w:r w:rsidR="00416FB6">
          <w:rPr>
            <w:webHidden/>
          </w:rPr>
          <w:fldChar w:fldCharType="begin"/>
        </w:r>
        <w:r w:rsidR="00416FB6">
          <w:rPr>
            <w:webHidden/>
          </w:rPr>
          <w:instrText xml:space="preserve"> PAGEREF _Toc435712629 \h </w:instrText>
        </w:r>
        <w:r w:rsidR="00416FB6">
          <w:rPr>
            <w:webHidden/>
          </w:rPr>
        </w:r>
        <w:r w:rsidR="00416FB6">
          <w:rPr>
            <w:webHidden/>
          </w:rPr>
          <w:fldChar w:fldCharType="separate"/>
        </w:r>
        <w:r>
          <w:rPr>
            <w:webHidden/>
          </w:rPr>
          <w:t>18</w:t>
        </w:r>
        <w:r w:rsidR="00416FB6">
          <w:rPr>
            <w:webHidden/>
          </w:rPr>
          <w:fldChar w:fldCharType="end"/>
        </w:r>
      </w:hyperlink>
    </w:p>
    <w:p w:rsidR="00416FB6" w:rsidRDefault="00EF5714">
      <w:pPr>
        <w:pStyle w:val="TOC1"/>
        <w:rPr>
          <w:rFonts w:asciiTheme="minorHAnsi" w:eastAsiaTheme="minorEastAsia" w:hAnsiTheme="minorHAnsi"/>
          <w:b w:val="0"/>
          <w:color w:val="auto"/>
          <w:sz w:val="22"/>
          <w:lang w:val="en-AU" w:eastAsia="en-AU"/>
        </w:rPr>
      </w:pPr>
      <w:hyperlink w:anchor="_Toc435712630" w:history="1">
        <w:r w:rsidR="00416FB6" w:rsidRPr="0043338D">
          <w:rPr>
            <w:rStyle w:val="Hyperlink"/>
          </w:rPr>
          <w:t>B</w:t>
        </w:r>
        <w:r w:rsidR="00416FB6">
          <w:rPr>
            <w:rFonts w:asciiTheme="minorHAnsi" w:eastAsiaTheme="minorEastAsia" w:hAnsiTheme="minorHAnsi"/>
            <w:b w:val="0"/>
            <w:color w:val="auto"/>
            <w:sz w:val="22"/>
            <w:lang w:val="en-AU" w:eastAsia="en-AU"/>
          </w:rPr>
          <w:tab/>
        </w:r>
        <w:r w:rsidR="00416FB6" w:rsidRPr="0043338D">
          <w:rPr>
            <w:rStyle w:val="Hyperlink"/>
          </w:rPr>
          <w:t>Inputs and outputs</w:t>
        </w:r>
        <w:r w:rsidR="00416FB6">
          <w:rPr>
            <w:webHidden/>
          </w:rPr>
          <w:tab/>
        </w:r>
        <w:r w:rsidR="00416FB6">
          <w:rPr>
            <w:webHidden/>
          </w:rPr>
          <w:fldChar w:fldCharType="begin"/>
        </w:r>
        <w:r w:rsidR="00416FB6">
          <w:rPr>
            <w:webHidden/>
          </w:rPr>
          <w:instrText xml:space="preserve"> PAGEREF _Toc435712630 \h </w:instrText>
        </w:r>
        <w:r w:rsidR="00416FB6">
          <w:rPr>
            <w:webHidden/>
          </w:rPr>
        </w:r>
        <w:r w:rsidR="00416FB6">
          <w:rPr>
            <w:webHidden/>
          </w:rPr>
          <w:fldChar w:fldCharType="separate"/>
        </w:r>
        <w:r>
          <w:rPr>
            <w:webHidden/>
          </w:rPr>
          <w:t>19</w:t>
        </w:r>
        <w:r w:rsidR="00416FB6">
          <w:rPr>
            <w:webHidden/>
          </w:rPr>
          <w:fldChar w:fldCharType="end"/>
        </w:r>
      </w:hyperlink>
    </w:p>
    <w:p w:rsidR="00416FB6" w:rsidRDefault="00EF5714">
      <w:pPr>
        <w:pStyle w:val="TOC1"/>
        <w:rPr>
          <w:rFonts w:asciiTheme="minorHAnsi" w:eastAsiaTheme="minorEastAsia" w:hAnsiTheme="minorHAnsi"/>
          <w:b w:val="0"/>
          <w:color w:val="auto"/>
          <w:sz w:val="22"/>
          <w:lang w:val="en-AU" w:eastAsia="en-AU"/>
        </w:rPr>
      </w:pPr>
      <w:hyperlink w:anchor="_Toc435712631" w:history="1">
        <w:r w:rsidR="00416FB6" w:rsidRPr="0043338D">
          <w:rPr>
            <w:rStyle w:val="Hyperlink"/>
          </w:rPr>
          <w:t>C</w:t>
        </w:r>
        <w:r w:rsidR="00416FB6">
          <w:rPr>
            <w:rFonts w:asciiTheme="minorHAnsi" w:eastAsiaTheme="minorEastAsia" w:hAnsiTheme="minorHAnsi"/>
            <w:b w:val="0"/>
            <w:color w:val="auto"/>
            <w:sz w:val="22"/>
            <w:lang w:val="en-AU" w:eastAsia="en-AU"/>
          </w:rPr>
          <w:tab/>
        </w:r>
        <w:r w:rsidR="00416FB6" w:rsidRPr="0043338D">
          <w:rPr>
            <w:rStyle w:val="Hyperlink"/>
          </w:rPr>
          <w:t>Additional PPIs</w:t>
        </w:r>
        <w:r w:rsidR="00416FB6">
          <w:rPr>
            <w:webHidden/>
          </w:rPr>
          <w:tab/>
        </w:r>
        <w:r w:rsidR="00416FB6">
          <w:rPr>
            <w:webHidden/>
          </w:rPr>
          <w:fldChar w:fldCharType="begin"/>
        </w:r>
        <w:r w:rsidR="00416FB6">
          <w:rPr>
            <w:webHidden/>
          </w:rPr>
          <w:instrText xml:space="preserve"> PAGEREF _Toc435712631 \h </w:instrText>
        </w:r>
        <w:r w:rsidR="00416FB6">
          <w:rPr>
            <w:webHidden/>
          </w:rPr>
        </w:r>
        <w:r w:rsidR="00416FB6">
          <w:rPr>
            <w:webHidden/>
          </w:rPr>
          <w:fldChar w:fldCharType="separate"/>
        </w:r>
        <w:r>
          <w:rPr>
            <w:webHidden/>
          </w:rPr>
          <w:t>25</w:t>
        </w:r>
        <w:r w:rsidR="00416FB6">
          <w:rPr>
            <w:webHidden/>
          </w:rPr>
          <w:fldChar w:fldCharType="end"/>
        </w:r>
      </w:hyperlink>
    </w:p>
    <w:p w:rsidR="00416FB6" w:rsidRDefault="00EF5714">
      <w:pPr>
        <w:pStyle w:val="TOC1"/>
        <w:rPr>
          <w:rFonts w:asciiTheme="minorHAnsi" w:eastAsiaTheme="minorEastAsia" w:hAnsiTheme="minorHAnsi"/>
          <w:b w:val="0"/>
          <w:color w:val="auto"/>
          <w:sz w:val="22"/>
          <w:lang w:val="en-AU" w:eastAsia="en-AU"/>
        </w:rPr>
      </w:pPr>
      <w:hyperlink w:anchor="_Toc435712632" w:history="1">
        <w:r w:rsidR="00416FB6" w:rsidRPr="0043338D">
          <w:rPr>
            <w:rStyle w:val="Hyperlink"/>
          </w:rPr>
          <w:t>D</w:t>
        </w:r>
        <w:r w:rsidR="00416FB6">
          <w:rPr>
            <w:rFonts w:asciiTheme="minorHAnsi" w:eastAsiaTheme="minorEastAsia" w:hAnsiTheme="minorHAnsi"/>
            <w:b w:val="0"/>
            <w:color w:val="auto"/>
            <w:sz w:val="22"/>
            <w:lang w:val="en-AU" w:eastAsia="en-AU"/>
          </w:rPr>
          <w:tab/>
        </w:r>
        <w:r w:rsidR="00416FB6" w:rsidRPr="0043338D">
          <w:rPr>
            <w:rStyle w:val="Hyperlink"/>
          </w:rPr>
          <w:t>Map of the National Electricity Market</w:t>
        </w:r>
        <w:r w:rsidR="00416FB6">
          <w:rPr>
            <w:webHidden/>
          </w:rPr>
          <w:tab/>
        </w:r>
        <w:r w:rsidR="00416FB6">
          <w:rPr>
            <w:webHidden/>
          </w:rPr>
          <w:fldChar w:fldCharType="begin"/>
        </w:r>
        <w:r w:rsidR="00416FB6">
          <w:rPr>
            <w:webHidden/>
          </w:rPr>
          <w:instrText xml:space="preserve"> PAGEREF _Toc435712632 \h </w:instrText>
        </w:r>
        <w:r w:rsidR="00416FB6">
          <w:rPr>
            <w:webHidden/>
          </w:rPr>
        </w:r>
        <w:r w:rsidR="00416FB6">
          <w:rPr>
            <w:webHidden/>
          </w:rPr>
          <w:fldChar w:fldCharType="separate"/>
        </w:r>
        <w:r>
          <w:rPr>
            <w:webHidden/>
          </w:rPr>
          <w:t>28</w:t>
        </w:r>
        <w:r w:rsidR="00416FB6">
          <w:rPr>
            <w:webHidden/>
          </w:rPr>
          <w:fldChar w:fldCharType="end"/>
        </w:r>
      </w:hyperlink>
    </w:p>
    <w:p w:rsidR="00416FB6" w:rsidRDefault="00EF5714">
      <w:pPr>
        <w:pStyle w:val="TOC1"/>
        <w:rPr>
          <w:rFonts w:asciiTheme="minorHAnsi" w:eastAsiaTheme="minorEastAsia" w:hAnsiTheme="minorHAnsi"/>
          <w:b w:val="0"/>
          <w:color w:val="auto"/>
          <w:sz w:val="22"/>
          <w:lang w:val="en-AU" w:eastAsia="en-AU"/>
        </w:rPr>
      </w:pPr>
      <w:hyperlink w:anchor="_Toc435712633" w:history="1">
        <w:r w:rsidR="00416FB6" w:rsidRPr="0043338D">
          <w:rPr>
            <w:rStyle w:val="Hyperlink"/>
          </w:rPr>
          <w:t>E</w:t>
        </w:r>
        <w:r w:rsidR="00416FB6">
          <w:rPr>
            <w:rFonts w:asciiTheme="minorHAnsi" w:eastAsiaTheme="minorEastAsia" w:hAnsiTheme="minorHAnsi"/>
            <w:b w:val="0"/>
            <w:color w:val="auto"/>
            <w:sz w:val="22"/>
            <w:lang w:val="en-AU" w:eastAsia="en-AU"/>
          </w:rPr>
          <w:tab/>
        </w:r>
        <w:r w:rsidR="00416FB6" w:rsidRPr="0043338D">
          <w:rPr>
            <w:rStyle w:val="Hyperlink"/>
          </w:rPr>
          <w:t>List of submissions</w:t>
        </w:r>
        <w:r w:rsidR="00416FB6">
          <w:rPr>
            <w:webHidden/>
          </w:rPr>
          <w:tab/>
        </w:r>
        <w:r w:rsidR="00416FB6">
          <w:rPr>
            <w:webHidden/>
          </w:rPr>
          <w:fldChar w:fldCharType="begin"/>
        </w:r>
        <w:r w:rsidR="00416FB6">
          <w:rPr>
            <w:webHidden/>
          </w:rPr>
          <w:instrText xml:space="preserve"> PAGEREF _Toc435712633 \h </w:instrText>
        </w:r>
        <w:r w:rsidR="00416FB6">
          <w:rPr>
            <w:webHidden/>
          </w:rPr>
        </w:r>
        <w:r w:rsidR="00416FB6">
          <w:rPr>
            <w:webHidden/>
          </w:rPr>
          <w:fldChar w:fldCharType="separate"/>
        </w:r>
        <w:r>
          <w:rPr>
            <w:webHidden/>
          </w:rPr>
          <w:t>29</w:t>
        </w:r>
        <w:r w:rsidR="00416FB6">
          <w:rPr>
            <w:webHidden/>
          </w:rPr>
          <w:fldChar w:fldCharType="end"/>
        </w:r>
      </w:hyperlink>
    </w:p>
    <w:p w:rsidR="00E056BF" w:rsidRDefault="00F40268" w:rsidP="00E056BF">
      <w:pPr>
        <w:pStyle w:val="UnnumberedHeading"/>
      </w:pPr>
      <w:r>
        <w:rPr>
          <w:rFonts w:eastAsiaTheme="minorHAnsi" w:cstheme="minorBidi"/>
          <w:bCs w:val="0"/>
          <w:noProof/>
          <w:color w:val="70635A" w:themeColor="text2"/>
          <w:sz w:val="24"/>
          <w:szCs w:val="22"/>
          <w:lang w:val="en-US" w:eastAsia="ja-JP"/>
        </w:rPr>
        <w:lastRenderedPageBreak/>
        <w:fldChar w:fldCharType="end"/>
      </w:r>
      <w:bookmarkStart w:id="6" w:name="_Toc435712622"/>
      <w:r w:rsidR="00E056BF">
        <w:t>Overview</w:t>
      </w:r>
      <w:bookmarkEnd w:id="3"/>
      <w:bookmarkEnd w:id="4"/>
      <w:bookmarkEnd w:id="6"/>
    </w:p>
    <w:p w:rsidR="00173934" w:rsidRDefault="00173934" w:rsidP="00173934">
      <w:r>
        <w:t xml:space="preserve">The AER regulates all electricity networks in the National Electricity Market (NEM). We set network prices so that energy consumers pay no more </w:t>
      </w:r>
      <w:r w:rsidR="00600CCA">
        <w:t xml:space="preserve">than necessary </w:t>
      </w:r>
      <w:r>
        <w:t xml:space="preserve">for the safe and reliable delivery of electricity services. Benchmarking underpins this by enabling us, at an overall level, to identify the relative efficiency of electricity networks, and to track changes in efficiency over time.  </w:t>
      </w:r>
    </w:p>
    <w:p w:rsidR="000D42D0" w:rsidRDefault="000D42D0" w:rsidP="000D42D0">
      <w:r>
        <w:t xml:space="preserve">This is the second annual benchmarking report. The benchmarking models presented in this report are the culmination of a substantial work program that commenced in 2012 after changes to the electricity rules removed impediments to the use of benchmarking in making regulatory determinations. </w:t>
      </w:r>
      <w:r w:rsidR="002D64CE">
        <w:t>For t</w:t>
      </w:r>
      <w:r>
        <w:t>his program</w:t>
      </w:r>
      <w:r w:rsidR="002D64CE">
        <w:t>, we worked with leading economic experts and</w:t>
      </w:r>
      <w:r>
        <w:t xml:space="preserve"> </w:t>
      </w:r>
      <w:r w:rsidR="002D64CE">
        <w:t xml:space="preserve">consulted </w:t>
      </w:r>
      <w:r>
        <w:t>extensive</w:t>
      </w:r>
      <w:r w:rsidR="002D64CE">
        <w:t>ly</w:t>
      </w:r>
      <w:r>
        <w:t xml:space="preserve"> with the </w:t>
      </w:r>
      <w:r w:rsidR="002D64CE">
        <w:t xml:space="preserve">distribution </w:t>
      </w:r>
      <w:r>
        <w:t>network</w:t>
      </w:r>
      <w:r w:rsidR="002D64CE">
        <w:t xml:space="preserve"> </w:t>
      </w:r>
      <w:r>
        <w:t>s</w:t>
      </w:r>
      <w:r w:rsidR="002D64CE">
        <w:t>ervice providers (DNSPs)</w:t>
      </w:r>
      <w:r>
        <w:t xml:space="preserve"> and electricity consumers to establish benchmarking data requirements, model specifications and a guideline setting out how benchmarking would be used in determinations.</w:t>
      </w:r>
      <w:r w:rsidR="002D64CE">
        <w:t xml:space="preserve"> </w:t>
      </w:r>
    </w:p>
    <w:p w:rsidR="000D42D0" w:rsidRDefault="000D42D0" w:rsidP="000D42D0">
      <w:r>
        <w:t>We consider that our benchmarking models are the most robust measures of overall efficiency available. At the same time</w:t>
      </w:r>
      <w:r w:rsidR="002A6374">
        <w:t>,</w:t>
      </w:r>
      <w:r>
        <w:t xml:space="preserve"> however, we recognise that there is no perfect benchmarking model, and have been cautious in our initial application of these results in recent </w:t>
      </w:r>
      <w:r w:rsidR="002D64CE">
        <w:t xml:space="preserve">distribution </w:t>
      </w:r>
      <w:r>
        <w:t xml:space="preserve">determinations. Benchmarking is a critical exercise in assessing the efficiency of the </w:t>
      </w:r>
      <w:r w:rsidR="00C3515F">
        <w:t>DNSPs</w:t>
      </w:r>
      <w:r w:rsidR="002A6374">
        <w:t>’</w:t>
      </w:r>
      <w:r>
        <w:t xml:space="preserve"> regulatory proposals </w:t>
      </w:r>
      <w:r w:rsidR="002A6374">
        <w:t xml:space="preserve">and </w:t>
      </w:r>
      <w:r>
        <w:t xml:space="preserve">we </w:t>
      </w:r>
      <w:r w:rsidR="00A42658">
        <w:t>will</w:t>
      </w:r>
      <w:r>
        <w:t xml:space="preserve"> continue to invest in refin</w:t>
      </w:r>
      <w:r w:rsidR="002A6374">
        <w:t>ing</w:t>
      </w:r>
      <w:r>
        <w:t xml:space="preserve"> our benchmarking techniques into the future.</w:t>
      </w:r>
    </w:p>
    <w:p w:rsidR="001266A4" w:rsidRDefault="00E14351" w:rsidP="001266A4">
      <w:r>
        <w:t xml:space="preserve">This report </w:t>
      </w:r>
      <w:r w:rsidR="000D42D0">
        <w:t>uses</w:t>
      </w:r>
      <w:r>
        <w:t xml:space="preserve"> a different format to</w:t>
      </w:r>
      <w:r w:rsidR="001266A4">
        <w:t xml:space="preserve"> our 2014 report</w:t>
      </w:r>
      <w:r>
        <w:t xml:space="preserve">, with </w:t>
      </w:r>
      <w:r w:rsidR="001266A4">
        <w:t>less emphasis on technical detail</w:t>
      </w:r>
      <w:r w:rsidR="00464A58">
        <w:t xml:space="preserve">. </w:t>
      </w:r>
      <w:r w:rsidR="001266A4">
        <w:t xml:space="preserve">We have focused on an economic benchmarking technique—multilateral total factor productivity (MTFP)—as the primary technique to compare relative efficiency. MTFP is a sophisticated ‘top down’ technique that enables us to measure each DNSP’s overall efficiency at providing electricity services. In addition to MTFP, we present supporting techniques, including econometric </w:t>
      </w:r>
      <w:r w:rsidR="00464A58">
        <w:t xml:space="preserve">opex </w:t>
      </w:r>
      <w:r w:rsidR="001266A4">
        <w:t xml:space="preserve">modelling, which was not included in the 2014 report. </w:t>
      </w:r>
    </w:p>
    <w:p w:rsidR="001266A4" w:rsidRDefault="001266A4" w:rsidP="001266A4">
      <w:pPr>
        <w:pStyle w:val="HeadingBoldBlue"/>
      </w:pPr>
      <w:r>
        <w:t>Key messages</w:t>
      </w:r>
    </w:p>
    <w:p w:rsidR="001266A4" w:rsidRDefault="001266A4" w:rsidP="001266A4">
      <w:r>
        <w:t xml:space="preserve">Productivity across the industry has been declining over the past several years. This can be seen in </w:t>
      </w:r>
      <w:r w:rsidR="00596D16">
        <w:fldChar w:fldCharType="begin"/>
      </w:r>
      <w:r w:rsidR="00596D16">
        <w:instrText xml:space="preserve"> REF _Ref433272773 \h </w:instrText>
      </w:r>
      <w:r w:rsidR="00596D16">
        <w:fldChar w:fldCharType="separate"/>
      </w:r>
      <w:r w:rsidR="00EF5714">
        <w:t xml:space="preserve">Figure </w:t>
      </w:r>
      <w:r w:rsidR="00EF5714">
        <w:rPr>
          <w:noProof/>
        </w:rPr>
        <w:t>1</w:t>
      </w:r>
      <w:r w:rsidR="00596D16">
        <w:fldChar w:fldCharType="end"/>
      </w:r>
      <w:r>
        <w:t xml:space="preserve">, which shows </w:t>
      </w:r>
      <w:r w:rsidR="00E14351">
        <w:t xml:space="preserve">the combined industry </w:t>
      </w:r>
      <w:r w:rsidR="00C13F9E">
        <w:t xml:space="preserve">inputs have increased at a greater rate than outputs since 2007. </w:t>
      </w:r>
    </w:p>
    <w:p w:rsidR="00596D16" w:rsidRDefault="00596D16" w:rsidP="00596D16">
      <w:pPr>
        <w:pStyle w:val="Caption"/>
      </w:pPr>
      <w:bookmarkStart w:id="7" w:name="_Ref433272773"/>
      <w:r>
        <w:lastRenderedPageBreak/>
        <w:t xml:space="preserve">Figure </w:t>
      </w:r>
      <w:r w:rsidRPr="00F50135">
        <w:fldChar w:fldCharType="begin"/>
      </w:r>
      <w:r>
        <w:instrText xml:space="preserve"> SEQ Figure \* ARABIC </w:instrText>
      </w:r>
      <w:r w:rsidRPr="00F50135">
        <w:fldChar w:fldCharType="separate"/>
      </w:r>
      <w:r w:rsidR="00EF5714">
        <w:rPr>
          <w:noProof/>
        </w:rPr>
        <w:t>1</w:t>
      </w:r>
      <w:r w:rsidRPr="00F50135">
        <w:fldChar w:fldCharType="end"/>
      </w:r>
      <w:bookmarkEnd w:id="7"/>
      <w:r>
        <w:tab/>
        <w:t>MTFP input, output and TFP indices for all DNSPs, 2006–14</w:t>
      </w:r>
    </w:p>
    <w:p w:rsidR="00596D16" w:rsidRDefault="006352DB" w:rsidP="00E14351">
      <w:pPr>
        <w:pStyle w:val="Caption"/>
        <w:jc w:val="center"/>
      </w:pPr>
      <w:r w:rsidRPr="006352DB">
        <w:rPr>
          <w:noProof/>
          <w:lang w:eastAsia="en-AU"/>
        </w:rPr>
        <w:drawing>
          <wp:inline distT="0" distB="0" distL="0" distR="0" wp14:anchorId="53FB47DC" wp14:editId="6A009C16">
            <wp:extent cx="4866902" cy="295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6902" cy="2952000"/>
                    </a:xfrm>
                    <a:prstGeom prst="rect">
                      <a:avLst/>
                    </a:prstGeom>
                    <a:noFill/>
                    <a:ln>
                      <a:noFill/>
                    </a:ln>
                  </pic:spPr>
                </pic:pic>
              </a:graphicData>
            </a:graphic>
          </wp:inline>
        </w:drawing>
      </w:r>
    </w:p>
    <w:p w:rsidR="00596D16" w:rsidRDefault="00596D16" w:rsidP="001266A4">
      <w:r>
        <w:t xml:space="preserve">This can also be seen in </w:t>
      </w:r>
      <w:r>
        <w:fldChar w:fldCharType="begin"/>
      </w:r>
      <w:r>
        <w:instrText xml:space="preserve"> REF _Ref433019412 \h </w:instrText>
      </w:r>
      <w:r>
        <w:fldChar w:fldCharType="separate"/>
      </w:r>
      <w:r w:rsidR="00EF5714">
        <w:t xml:space="preserve">Figure </w:t>
      </w:r>
      <w:r w:rsidR="00EF5714">
        <w:rPr>
          <w:noProof/>
        </w:rPr>
        <w:t>2</w:t>
      </w:r>
      <w:r>
        <w:fldChar w:fldCharType="end"/>
      </w:r>
      <w:r>
        <w:t>, which shows the MTFP score for most DNSPs is sloping downwards over the observation period.</w:t>
      </w:r>
    </w:p>
    <w:p w:rsidR="001266A4" w:rsidRDefault="001266A4" w:rsidP="00A75AB2">
      <w:pPr>
        <w:pStyle w:val="Caption"/>
      </w:pPr>
      <w:bookmarkStart w:id="8" w:name="_Ref433019412"/>
      <w:r>
        <w:t xml:space="preserve">Figure </w:t>
      </w:r>
      <w:r w:rsidRPr="00F50135">
        <w:fldChar w:fldCharType="begin"/>
      </w:r>
      <w:r>
        <w:instrText xml:space="preserve"> SEQ Figure \* ARABIC </w:instrText>
      </w:r>
      <w:r w:rsidRPr="00F50135">
        <w:fldChar w:fldCharType="separate"/>
      </w:r>
      <w:r w:rsidR="00EF5714">
        <w:rPr>
          <w:noProof/>
        </w:rPr>
        <w:t>2</w:t>
      </w:r>
      <w:r w:rsidRPr="00F50135">
        <w:fldChar w:fldCharType="end"/>
      </w:r>
      <w:bookmarkEnd w:id="8"/>
      <w:r>
        <w:tab/>
        <w:t>Multilateral total factor productivity by DNSP for 2006–14</w:t>
      </w:r>
    </w:p>
    <w:p w:rsidR="001266A4" w:rsidRDefault="006352DB" w:rsidP="00E14351">
      <w:pPr>
        <w:jc w:val="center"/>
      </w:pPr>
      <w:r w:rsidRPr="006352DB">
        <w:rPr>
          <w:noProof/>
          <w:lang w:eastAsia="en-AU"/>
        </w:rPr>
        <w:drawing>
          <wp:inline distT="0" distB="0" distL="0" distR="0" wp14:anchorId="3470D7AD" wp14:editId="680EDFF6">
            <wp:extent cx="5088148" cy="3096000"/>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8148" cy="3096000"/>
                    </a:xfrm>
                    <a:prstGeom prst="rect">
                      <a:avLst/>
                    </a:prstGeom>
                    <a:noFill/>
                    <a:ln>
                      <a:noFill/>
                    </a:ln>
                  </pic:spPr>
                </pic:pic>
              </a:graphicData>
            </a:graphic>
          </wp:inline>
        </w:drawing>
      </w:r>
    </w:p>
    <w:p w:rsidR="001266A4" w:rsidRDefault="001266A4" w:rsidP="001266A4">
      <w:r>
        <w:t xml:space="preserve">Productivity is declining because </w:t>
      </w:r>
      <w:r w:rsidR="00173934">
        <w:t xml:space="preserve">the </w:t>
      </w:r>
      <w:r w:rsidR="005C0462">
        <w:t>resources used to</w:t>
      </w:r>
      <w:r w:rsidR="00173934">
        <w:t xml:space="preserve"> maintain</w:t>
      </w:r>
      <w:r w:rsidR="00690541">
        <w:t>,</w:t>
      </w:r>
      <w:r w:rsidR="00173934">
        <w:t xml:space="preserve"> replac</w:t>
      </w:r>
      <w:r w:rsidR="005C0462">
        <w:t>e</w:t>
      </w:r>
      <w:r w:rsidR="00690541">
        <w:t xml:space="preserve"> and augment</w:t>
      </w:r>
      <w:r w:rsidR="00173934">
        <w:t xml:space="preserve"> </w:t>
      </w:r>
      <w:r w:rsidR="00690541">
        <w:t xml:space="preserve">the </w:t>
      </w:r>
      <w:r w:rsidR="00173934">
        <w:t xml:space="preserve">networks </w:t>
      </w:r>
      <w:r w:rsidR="005C0462">
        <w:t>are</w:t>
      </w:r>
      <w:r w:rsidR="00173934">
        <w:t xml:space="preserve"> increas</w:t>
      </w:r>
      <w:r w:rsidR="00600CCA">
        <w:t>ing at a greater rate than</w:t>
      </w:r>
      <w:r w:rsidR="00173934">
        <w:t xml:space="preserve"> the demand for electricity network services (measured in terms of increases in customer numbers, </w:t>
      </w:r>
      <w:r w:rsidR="00600CCA">
        <w:t xml:space="preserve">line length, </w:t>
      </w:r>
      <w:r w:rsidR="00173934">
        <w:t xml:space="preserve">energy, and maximum demand). </w:t>
      </w:r>
    </w:p>
    <w:p w:rsidR="001266A4" w:rsidRDefault="001266A4" w:rsidP="001266A4">
      <w:r>
        <w:lastRenderedPageBreak/>
        <w:t>For the majority of DNSPs, the declining productivity trend has continued in</w:t>
      </w:r>
      <w:r w:rsidR="00C47FA5">
        <w:t xml:space="preserve"> the twelve months between 2013</w:t>
      </w:r>
      <w:r>
        <w:t xml:space="preserve"> </w:t>
      </w:r>
      <w:r w:rsidR="0000000D">
        <w:t xml:space="preserve">and </w:t>
      </w:r>
      <w:r>
        <w:t>2014. However, some DNSPs have improved their productivity in recent years, including Energex, Ergon Energy and Essential Energy.</w:t>
      </w:r>
    </w:p>
    <w:p w:rsidR="001266A4" w:rsidRDefault="001266A4" w:rsidP="001266A4">
      <w:r>
        <w:fldChar w:fldCharType="begin"/>
      </w:r>
      <w:r>
        <w:instrText xml:space="preserve"> REF _Ref433019412 \h </w:instrText>
      </w:r>
      <w:r>
        <w:fldChar w:fldCharType="separate"/>
      </w:r>
      <w:r w:rsidR="00EF5714">
        <w:t xml:space="preserve">Figure </w:t>
      </w:r>
      <w:r w:rsidR="00EF5714">
        <w:rPr>
          <w:noProof/>
        </w:rPr>
        <w:t>2</w:t>
      </w:r>
      <w:r>
        <w:fldChar w:fldCharType="end"/>
      </w:r>
      <w:r>
        <w:t xml:space="preserve"> demonstrates that, over time, the field has started to narrow. In 2014, the four most productive DNSPs are CitiPower, United Energy, SA Power Networks and Jemena and the four least productive DNSPs are TasNetworks, ActewAGL, Essential Energy and Ausgrid. These DNSPs have consistently been among the best and worst performers, respectively, over the period. However, recent declines in productivity from SA Power Networks and AusNet Services, combined with improvements from Energex and Ergon Energy have resulted in the relative efficiency of eight of the 13 DNSPs being closer than ever before.</w:t>
      </w:r>
    </w:p>
    <w:p w:rsidR="00146F94" w:rsidRDefault="00146F94" w:rsidP="002A6374">
      <w:r>
        <w:t>In addition to MTFP, this report presents several supporting metrics, which provide alternative measures of comparative performance. These metrics include partial productivity indices, econometric models and partial performance indicators. While, in some cases, the best and worst performers on a supporting metric rank similarly to those on MTFP, the supporting techniques do not measure overall efficiency.  They either examine relative efficiency of total output to one input or provide a general indication of comparative performance. Therefore, the results of the supporting metrics will not be the same as they are for MTFP.</w:t>
      </w:r>
      <w:r w:rsidR="002A6374">
        <w:t xml:space="preserve"> </w:t>
      </w:r>
      <w:r>
        <w:t>The</w:t>
      </w:r>
      <w:r w:rsidR="002A6374">
        <w:t xml:space="preserve"> supporting metrics</w:t>
      </w:r>
      <w:r>
        <w:t xml:space="preserve"> are, however, useful for assessing relative efficiency and we use all of them in our distribution determinations.</w:t>
      </w:r>
    </w:p>
    <w:p w:rsidR="0069742C" w:rsidRDefault="0069742C" w:rsidP="0069742C"/>
    <w:p w:rsidR="0069742C" w:rsidRDefault="0069742C" w:rsidP="0069742C">
      <w:pPr>
        <w:sectPr w:rsidR="0069742C" w:rsidSect="00F40268">
          <w:footerReference w:type="default" r:id="rId14"/>
          <w:pgSz w:w="11906" w:h="16838" w:code="9"/>
          <w:pgMar w:top="1440" w:right="1700" w:bottom="1582" w:left="1729" w:header="720" w:footer="409" w:gutter="0"/>
          <w:pgNumType w:fmt="lowerRoman" w:start="1"/>
          <w:cols w:space="720"/>
          <w:docGrid w:linePitch="326"/>
        </w:sectPr>
      </w:pPr>
    </w:p>
    <w:p w:rsidR="0069742C" w:rsidRDefault="008A7BEA" w:rsidP="0069742C">
      <w:pPr>
        <w:pStyle w:val="Heading1"/>
      </w:pPr>
      <w:bookmarkStart w:id="9" w:name="_Toc435712623"/>
      <w:r>
        <w:lastRenderedPageBreak/>
        <w:t>Introduction</w:t>
      </w:r>
      <w:bookmarkEnd w:id="9"/>
    </w:p>
    <w:p w:rsidR="00B87FCA" w:rsidRDefault="00173934" w:rsidP="00230668">
      <w:r>
        <w:t xml:space="preserve">This annual benchmarking report informs consumers about the relative efficiency of network service providers. It is prepared to facilitate greater consumer engagement and participation in network revenue decisions. </w:t>
      </w:r>
    </w:p>
    <w:p w:rsidR="00081C9B" w:rsidRDefault="00081C9B" w:rsidP="00081C9B">
      <w:pPr>
        <w:pStyle w:val="Heading2"/>
      </w:pPr>
      <w:r>
        <w:t>Who the report compares</w:t>
      </w:r>
    </w:p>
    <w:p w:rsidR="00164191" w:rsidRDefault="00081C9B" w:rsidP="00081C9B">
      <w:r w:rsidRPr="00012AD8">
        <w:t xml:space="preserve">The electricity industry in </w:t>
      </w:r>
      <w:r>
        <w:t xml:space="preserve">Australia </w:t>
      </w:r>
      <w:r w:rsidRPr="00012AD8">
        <w:t>is divided into four distinct parts, with a specific role for each stage of the supply chain—generation, transmission, distribution and retail.</w:t>
      </w:r>
      <w:r w:rsidR="00164191">
        <w:t xml:space="preserve"> </w:t>
      </w:r>
    </w:p>
    <w:p w:rsidR="00173934" w:rsidRDefault="00173934" w:rsidP="00081C9B">
      <w:r>
        <w:t xml:space="preserve">Electricity generators are </w:t>
      </w:r>
      <w:r w:rsidR="00182E7A">
        <w:t xml:space="preserve">usually </w:t>
      </w:r>
      <w:r>
        <w:t>located near fuel sources, and often long distances from most electricity customers. The supply chain, therefore, requires networks to transport power from generators to customers:</w:t>
      </w:r>
    </w:p>
    <w:p w:rsidR="00173934" w:rsidRDefault="00173934" w:rsidP="00690541">
      <w:pPr>
        <w:pStyle w:val="ListParagraph"/>
        <w:numPr>
          <w:ilvl w:val="0"/>
          <w:numId w:val="71"/>
        </w:numPr>
      </w:pPr>
      <w:r>
        <w:t>High voltage transmission lines transport electricity from generators to distribution networks in metropolitan and regional areas</w:t>
      </w:r>
    </w:p>
    <w:p w:rsidR="00173934" w:rsidRDefault="00173934" w:rsidP="00690541">
      <w:pPr>
        <w:pStyle w:val="ListParagraph"/>
        <w:numPr>
          <w:ilvl w:val="0"/>
          <w:numId w:val="71"/>
        </w:numPr>
      </w:pPr>
      <w:r>
        <w:t xml:space="preserve">Distribution networks convert electricity from the high voltage transmission network into medium and low voltages and transport electricity from points along the transmission lines to residential and business customers.  </w:t>
      </w:r>
    </w:p>
    <w:p w:rsidR="00081C9B" w:rsidRDefault="00173934" w:rsidP="00081C9B">
      <w:r>
        <w:t xml:space="preserve">This report focuses on the distribution sector. Thirteen </w:t>
      </w:r>
      <w:r w:rsidR="00141993">
        <w:t xml:space="preserve">DNSPs </w:t>
      </w:r>
      <w:r w:rsidR="00081C9B">
        <w:t xml:space="preserve">operate </w:t>
      </w:r>
      <w:r>
        <w:t xml:space="preserve">in the NEM. </w:t>
      </w:r>
      <w:r w:rsidR="00141993">
        <w:t xml:space="preserve"> Appendix </w:t>
      </w:r>
      <w:r w:rsidR="00141993">
        <w:fldChar w:fldCharType="begin"/>
      </w:r>
      <w:r w:rsidR="00141993">
        <w:instrText xml:space="preserve"> REF _Ref432584540 \n \h </w:instrText>
      </w:r>
      <w:r w:rsidR="00141993">
        <w:fldChar w:fldCharType="separate"/>
      </w:r>
      <w:r w:rsidR="00EF5714">
        <w:t>D</w:t>
      </w:r>
      <w:r w:rsidR="00141993">
        <w:fldChar w:fldCharType="end"/>
      </w:r>
      <w:r w:rsidR="00141993">
        <w:t xml:space="preserve"> presents a map of the NEM showing the service area for each DNSP.</w:t>
      </w:r>
      <w:r w:rsidR="00F573C1">
        <w:t xml:space="preserve"> </w:t>
      </w:r>
    </w:p>
    <w:p w:rsidR="00081C9B" w:rsidRDefault="00141993" w:rsidP="00230668">
      <w:r>
        <w:t>Despite</w:t>
      </w:r>
      <w:r w:rsidR="00081C9B">
        <w:t xml:space="preserve"> the </w:t>
      </w:r>
      <w:r>
        <w:t xml:space="preserve">existence of some differences between the operating environments of the DNSPs, they all supply electricity using the same </w:t>
      </w:r>
      <w:r w:rsidR="00167835">
        <w:t xml:space="preserve">technology and </w:t>
      </w:r>
      <w:r>
        <w:t xml:space="preserve">assets (such as poles </w:t>
      </w:r>
      <w:r w:rsidR="00ED4A31">
        <w:t>and wires). This means they are natural comparators for benchmarking.</w:t>
      </w:r>
      <w:r w:rsidR="00167835">
        <w:t xml:space="preserve"> Indeed, benchmarking the performance of electricity DNSPs is commonplace around the world.</w:t>
      </w:r>
      <w:r w:rsidR="009D584C">
        <w:t xml:space="preserve"> </w:t>
      </w:r>
      <w:r w:rsidR="001266A4">
        <w:t xml:space="preserve">Appendix </w:t>
      </w:r>
      <w:r w:rsidR="001266A4">
        <w:fldChar w:fldCharType="begin"/>
      </w:r>
      <w:r w:rsidR="001266A4">
        <w:instrText xml:space="preserve"> REF _Ref432682897 \n \h </w:instrText>
      </w:r>
      <w:r w:rsidR="001266A4">
        <w:fldChar w:fldCharType="separate"/>
      </w:r>
      <w:r w:rsidR="00EF5714">
        <w:t>A</w:t>
      </w:r>
      <w:r w:rsidR="001266A4">
        <w:fldChar w:fldCharType="end"/>
      </w:r>
      <w:r w:rsidR="001266A4">
        <w:t xml:space="preserve"> contains</w:t>
      </w:r>
      <w:r w:rsidR="00E14351">
        <w:t xml:space="preserve"> (among other things)</w:t>
      </w:r>
      <w:r w:rsidR="001266A4">
        <w:t xml:space="preserve"> references for further reading on benchmarking electricity networks overseas.</w:t>
      </w:r>
    </w:p>
    <w:p w:rsidR="00081C9B" w:rsidRDefault="00167835" w:rsidP="00167835">
      <w:pPr>
        <w:pStyle w:val="Heading2"/>
      </w:pPr>
      <w:r>
        <w:t>What the report measures</w:t>
      </w:r>
    </w:p>
    <w:p w:rsidR="002717FA" w:rsidRDefault="00B97779" w:rsidP="00167835">
      <w:r>
        <w:t>The core function of a DNSP is to provide consumers</w:t>
      </w:r>
      <w:r w:rsidR="00164191">
        <w:t xml:space="preserve"> </w:t>
      </w:r>
      <w:r w:rsidR="001266A4">
        <w:t>with access to electricity</w:t>
      </w:r>
      <w:r w:rsidR="00173934">
        <w:t>. This function must be undertaken</w:t>
      </w:r>
      <w:r w:rsidR="001266A4">
        <w:t xml:space="preserve"> </w:t>
      </w:r>
      <w:r w:rsidR="00164191">
        <w:t>in accordance with certain</w:t>
      </w:r>
      <w:r w:rsidR="00173934">
        <w:t xml:space="preserve"> performance</w:t>
      </w:r>
      <w:r w:rsidR="00164191">
        <w:t xml:space="preserve"> requirements, usually to achieve desired policy objectives</w:t>
      </w:r>
      <w:r w:rsidR="00173934">
        <w:t xml:space="preserve"> including</w:t>
      </w:r>
      <w:r w:rsidR="00164191">
        <w:t xml:space="preserve"> minimum service standards </w:t>
      </w:r>
      <w:r w:rsidR="00A842D2">
        <w:t>for delivering electricity safely and reliably.</w:t>
      </w:r>
    </w:p>
    <w:p w:rsidR="008C7A59" w:rsidRDefault="002717FA" w:rsidP="00167835">
      <w:r>
        <w:t xml:space="preserve">The objective of this report is to benchmark the DNSPs to determine who provides electricity services, in accordance with </w:t>
      </w:r>
      <w:r w:rsidR="001471FD">
        <w:t xml:space="preserve">their </w:t>
      </w:r>
      <w:r>
        <w:t xml:space="preserve">requirements, </w:t>
      </w:r>
      <w:r w:rsidR="007C42ED">
        <w:t>most efficiently</w:t>
      </w:r>
      <w:r>
        <w:t xml:space="preserve">. </w:t>
      </w:r>
      <w:r w:rsidR="008C7A59">
        <w:t xml:space="preserve">Several approaches to benchmarking exist, which may be broadly classified into </w:t>
      </w:r>
      <w:r w:rsidR="00C229D9">
        <w:t xml:space="preserve">‘top down’ </w:t>
      </w:r>
      <w:r w:rsidR="008C7A59">
        <w:t>and ‘bottom up’ techniques</w:t>
      </w:r>
      <w:r w:rsidR="00C229D9">
        <w:t>.</w:t>
      </w:r>
      <w:r w:rsidR="00400718">
        <w:t xml:space="preserve"> </w:t>
      </w:r>
      <w:r w:rsidR="008C7A59">
        <w:t>Top down techniques measure</w:t>
      </w:r>
      <w:r w:rsidR="00173934">
        <w:t xml:space="preserve"> a business’s</w:t>
      </w:r>
      <w:r w:rsidR="008C7A59">
        <w:t xml:space="preserve"> efficiency overall, which means they take into </w:t>
      </w:r>
      <w:r w:rsidR="00BC49ED">
        <w:t xml:space="preserve">account </w:t>
      </w:r>
      <w:r w:rsidR="002C554A">
        <w:t xml:space="preserve">efficiency </w:t>
      </w:r>
      <w:r w:rsidR="00BC49ED">
        <w:t>trade-offs between components</w:t>
      </w:r>
      <w:r w:rsidR="008C7A59">
        <w:t xml:space="preserve"> that make up the total</w:t>
      </w:r>
      <w:r w:rsidR="00BC49ED">
        <w:t xml:space="preserve">. </w:t>
      </w:r>
    </w:p>
    <w:p w:rsidR="002717FA" w:rsidRDefault="00BC49ED" w:rsidP="00167835">
      <w:r>
        <w:t xml:space="preserve">Bottom up techniques, </w:t>
      </w:r>
      <w:r w:rsidR="002C554A">
        <w:t>in</w:t>
      </w:r>
      <w:r>
        <w:t xml:space="preserve"> contrast, </w:t>
      </w:r>
      <w:r w:rsidR="008C7A59">
        <w:t xml:space="preserve">separately examine the components that make up the total, often at a granular level. Components are then built up to form the total. </w:t>
      </w:r>
      <w:r w:rsidR="00AD181D">
        <w:t>In most cases, b</w:t>
      </w:r>
      <w:r w:rsidR="008C7A59">
        <w:t xml:space="preserve">ottom up techniques </w:t>
      </w:r>
      <w:r>
        <w:t xml:space="preserve">are not effective at </w:t>
      </w:r>
      <w:r w:rsidR="002C554A">
        <w:t xml:space="preserve">examining efficiency trade-offs </w:t>
      </w:r>
      <w:r w:rsidR="00173934">
        <w:lastRenderedPageBreak/>
        <w:t xml:space="preserve">between all of the different components of a </w:t>
      </w:r>
      <w:r w:rsidR="00AD181D">
        <w:t>DNSP’s</w:t>
      </w:r>
      <w:r w:rsidR="00173934">
        <w:t xml:space="preserve"> operations</w:t>
      </w:r>
      <w:r w:rsidR="00AD181D">
        <w:t>.</w:t>
      </w:r>
      <w:r w:rsidR="00AD181D">
        <w:rPr>
          <w:rStyle w:val="FootnoteReference"/>
        </w:rPr>
        <w:footnoteReference w:id="2"/>
      </w:r>
      <w:r w:rsidR="00173934">
        <w:t xml:space="preserve"> </w:t>
      </w:r>
      <w:r w:rsidR="00AD181D">
        <w:t xml:space="preserve">They </w:t>
      </w:r>
      <w:r w:rsidR="002C554A">
        <w:t xml:space="preserve">are </w:t>
      </w:r>
      <w:r w:rsidR="00AD181D">
        <w:t xml:space="preserve">also </w:t>
      </w:r>
      <w:r w:rsidR="002C554A">
        <w:t>resource intensive</w:t>
      </w:r>
      <w:r w:rsidR="008C7A59">
        <w:t>.</w:t>
      </w:r>
      <w:r w:rsidR="002C554A">
        <w:t xml:space="preserve"> </w:t>
      </w:r>
      <w:r w:rsidR="00E14351">
        <w:t>Most regulators overseas use top down economic benchmarking techniques rather than bottom up techniques.</w:t>
      </w:r>
      <w:r w:rsidR="00736AC1">
        <w:rPr>
          <w:rStyle w:val="FootnoteReference"/>
        </w:rPr>
        <w:footnoteReference w:id="3"/>
      </w:r>
      <w:r w:rsidR="002C554A">
        <w:t xml:space="preserve"> </w:t>
      </w:r>
    </w:p>
    <w:p w:rsidR="00253256" w:rsidRDefault="008C7A59" w:rsidP="00167835">
      <w:r>
        <w:t>This report presents top down benchmarking techniques, using</w:t>
      </w:r>
      <w:r w:rsidR="00531FDF">
        <w:t xml:space="preserve"> an inputs and outputs framework</w:t>
      </w:r>
      <w:r>
        <w:t>.</w:t>
      </w:r>
      <w:r w:rsidR="00531FDF">
        <w:t xml:space="preserve"> </w:t>
      </w:r>
      <w:r>
        <w:t>I</w:t>
      </w:r>
      <w:r w:rsidR="009E058F">
        <w:t xml:space="preserve">nputs are the resources a DNSP uses to provide services </w:t>
      </w:r>
      <w:r w:rsidR="00253256">
        <w:t xml:space="preserve">(such as capital and labour) </w:t>
      </w:r>
      <w:r w:rsidR="009E058F">
        <w:t xml:space="preserve">and outputs are </w:t>
      </w:r>
      <w:r w:rsidR="00253256">
        <w:t xml:space="preserve">measures </w:t>
      </w:r>
      <w:r w:rsidR="003A4C69">
        <w:t xml:space="preserve">that represent </w:t>
      </w:r>
      <w:r w:rsidR="00253256">
        <w:t>those services (such as the number of customers and how much electricity they need)</w:t>
      </w:r>
      <w:r w:rsidR="009E058F">
        <w:t xml:space="preserve">. </w:t>
      </w:r>
      <w:r w:rsidR="00253256">
        <w:t>The fewer inputs a DNSP uses to provide outputs, the lower the cost of providing distribution services and, hence, the lower the price consumers pay for the services. The benchmarking techniques in this report examine the combination of inputs the DNSPs use to deliver their outputs.</w:t>
      </w:r>
    </w:p>
    <w:p w:rsidR="00167835" w:rsidRDefault="001873A2" w:rsidP="00167835">
      <w:r>
        <w:t xml:space="preserve">Using the combination of </w:t>
      </w:r>
      <w:r w:rsidR="00B35629">
        <w:t xml:space="preserve">resources to </w:t>
      </w:r>
      <w:r w:rsidR="003929B2">
        <w:t>deliver outputs</w:t>
      </w:r>
      <w:r w:rsidR="00B35629">
        <w:t xml:space="preserve"> </w:t>
      </w:r>
      <w:r>
        <w:t xml:space="preserve">for the least possible cost </w:t>
      </w:r>
      <w:r w:rsidR="00B35629">
        <w:t>is known as ‘</w:t>
      </w:r>
      <w:r>
        <w:t>productive e</w:t>
      </w:r>
      <w:r w:rsidR="00B35629">
        <w:t>fficiency’</w:t>
      </w:r>
      <w:r>
        <w:t>.</w:t>
      </w:r>
      <w:r w:rsidR="003929B2">
        <w:t xml:space="preserve"> </w:t>
      </w:r>
      <w:r w:rsidR="006428BE">
        <w:t>Productive efficiency is one of the three components of economic efficiency</w:t>
      </w:r>
      <w:r w:rsidR="004B4B91">
        <w:t xml:space="preserve"> (productive, allocative and dynamic efficiency</w:t>
      </w:r>
      <w:r w:rsidR="00AD5FA9">
        <w:rPr>
          <w:rStyle w:val="FootnoteReference"/>
        </w:rPr>
        <w:footnoteReference w:id="4"/>
      </w:r>
      <w:r w:rsidR="004B4B91">
        <w:t>)</w:t>
      </w:r>
      <w:r w:rsidR="006428BE">
        <w:t xml:space="preserve"> which is achieved when inputs are optimally selected and used in order to deliver outputs that align with customer preferences.</w:t>
      </w:r>
    </w:p>
    <w:p w:rsidR="001873A2" w:rsidRDefault="00A842D2" w:rsidP="00167835">
      <w:r>
        <w:t xml:space="preserve">This report </w:t>
      </w:r>
      <w:r w:rsidR="004B4B91">
        <w:t xml:space="preserve">examines the DNSPs’ </w:t>
      </w:r>
      <w:r>
        <w:t xml:space="preserve">productive efficiency </w:t>
      </w:r>
      <w:r w:rsidR="006D24A6">
        <w:t>in</w:t>
      </w:r>
      <w:r>
        <w:t xml:space="preserve"> providing core network services.</w:t>
      </w:r>
      <w:r w:rsidR="004B4B91">
        <w:t xml:space="preserve"> </w:t>
      </w:r>
      <w:r w:rsidR="00AD5FA9">
        <w:t>M</w:t>
      </w:r>
      <w:r w:rsidR="004B4B91">
        <w:t>easuring productive efficiency over time</w:t>
      </w:r>
      <w:r w:rsidR="00AD5FA9">
        <w:t xml:space="preserve"> also provides an insight into the DNSPs’ dynamic efficiency.</w:t>
      </w:r>
    </w:p>
    <w:p w:rsidR="00A842D2" w:rsidRPr="00167835" w:rsidRDefault="004E2E3C" w:rsidP="006D24A6">
      <w:pPr>
        <w:pStyle w:val="Heading2"/>
      </w:pPr>
      <w:r>
        <w:t>Reasons for</w:t>
      </w:r>
      <w:r w:rsidR="006D24A6">
        <w:t xml:space="preserve"> </w:t>
      </w:r>
      <w:r w:rsidR="00A215CD">
        <w:t xml:space="preserve">measuring </w:t>
      </w:r>
      <w:r>
        <w:t>comparative performance</w:t>
      </w:r>
    </w:p>
    <w:p w:rsidR="00F573C1" w:rsidRDefault="00A215CD" w:rsidP="00CC05D9">
      <w:r>
        <w:t xml:space="preserve">Comparative information on the performance of electricity DNSPs contributes to the wellbeing of all electricity consumers by encouraging improvements in the services they provide, particularly their cost effectiveness. </w:t>
      </w:r>
      <w:r w:rsidR="00F573C1">
        <w:t>This is important in an industry where the service providers are natural monopolies</w:t>
      </w:r>
      <w:r w:rsidR="00484DA5">
        <w:t xml:space="preserve"> because</w:t>
      </w:r>
      <w:r w:rsidR="00014995">
        <w:t xml:space="preserve"> they </w:t>
      </w:r>
      <w:r w:rsidR="00D379C9">
        <w:t xml:space="preserve">may not face the same pressures to operate efficiently </w:t>
      </w:r>
      <w:r w:rsidR="00014995">
        <w:t xml:space="preserve">as </w:t>
      </w:r>
      <w:r w:rsidR="00464A58">
        <w:t xml:space="preserve">service providers </w:t>
      </w:r>
      <w:r w:rsidR="00D379C9">
        <w:t>in a competitive market</w:t>
      </w:r>
      <w:r w:rsidR="00014995">
        <w:t>. C</w:t>
      </w:r>
      <w:r w:rsidR="006A19EF">
        <w:t xml:space="preserve">onsumers </w:t>
      </w:r>
      <w:r w:rsidR="00014995">
        <w:t xml:space="preserve">have limited means of gathering information about DNSP performance and very </w:t>
      </w:r>
      <w:r w:rsidR="006A19EF">
        <w:t xml:space="preserve">little opportunity to </w:t>
      </w:r>
      <w:r w:rsidR="00F573C1">
        <w:t>choose their DNSP</w:t>
      </w:r>
      <w:r w:rsidR="006A19EF">
        <w:t xml:space="preserve"> or express their preferences by accessing services elsewhere</w:t>
      </w:r>
      <w:r w:rsidR="00F573C1">
        <w:t>.</w:t>
      </w:r>
    </w:p>
    <w:p w:rsidR="00830CED" w:rsidRDefault="005206C3" w:rsidP="00230668">
      <w:r>
        <w:t>K</w:t>
      </w:r>
      <w:r w:rsidR="00830CED">
        <w:t>ey reasons for reporting comparative performance information across jurisdictions are to:</w:t>
      </w:r>
    </w:p>
    <w:p w:rsidR="005206C3" w:rsidRDefault="005206C3" w:rsidP="005206C3">
      <w:pPr>
        <w:pStyle w:val="AERbulletlistfirststyle"/>
      </w:pPr>
      <w:r>
        <w:t xml:space="preserve">provide meaningful information to consumers and other stakeholders </w:t>
      </w:r>
    </w:p>
    <w:p w:rsidR="005206C3" w:rsidRDefault="005206C3" w:rsidP="005206C3">
      <w:pPr>
        <w:pStyle w:val="AERbulletlistfirststyle"/>
      </w:pPr>
      <w:r>
        <w:t>encourage participation and engagement in the AER’s regulatory processes</w:t>
      </w:r>
    </w:p>
    <w:p w:rsidR="00830CED" w:rsidRDefault="00830CED" w:rsidP="00830CED">
      <w:pPr>
        <w:pStyle w:val="AERbulletlistfirststyle"/>
      </w:pPr>
      <w:r>
        <w:lastRenderedPageBreak/>
        <w:t>identify high performing DNSPs</w:t>
      </w:r>
    </w:p>
    <w:p w:rsidR="00830CED" w:rsidRDefault="00830CED" w:rsidP="00830CED">
      <w:pPr>
        <w:pStyle w:val="AERbulletlistfirststyle"/>
      </w:pPr>
      <w:r>
        <w:t>enable DNSPs to learn from peers that are delivering their services more efficiently</w:t>
      </w:r>
    </w:p>
    <w:p w:rsidR="00B86024" w:rsidRDefault="00830CED" w:rsidP="00830CED">
      <w:pPr>
        <w:pStyle w:val="AERbulletlistfirststyle"/>
      </w:pPr>
      <w:r>
        <w:t>generate additional incentives for DNSPs to improve their efficiency</w:t>
      </w:r>
      <w:r w:rsidR="005206C3">
        <w:t>.</w:t>
      </w:r>
    </w:p>
    <w:p w:rsidR="00712F21" w:rsidRDefault="00712F21" w:rsidP="00712F21">
      <w:r>
        <w:t>In addition to being useful for stakeholders, the comparative performance information in this report is relevant to our distribution determinations. For example, we use all of the techniques as part of our toolkit for assessing the efficiency of DNSPs’ expenditure proposals.</w:t>
      </w:r>
    </w:p>
    <w:p w:rsidR="002D34FE" w:rsidRDefault="002D34FE" w:rsidP="002D34FE"/>
    <w:p w:rsidR="008A7BEA" w:rsidRDefault="008A7BEA" w:rsidP="008A7BEA">
      <w:pPr>
        <w:pStyle w:val="Heading1"/>
      </w:pPr>
      <w:bookmarkStart w:id="10" w:name="_Toc435712624"/>
      <w:r>
        <w:lastRenderedPageBreak/>
        <w:t>Approach</w:t>
      </w:r>
      <w:bookmarkEnd w:id="10"/>
    </w:p>
    <w:p w:rsidR="00475ADE" w:rsidRDefault="00EF3C1F" w:rsidP="00EF3C1F">
      <w:r>
        <w:t xml:space="preserve">This report </w:t>
      </w:r>
      <w:r w:rsidR="00DF61DF">
        <w:t xml:space="preserve">uses </w:t>
      </w:r>
      <w:r w:rsidR="008C7A59">
        <w:t>top down benchmarking techniques</w:t>
      </w:r>
      <w:r w:rsidR="00DF61DF">
        <w:t xml:space="preserve"> to measure each DNSP’s efficiency</w:t>
      </w:r>
      <w:r w:rsidR="00475ADE">
        <w:t xml:space="preserve"> in delivering network services to consumers</w:t>
      </w:r>
      <w:r w:rsidR="00DF61DF">
        <w:t>.</w:t>
      </w:r>
      <w:r w:rsidR="00475ADE">
        <w:t xml:space="preserve"> </w:t>
      </w:r>
      <w:r w:rsidR="00B25620">
        <w:t xml:space="preserve">In essence, we rank the DNSPs </w:t>
      </w:r>
      <w:r w:rsidR="007C42ED">
        <w:t>according to their relative efficiency</w:t>
      </w:r>
      <w:r w:rsidR="00B25620">
        <w:t xml:space="preserve">, based on </w:t>
      </w:r>
      <w:r w:rsidR="00734F42">
        <w:t>their costs of</w:t>
      </w:r>
      <w:r w:rsidR="00B25620">
        <w:t xml:space="preserve"> provid</w:t>
      </w:r>
      <w:r w:rsidR="00734F42">
        <w:t>ing</w:t>
      </w:r>
      <w:r w:rsidR="00B25620">
        <w:t xml:space="preserve"> services in accordance with </w:t>
      </w:r>
      <w:r w:rsidR="00EE3C43">
        <w:t>service standard obligations</w:t>
      </w:r>
      <w:r w:rsidR="00B25620">
        <w:t xml:space="preserve">. </w:t>
      </w:r>
      <w:r w:rsidR="00475ADE">
        <w:t>We present three different types of techniques</w:t>
      </w:r>
      <w:r w:rsidR="00B25620">
        <w:t xml:space="preserve"> to do this, drawing on data provided by the DNSPs</w:t>
      </w:r>
      <w:r w:rsidR="00BF7B99">
        <w:t>.</w:t>
      </w:r>
      <w:r w:rsidR="00C429E0">
        <w:t xml:space="preserve"> </w:t>
      </w:r>
    </w:p>
    <w:p w:rsidR="00B25620" w:rsidRDefault="00B25620" w:rsidP="00475ADE">
      <w:pPr>
        <w:pStyle w:val="Heading2"/>
      </w:pPr>
      <w:r>
        <w:t>Inputs and outputs</w:t>
      </w:r>
    </w:p>
    <w:p w:rsidR="00B25620" w:rsidRDefault="00BF7B99" w:rsidP="00B25620">
      <w:r>
        <w:t xml:space="preserve">Inputs are the resources a DNSP uses to provide services. The two inputs we focus on are opex and capital stock (assets). DNSPs spend opex to operate and maintain </w:t>
      </w:r>
      <w:r w:rsidR="00975B90">
        <w:t xml:space="preserve">their </w:t>
      </w:r>
      <w:r>
        <w:t xml:space="preserve">assets. DNSPs invest in capital to replace or upgrade </w:t>
      </w:r>
      <w:r w:rsidR="00975B90">
        <w:t xml:space="preserve">their </w:t>
      </w:r>
      <w:r>
        <w:t>assets and to expand their network for growth in customers or to increase the amount of electricity they</w:t>
      </w:r>
      <w:r w:rsidR="00734F42">
        <w:t xml:space="preserve"> can</w:t>
      </w:r>
      <w:r>
        <w:t xml:space="preserve"> deliver.</w:t>
      </w:r>
    </w:p>
    <w:p w:rsidR="00555B6F" w:rsidRDefault="00617786" w:rsidP="00117D70">
      <w:r>
        <w:t xml:space="preserve">Outputs are </w:t>
      </w:r>
      <w:r w:rsidR="00555B6F">
        <w:t>quantitative</w:t>
      </w:r>
      <w:r w:rsidR="00272BE0">
        <w:t xml:space="preserve"> and qualitative</w:t>
      </w:r>
      <w:r w:rsidR="00555B6F">
        <w:t xml:space="preserve"> </w:t>
      </w:r>
      <w:r w:rsidR="00AF1974">
        <w:t xml:space="preserve">measures </w:t>
      </w:r>
      <w:r w:rsidR="00555B6F">
        <w:t xml:space="preserve">that represent </w:t>
      </w:r>
      <w:r w:rsidR="00AF1974">
        <w:t xml:space="preserve">the </w:t>
      </w:r>
      <w:r>
        <w:t xml:space="preserve">services the DNSPs provide. </w:t>
      </w:r>
      <w:r w:rsidR="00555B6F">
        <w:t>DNSPs provide customers with access to a safe and reliable supply of electricity, so t</w:t>
      </w:r>
      <w:r>
        <w:t xml:space="preserve">he outputs we </w:t>
      </w:r>
      <w:r w:rsidR="0018081A">
        <w:t>use</w:t>
      </w:r>
      <w:r>
        <w:t xml:space="preserve"> in this report are customer numbers, </w:t>
      </w:r>
      <w:r w:rsidR="00117D70">
        <w:t xml:space="preserve">circuit </w:t>
      </w:r>
      <w:r>
        <w:t>line length, maximum demand, energy delivered and reliability</w:t>
      </w:r>
      <w:r w:rsidR="0018081A">
        <w:t>. We consider these measures capture the total output faced by DNSPs</w:t>
      </w:r>
      <w:r w:rsidR="0003240E" w:rsidRPr="0003240E">
        <w:t xml:space="preserve"> </w:t>
      </w:r>
      <w:r w:rsidR="0003240E">
        <w:t>effectively</w:t>
      </w:r>
      <w:r w:rsidR="00555B6F">
        <w:t xml:space="preserve"> because:</w:t>
      </w:r>
    </w:p>
    <w:p w:rsidR="00555B6F" w:rsidRDefault="00555B6F" w:rsidP="00555B6F">
      <w:pPr>
        <w:pStyle w:val="AERbulletlistfirststyle"/>
      </w:pPr>
      <w:r>
        <w:t>t</w:t>
      </w:r>
      <w:r w:rsidR="0018081A">
        <w:t xml:space="preserve">he number and location of customers dictate where DNSPs must build their networks and the capacity </w:t>
      </w:r>
      <w:r w:rsidR="00117D70">
        <w:t xml:space="preserve">and length of </w:t>
      </w:r>
      <w:r w:rsidR="0018081A">
        <w:t xml:space="preserve">the lines </w:t>
      </w:r>
      <w:r w:rsidR="00117D70">
        <w:t>required</w:t>
      </w:r>
    </w:p>
    <w:p w:rsidR="00555B6F" w:rsidRDefault="00555B6F" w:rsidP="00555B6F">
      <w:pPr>
        <w:pStyle w:val="AERbulletlistfirststyle"/>
      </w:pPr>
      <w:r>
        <w:t>t</w:t>
      </w:r>
      <w:r w:rsidR="00117D70">
        <w:t>he network must be capable of delivering energy to customers when they need it, including at times when demand is at its greatest (maximum demand)</w:t>
      </w:r>
    </w:p>
    <w:p w:rsidR="00617786" w:rsidRDefault="00617786" w:rsidP="00555B6F">
      <w:pPr>
        <w:pStyle w:val="AERbulletlistfirststyle"/>
      </w:pPr>
      <w:r>
        <w:t xml:space="preserve">DNSPs must provide their services in accordance </w:t>
      </w:r>
      <w:r w:rsidR="00117D70">
        <w:t>with reliability standards</w:t>
      </w:r>
      <w:r w:rsidR="00845EB3">
        <w:t xml:space="preserve"> and aim to minimise interruptions to electricity supply</w:t>
      </w:r>
      <w:r w:rsidR="00117D70">
        <w:t>.</w:t>
      </w:r>
    </w:p>
    <w:p w:rsidR="00117D70" w:rsidRPr="00B25620" w:rsidRDefault="00704961" w:rsidP="00704961">
      <w:r>
        <w:t xml:space="preserve">Since </w:t>
      </w:r>
      <w:r w:rsidR="00AF1974">
        <w:t>DNSPs use multiple inputs to provide multiple outputs to customers</w:t>
      </w:r>
      <w:r>
        <w:t>, it is necessary to aggregate the</w:t>
      </w:r>
      <w:r w:rsidR="00FF77D9">
        <w:t>m</w:t>
      </w:r>
      <w:r>
        <w:t xml:space="preserve"> to produce an efficiency measure</w:t>
      </w:r>
      <w:r w:rsidR="00AF1974">
        <w:t>.</w:t>
      </w:r>
      <w:r w:rsidR="00FF77D9">
        <w:t xml:space="preserve"> </w:t>
      </w:r>
      <w:r w:rsidR="00117D70">
        <w:t xml:space="preserve">Appendix </w:t>
      </w:r>
      <w:r w:rsidR="00117D70">
        <w:fldChar w:fldCharType="begin"/>
      </w:r>
      <w:r w:rsidR="00117D70">
        <w:instrText xml:space="preserve"> REF _Ref432603789 \n \h </w:instrText>
      </w:r>
      <w:r w:rsidR="00117D70">
        <w:fldChar w:fldCharType="separate"/>
      </w:r>
      <w:r w:rsidR="00EF5714">
        <w:t>A</w:t>
      </w:r>
      <w:r w:rsidR="00117D70">
        <w:fldChar w:fldCharType="end"/>
      </w:r>
      <w:r w:rsidR="00117D70">
        <w:t xml:space="preserve"> </w:t>
      </w:r>
      <w:r w:rsidR="00FF77D9">
        <w:t xml:space="preserve">contains references for further reading on how Economic Insights, our benchmarking expert, chose the inputs and outputs and produced the aggregate efficiency measure. Appendix </w:t>
      </w:r>
      <w:r w:rsidR="00FF77D9">
        <w:fldChar w:fldCharType="begin"/>
      </w:r>
      <w:r w:rsidR="00FF77D9">
        <w:instrText xml:space="preserve"> REF _Ref433113873 \n \h </w:instrText>
      </w:r>
      <w:r w:rsidR="00FF77D9">
        <w:fldChar w:fldCharType="separate"/>
      </w:r>
      <w:r w:rsidR="00EF5714">
        <w:t>B</w:t>
      </w:r>
      <w:r w:rsidR="00FF77D9">
        <w:fldChar w:fldCharType="end"/>
      </w:r>
      <w:r w:rsidR="00FF77D9">
        <w:t xml:space="preserve"> </w:t>
      </w:r>
      <w:r w:rsidR="00117D70">
        <w:t>provides detail about the inputs and outputs used in this report.</w:t>
      </w:r>
    </w:p>
    <w:p w:rsidR="00EF3C1F" w:rsidRDefault="00475ADE" w:rsidP="00475ADE">
      <w:pPr>
        <w:pStyle w:val="Heading2"/>
      </w:pPr>
      <w:r>
        <w:t>Techniques</w:t>
      </w:r>
    </w:p>
    <w:p w:rsidR="0011506B" w:rsidRDefault="00941F92" w:rsidP="00B25620">
      <w:r>
        <w:t>There are different types of</w:t>
      </w:r>
      <w:r w:rsidR="0030043D">
        <w:t xml:space="preserve"> top town benchmarking techniques. </w:t>
      </w:r>
      <w:r w:rsidR="0011506B">
        <w:t>We present three types in this report:</w:t>
      </w:r>
    </w:p>
    <w:p w:rsidR="0011506B" w:rsidRDefault="0011506B" w:rsidP="0011506B">
      <w:pPr>
        <w:pStyle w:val="AERbulletlistfirststyle"/>
      </w:pPr>
      <w:r>
        <w:t>productivity index number (PIN) techniques</w:t>
      </w:r>
    </w:p>
    <w:p w:rsidR="0011506B" w:rsidRDefault="0011506B" w:rsidP="0011506B">
      <w:pPr>
        <w:pStyle w:val="AERbulletlistfirststyle"/>
      </w:pPr>
      <w:r>
        <w:t>econometric</w:t>
      </w:r>
      <w:r w:rsidR="007630B7">
        <w:t xml:space="preserve"> opex</w:t>
      </w:r>
      <w:r>
        <w:t xml:space="preserve"> modelling</w:t>
      </w:r>
    </w:p>
    <w:p w:rsidR="0011506B" w:rsidRDefault="0011506B" w:rsidP="0011506B">
      <w:pPr>
        <w:pStyle w:val="AERbulletlistfirststyle"/>
      </w:pPr>
      <w:r>
        <w:t>partial performance indicators (PPIs).</w:t>
      </w:r>
    </w:p>
    <w:p w:rsidR="0030043D" w:rsidRDefault="00734F42" w:rsidP="0030043D">
      <w:r>
        <w:t>T</w:t>
      </w:r>
      <w:r w:rsidR="00941F92">
        <w:t>hese techniques</w:t>
      </w:r>
      <w:r>
        <w:t xml:space="preserve"> each use</w:t>
      </w:r>
      <w:r w:rsidR="00941F92">
        <w:t xml:space="preserve"> different mathematical</w:t>
      </w:r>
      <w:r w:rsidR="00C15D7C">
        <w:t xml:space="preserve"> or econometric</w:t>
      </w:r>
      <w:r w:rsidR="00941F92">
        <w:t xml:space="preserve"> methods for relating outputs to inputs.</w:t>
      </w:r>
      <w:r w:rsidR="00A0180F">
        <w:t xml:space="preserve"> Appendix </w:t>
      </w:r>
      <w:r w:rsidR="00A0180F">
        <w:fldChar w:fldCharType="begin"/>
      </w:r>
      <w:r w:rsidR="00A0180F">
        <w:instrText xml:space="preserve"> REF _Ref432603789 \n \h </w:instrText>
      </w:r>
      <w:r w:rsidR="00A0180F">
        <w:fldChar w:fldCharType="separate"/>
      </w:r>
      <w:r w:rsidR="00EF5714">
        <w:t>A</w:t>
      </w:r>
      <w:r w:rsidR="00A0180F">
        <w:fldChar w:fldCharType="end"/>
      </w:r>
      <w:r w:rsidR="00A0180F">
        <w:t xml:space="preserve"> contains </w:t>
      </w:r>
      <w:r w:rsidR="007630B7">
        <w:t>references to further reading on the PIN techniques and econometric opex modelling used in this report.</w:t>
      </w:r>
    </w:p>
    <w:p w:rsidR="0011506B" w:rsidRDefault="0011506B" w:rsidP="0011506B">
      <w:pPr>
        <w:pStyle w:val="Heading3"/>
      </w:pPr>
      <w:r>
        <w:lastRenderedPageBreak/>
        <w:t>Productivity index number techniques</w:t>
      </w:r>
    </w:p>
    <w:p w:rsidR="00941F92" w:rsidRDefault="0011506B" w:rsidP="0011506B">
      <w:r>
        <w:t xml:space="preserve">PIN techniques </w:t>
      </w:r>
      <w:r w:rsidR="00941F92">
        <w:t xml:space="preserve">use an index to </w:t>
      </w:r>
      <w:r w:rsidR="00D05E1A">
        <w:t>determine the relationship between</w:t>
      </w:r>
      <w:r w:rsidR="00941F92">
        <w:t xml:space="preserve"> outputs </w:t>
      </w:r>
      <w:r w:rsidR="00D05E1A">
        <w:t xml:space="preserve">and </w:t>
      </w:r>
      <w:r w:rsidR="00941F92">
        <w:t xml:space="preserve">inputs. They </w:t>
      </w:r>
      <w:r>
        <w:t xml:space="preserve">measure </w:t>
      </w:r>
      <w:r w:rsidR="00AE2A2B">
        <w:t>productivity by constructing a</w:t>
      </w:r>
      <w:r>
        <w:t xml:space="preserve"> ratio of inputs used for total output delivered</w:t>
      </w:r>
      <w:r w:rsidR="00AE2A2B">
        <w:t xml:space="preserve">. </w:t>
      </w:r>
      <w:r w:rsidR="00941F92">
        <w:t>T</w:t>
      </w:r>
      <w:r>
        <w:t>he PIN analysis used in this report</w:t>
      </w:r>
      <w:r w:rsidR="00854ECE">
        <w:t xml:space="preserve"> includes</w:t>
      </w:r>
      <w:r w:rsidR="00941F92">
        <w:t>:</w:t>
      </w:r>
    </w:p>
    <w:p w:rsidR="00941F92" w:rsidRDefault="0011506B" w:rsidP="00941F92">
      <w:pPr>
        <w:pStyle w:val="ListParagraph"/>
        <w:numPr>
          <w:ilvl w:val="0"/>
          <w:numId w:val="68"/>
        </w:numPr>
      </w:pPr>
      <w:r>
        <w:t xml:space="preserve">multilateral total factor productivity (MTFP) </w:t>
      </w:r>
      <w:r w:rsidR="002F1DAE">
        <w:t>which relates total input to total output</w:t>
      </w:r>
      <w:r>
        <w:t xml:space="preserve"> </w:t>
      </w:r>
    </w:p>
    <w:p w:rsidR="000E1CEF" w:rsidRDefault="0011506B" w:rsidP="00941F92">
      <w:pPr>
        <w:pStyle w:val="ListParagraph"/>
        <w:numPr>
          <w:ilvl w:val="0"/>
          <w:numId w:val="68"/>
        </w:numPr>
      </w:pPr>
      <w:r>
        <w:t>multilateral partial factor productivity (MPFP)</w:t>
      </w:r>
      <w:r w:rsidR="002F1DAE">
        <w:t xml:space="preserve"> which relate</w:t>
      </w:r>
      <w:r w:rsidR="00C15D7C">
        <w:t>s</w:t>
      </w:r>
      <w:r w:rsidR="002F1DAE">
        <w:t xml:space="preserve"> either opex or capital as inputs to total output</w:t>
      </w:r>
      <w:r>
        <w:t>.</w:t>
      </w:r>
      <w:r w:rsidR="007C12CD">
        <w:t xml:space="preserve"> </w:t>
      </w:r>
    </w:p>
    <w:p w:rsidR="00086847" w:rsidRDefault="002F1DAE" w:rsidP="00086847">
      <w:pPr>
        <w:rPr>
          <w:rStyle w:val="AERbody"/>
        </w:rPr>
      </w:pPr>
      <w:r>
        <w:t xml:space="preserve">The ‘multilateral’ method enables comparison of productivity levels and productivity trends. </w:t>
      </w:r>
      <w:r w:rsidR="00854ECE">
        <w:t xml:space="preserve">MTFP is the primary technique we use to compare relative efficiency in this report. </w:t>
      </w:r>
      <w:r w:rsidR="00086847">
        <w:t xml:space="preserve">We present the MTFP results in section </w:t>
      </w:r>
      <w:r w:rsidR="00FA72B7">
        <w:fldChar w:fldCharType="begin"/>
      </w:r>
      <w:r w:rsidR="00FA72B7">
        <w:instrText xml:space="preserve"> REF _Ref433013054 \n \h </w:instrText>
      </w:r>
      <w:r w:rsidR="00FA72B7">
        <w:fldChar w:fldCharType="separate"/>
      </w:r>
      <w:r w:rsidR="00EF5714">
        <w:t>3</w:t>
      </w:r>
      <w:r w:rsidR="00FA72B7">
        <w:fldChar w:fldCharType="end"/>
      </w:r>
      <w:r w:rsidR="00086847">
        <w:t>.</w:t>
      </w:r>
      <w:r w:rsidR="00020BC3">
        <w:t xml:space="preserve"> </w:t>
      </w:r>
      <w:r w:rsidR="00854ECE">
        <w:rPr>
          <w:rStyle w:val="AERbody"/>
        </w:rPr>
        <w:t xml:space="preserve">Section </w:t>
      </w:r>
      <w:r w:rsidR="00854ECE">
        <w:rPr>
          <w:rStyle w:val="AERbody"/>
        </w:rPr>
        <w:fldChar w:fldCharType="begin"/>
      </w:r>
      <w:r w:rsidR="00854ECE">
        <w:rPr>
          <w:rStyle w:val="AERbody"/>
        </w:rPr>
        <w:instrText xml:space="preserve"> REF _Ref432607030 \n \h </w:instrText>
      </w:r>
      <w:r w:rsidR="00854ECE">
        <w:rPr>
          <w:rStyle w:val="AERbody"/>
        </w:rPr>
      </w:r>
      <w:r w:rsidR="00854ECE">
        <w:rPr>
          <w:rStyle w:val="AERbody"/>
        </w:rPr>
        <w:fldChar w:fldCharType="separate"/>
      </w:r>
      <w:r w:rsidR="00EF5714">
        <w:rPr>
          <w:rStyle w:val="AERbody"/>
        </w:rPr>
        <w:t>4</w:t>
      </w:r>
      <w:r w:rsidR="00854ECE">
        <w:rPr>
          <w:rStyle w:val="AERbody"/>
        </w:rPr>
        <w:fldChar w:fldCharType="end"/>
      </w:r>
      <w:r w:rsidR="00854ECE">
        <w:rPr>
          <w:rStyle w:val="AERbody"/>
        </w:rPr>
        <w:t xml:space="preserve"> contains the MPFP results.</w:t>
      </w:r>
    </w:p>
    <w:p w:rsidR="00854ECE" w:rsidRDefault="00854ECE" w:rsidP="00854ECE">
      <w:pPr>
        <w:pStyle w:val="Heading3"/>
      </w:pPr>
      <w:r>
        <w:t xml:space="preserve">Econometric </w:t>
      </w:r>
      <w:r w:rsidR="002F1DAE">
        <w:t xml:space="preserve">opex </w:t>
      </w:r>
      <w:r>
        <w:t>modelling</w:t>
      </w:r>
    </w:p>
    <w:p w:rsidR="00666064" w:rsidRDefault="00940AA7" w:rsidP="00D05E1A">
      <w:pPr>
        <w:rPr>
          <w:rStyle w:val="AERbody"/>
        </w:rPr>
      </w:pPr>
      <w:r>
        <w:rPr>
          <w:rStyle w:val="AERbody"/>
        </w:rPr>
        <w:t>Econ</w:t>
      </w:r>
      <w:r w:rsidR="0069352B">
        <w:rPr>
          <w:rStyle w:val="AERbody"/>
        </w:rPr>
        <w:t xml:space="preserve">ometric modelling techniques use </w:t>
      </w:r>
      <w:r w:rsidR="00A0180F">
        <w:rPr>
          <w:rStyle w:val="AERbody"/>
        </w:rPr>
        <w:t>statistics to</w:t>
      </w:r>
      <w:r w:rsidR="00D05E1A">
        <w:rPr>
          <w:rStyle w:val="AERbody"/>
        </w:rPr>
        <w:t xml:space="preserve"> estimate the relationship between</w:t>
      </w:r>
      <w:r w:rsidR="00A0180F">
        <w:rPr>
          <w:rStyle w:val="AERbody"/>
        </w:rPr>
        <w:t xml:space="preserve"> outputs </w:t>
      </w:r>
      <w:r w:rsidR="00D05E1A">
        <w:rPr>
          <w:rStyle w:val="AERbody"/>
        </w:rPr>
        <w:t>and</w:t>
      </w:r>
      <w:r w:rsidR="00A0180F">
        <w:rPr>
          <w:rStyle w:val="AERbody"/>
        </w:rPr>
        <w:t xml:space="preserve"> inputs. The econometric techniques presented in this report </w:t>
      </w:r>
      <w:r w:rsidR="0069352B">
        <w:rPr>
          <w:rStyle w:val="AERbody"/>
        </w:rPr>
        <w:t xml:space="preserve">model the relationship between </w:t>
      </w:r>
      <w:r w:rsidR="00A0180F">
        <w:rPr>
          <w:rStyle w:val="AERbody"/>
        </w:rPr>
        <w:t xml:space="preserve">opex (as the input) </w:t>
      </w:r>
      <w:r w:rsidR="007630B7">
        <w:rPr>
          <w:rStyle w:val="AERbody"/>
        </w:rPr>
        <w:t>and</w:t>
      </w:r>
      <w:r w:rsidR="00A0180F">
        <w:rPr>
          <w:rStyle w:val="AERbody"/>
        </w:rPr>
        <w:t xml:space="preserve"> total output</w:t>
      </w:r>
      <w:r w:rsidR="007630B7">
        <w:rPr>
          <w:rStyle w:val="AERbody"/>
        </w:rPr>
        <w:t>, so they</w:t>
      </w:r>
      <w:r w:rsidR="00D05E1A">
        <w:rPr>
          <w:rStyle w:val="AERbody"/>
        </w:rPr>
        <w:t xml:space="preserve"> </w:t>
      </w:r>
      <w:r w:rsidR="007630B7">
        <w:rPr>
          <w:rStyle w:val="AERbody"/>
        </w:rPr>
        <w:t>me</w:t>
      </w:r>
      <w:r w:rsidR="00D05E1A">
        <w:rPr>
          <w:rStyle w:val="AERbody"/>
        </w:rPr>
        <w:t>a</w:t>
      </w:r>
      <w:r w:rsidR="007630B7">
        <w:rPr>
          <w:rStyle w:val="AERbody"/>
        </w:rPr>
        <w:t>su</w:t>
      </w:r>
      <w:r w:rsidR="00D05E1A">
        <w:rPr>
          <w:rStyle w:val="AERbody"/>
        </w:rPr>
        <w:t>re</w:t>
      </w:r>
      <w:r w:rsidR="007630B7">
        <w:rPr>
          <w:rStyle w:val="AERbody"/>
        </w:rPr>
        <w:t xml:space="preserve"> partial efficiency. Two </w:t>
      </w:r>
      <w:r w:rsidR="004D0083">
        <w:rPr>
          <w:rStyle w:val="AERbody"/>
        </w:rPr>
        <w:t xml:space="preserve">types of </w:t>
      </w:r>
      <w:r w:rsidR="007630B7">
        <w:rPr>
          <w:rStyle w:val="AERbody"/>
        </w:rPr>
        <w:t>econometric opex models are presented in this report—least squares econometrics (LSE) and stochastic frontier analysis (SFA). S</w:t>
      </w:r>
      <w:r w:rsidR="00C429E0">
        <w:rPr>
          <w:rStyle w:val="AERbody"/>
        </w:rPr>
        <w:t xml:space="preserve">ection </w:t>
      </w:r>
      <w:r w:rsidR="00C429E0">
        <w:rPr>
          <w:rStyle w:val="AERbody"/>
        </w:rPr>
        <w:fldChar w:fldCharType="begin"/>
      </w:r>
      <w:r w:rsidR="00C429E0">
        <w:rPr>
          <w:rStyle w:val="AERbody"/>
        </w:rPr>
        <w:instrText xml:space="preserve"> REF _Ref432607030 \n \h </w:instrText>
      </w:r>
      <w:r w:rsidR="00C429E0">
        <w:rPr>
          <w:rStyle w:val="AERbody"/>
        </w:rPr>
      </w:r>
      <w:r w:rsidR="00C429E0">
        <w:rPr>
          <w:rStyle w:val="AERbody"/>
        </w:rPr>
        <w:fldChar w:fldCharType="separate"/>
      </w:r>
      <w:r w:rsidR="00EF5714">
        <w:rPr>
          <w:rStyle w:val="AERbody"/>
        </w:rPr>
        <w:t>4</w:t>
      </w:r>
      <w:r w:rsidR="00C429E0">
        <w:rPr>
          <w:rStyle w:val="AERbody"/>
        </w:rPr>
        <w:fldChar w:fldCharType="end"/>
      </w:r>
      <w:r w:rsidR="00C429E0">
        <w:rPr>
          <w:rStyle w:val="AERbody"/>
        </w:rPr>
        <w:t xml:space="preserve"> contains the results.</w:t>
      </w:r>
    </w:p>
    <w:p w:rsidR="00854ECE" w:rsidRDefault="00854ECE" w:rsidP="00854ECE">
      <w:pPr>
        <w:pStyle w:val="Heading3"/>
      </w:pPr>
      <w:r>
        <w:t>Partial performance indicators</w:t>
      </w:r>
    </w:p>
    <w:p w:rsidR="00C429E0" w:rsidRPr="002F4E37" w:rsidRDefault="00C429E0" w:rsidP="00C429E0">
      <w:r w:rsidRPr="00BA76F8">
        <w:t>PPIs</w:t>
      </w:r>
      <w:r w:rsidR="00EC0C0D">
        <w:t xml:space="preserve"> are simple techniques that</w:t>
      </w:r>
      <w:r w:rsidRPr="00BA76F8">
        <w:t xml:space="preserve"> </w:t>
      </w:r>
      <w:r w:rsidR="00EC0C0D">
        <w:t>relate</w:t>
      </w:r>
      <w:r w:rsidRPr="00BA76F8">
        <w:t xml:space="preserve"> </w:t>
      </w:r>
      <w:r w:rsidR="00EC0C0D">
        <w:t xml:space="preserve">one input to one output (contrasting with the above </w:t>
      </w:r>
      <w:r>
        <w:t xml:space="preserve">economic benchmarking </w:t>
      </w:r>
      <w:r w:rsidRPr="00BA76F8">
        <w:t>techniques that relate inputs to multiple outputs</w:t>
      </w:r>
      <w:r w:rsidR="00EC0C0D">
        <w:t>)</w:t>
      </w:r>
      <w:r w:rsidRPr="00BA76F8">
        <w:t xml:space="preserve">. </w:t>
      </w:r>
      <w:r w:rsidR="007B17B3">
        <w:t xml:space="preserve">In this report, the output </w:t>
      </w:r>
      <w:r w:rsidR="00C15D7C">
        <w:t xml:space="preserve">chosen </w:t>
      </w:r>
      <w:r w:rsidR="007B17B3">
        <w:t xml:space="preserve">is customer numbers. </w:t>
      </w:r>
      <w:r w:rsidR="00EC0C0D">
        <w:t>S</w:t>
      </w:r>
      <w:r>
        <w:rPr>
          <w:rStyle w:val="AERbody"/>
        </w:rPr>
        <w:t xml:space="preserve">ection </w:t>
      </w:r>
      <w:r>
        <w:rPr>
          <w:rStyle w:val="AERbody"/>
        </w:rPr>
        <w:fldChar w:fldCharType="begin"/>
      </w:r>
      <w:r>
        <w:rPr>
          <w:rStyle w:val="AERbody"/>
        </w:rPr>
        <w:instrText xml:space="preserve"> REF _Ref432607030 \n \h </w:instrText>
      </w:r>
      <w:r>
        <w:rPr>
          <w:rStyle w:val="AERbody"/>
        </w:rPr>
      </w:r>
      <w:r>
        <w:rPr>
          <w:rStyle w:val="AERbody"/>
        </w:rPr>
        <w:fldChar w:fldCharType="separate"/>
      </w:r>
      <w:r w:rsidR="00EF5714">
        <w:rPr>
          <w:rStyle w:val="AERbody"/>
        </w:rPr>
        <w:t>4</w:t>
      </w:r>
      <w:r>
        <w:rPr>
          <w:rStyle w:val="AERbody"/>
        </w:rPr>
        <w:fldChar w:fldCharType="end"/>
      </w:r>
      <w:r>
        <w:rPr>
          <w:rStyle w:val="AERbody"/>
        </w:rPr>
        <w:t xml:space="preserve"> </w:t>
      </w:r>
      <w:r w:rsidR="00EC0C0D">
        <w:rPr>
          <w:rStyle w:val="AERbody"/>
        </w:rPr>
        <w:t>contains</w:t>
      </w:r>
      <w:r w:rsidR="007B17B3">
        <w:rPr>
          <w:rStyle w:val="AERbody"/>
        </w:rPr>
        <w:t xml:space="preserve"> the</w:t>
      </w:r>
      <w:r w:rsidR="00EC0C0D">
        <w:rPr>
          <w:rStyle w:val="AERbody"/>
        </w:rPr>
        <w:t xml:space="preserve"> PPI results</w:t>
      </w:r>
      <w:r>
        <w:rPr>
          <w:rStyle w:val="AERbody"/>
        </w:rPr>
        <w:t xml:space="preserve">. Appendix </w:t>
      </w:r>
      <w:r>
        <w:rPr>
          <w:rStyle w:val="AERbody"/>
        </w:rPr>
        <w:fldChar w:fldCharType="begin"/>
      </w:r>
      <w:r>
        <w:rPr>
          <w:rStyle w:val="AERbody"/>
        </w:rPr>
        <w:instrText xml:space="preserve"> REF _Ref432665492 \r \h </w:instrText>
      </w:r>
      <w:r>
        <w:rPr>
          <w:rStyle w:val="AERbody"/>
        </w:rPr>
      </w:r>
      <w:r>
        <w:rPr>
          <w:rStyle w:val="AERbody"/>
        </w:rPr>
        <w:fldChar w:fldCharType="separate"/>
      </w:r>
      <w:r w:rsidR="00EF5714">
        <w:rPr>
          <w:rStyle w:val="AERbody"/>
        </w:rPr>
        <w:t>C</w:t>
      </w:r>
      <w:r>
        <w:rPr>
          <w:rStyle w:val="AERbody"/>
        </w:rPr>
        <w:fldChar w:fldCharType="end"/>
      </w:r>
      <w:r>
        <w:rPr>
          <w:rStyle w:val="AERbody"/>
        </w:rPr>
        <w:t xml:space="preserve"> </w:t>
      </w:r>
      <w:r w:rsidR="007B17B3">
        <w:rPr>
          <w:rStyle w:val="AERbody"/>
        </w:rPr>
        <w:t>presents</w:t>
      </w:r>
      <w:r>
        <w:rPr>
          <w:rStyle w:val="AERbody"/>
        </w:rPr>
        <w:t xml:space="preserve"> additional PPIs</w:t>
      </w:r>
      <w:r w:rsidR="00EC0C0D">
        <w:rPr>
          <w:rStyle w:val="AERbody"/>
        </w:rPr>
        <w:t>, including some that</w:t>
      </w:r>
      <w:r w:rsidR="00397790">
        <w:rPr>
          <w:rStyle w:val="AERbody"/>
        </w:rPr>
        <w:t xml:space="preserve"> us</w:t>
      </w:r>
      <w:r w:rsidR="00EC0C0D">
        <w:rPr>
          <w:rStyle w:val="AERbody"/>
        </w:rPr>
        <w:t>e</w:t>
      </w:r>
      <w:r w:rsidR="00397790">
        <w:rPr>
          <w:rStyle w:val="AERbody"/>
        </w:rPr>
        <w:t xml:space="preserve"> outputs other than customer</w:t>
      </w:r>
      <w:r w:rsidR="00EC0C0D">
        <w:rPr>
          <w:rStyle w:val="AERbody"/>
        </w:rPr>
        <w:t xml:space="preserve"> number</w:t>
      </w:r>
      <w:r w:rsidR="00397790">
        <w:rPr>
          <w:rStyle w:val="AERbody"/>
        </w:rPr>
        <w:t>s</w:t>
      </w:r>
      <w:r>
        <w:rPr>
          <w:rStyle w:val="AERbody"/>
        </w:rPr>
        <w:t>.</w:t>
      </w:r>
    </w:p>
    <w:p w:rsidR="00475ADE" w:rsidRDefault="00475ADE" w:rsidP="00475ADE">
      <w:pPr>
        <w:pStyle w:val="Heading2"/>
      </w:pPr>
      <w:bookmarkStart w:id="11" w:name="_Ref435703616"/>
      <w:r>
        <w:t>Data</w:t>
      </w:r>
      <w:bookmarkEnd w:id="11"/>
    </w:p>
    <w:p w:rsidR="00020BC3" w:rsidRDefault="00020BC3" w:rsidP="00475ADE">
      <w:r>
        <w:t xml:space="preserve">All techniques in this report use data </w:t>
      </w:r>
      <w:r w:rsidR="00995512">
        <w:t xml:space="preserve">provided by the </w:t>
      </w:r>
      <w:r>
        <w:t xml:space="preserve">DNSPs in </w:t>
      </w:r>
      <w:r w:rsidR="00995512">
        <w:t xml:space="preserve">response to our </w:t>
      </w:r>
      <w:r>
        <w:t>economic benchmarking regulatory information notices (EB RINs). The EB RINs require all DNSPs to provide consistent data</w:t>
      </w:r>
      <w:r w:rsidR="00250800">
        <w:t xml:space="preserve"> </w:t>
      </w:r>
      <w:r w:rsidR="00995512">
        <w:t xml:space="preserve">that </w:t>
      </w:r>
      <w:r w:rsidR="00734F42">
        <w:t>is verified</w:t>
      </w:r>
      <w:r w:rsidR="00250800">
        <w:t xml:space="preserve"> </w:t>
      </w:r>
      <w:r>
        <w:t>by the DNSP’s chief executive officer</w:t>
      </w:r>
      <w:r w:rsidR="00250800">
        <w:t xml:space="preserve"> and independent</w:t>
      </w:r>
      <w:r w:rsidR="00995512">
        <w:t>ly</w:t>
      </w:r>
      <w:r w:rsidR="00250800">
        <w:t xml:space="preserve"> audit</w:t>
      </w:r>
      <w:r w:rsidR="00995512">
        <w:t>ed</w:t>
      </w:r>
      <w:r>
        <w:t>.</w:t>
      </w:r>
      <w:r w:rsidR="00E45D51">
        <w:t xml:space="preserve"> </w:t>
      </w:r>
      <w:r w:rsidR="00995512">
        <w:t xml:space="preserve">This </w:t>
      </w:r>
      <w:r w:rsidR="00E45D51">
        <w:t xml:space="preserve">data has been subject to rigorous testing and validation by </w:t>
      </w:r>
      <w:r w:rsidR="00995512">
        <w:t xml:space="preserve">both </w:t>
      </w:r>
      <w:r w:rsidR="00E45D51">
        <w:t>Economic Insights</w:t>
      </w:r>
      <w:r w:rsidR="00995512">
        <w:t xml:space="preserve"> and us</w:t>
      </w:r>
      <w:r w:rsidR="00E45D51">
        <w:t>.</w:t>
      </w:r>
    </w:p>
    <w:p w:rsidR="00475ADE" w:rsidRDefault="00250800" w:rsidP="00475ADE">
      <w:r>
        <w:t>For the econometric modelling techniques, we also rely on some overseas data. The data intensive nature of these techniques mean</w:t>
      </w:r>
      <w:r w:rsidR="00C15D7C">
        <w:t>s</w:t>
      </w:r>
      <w:r>
        <w:t xml:space="preserve"> that robust results cannot be produced with only the Australian DNSP data. As such, Economic Insights supplemented the Australian data with comparable data from Ontario and New Zealand</w:t>
      </w:r>
      <w:r w:rsidR="003F5E72">
        <w:t>. This significantly</w:t>
      </w:r>
      <w:r>
        <w:t xml:space="preserve"> increase</w:t>
      </w:r>
      <w:r w:rsidR="003F5E72">
        <w:t>s</w:t>
      </w:r>
      <w:r>
        <w:t xml:space="preserve"> the size of the dataset</w:t>
      </w:r>
      <w:r w:rsidR="003F5E72">
        <w:t xml:space="preserve">, enabling robust </w:t>
      </w:r>
      <w:r w:rsidR="00C15D7C">
        <w:t>estimation of the opex cost function</w:t>
      </w:r>
      <w:r>
        <w:t>.</w:t>
      </w:r>
      <w:r w:rsidR="003F5E72">
        <w:t xml:space="preserve"> </w:t>
      </w:r>
      <w:r>
        <w:t xml:space="preserve">Importantly, the models </w:t>
      </w:r>
      <w:r w:rsidR="007C42ED">
        <w:t xml:space="preserve">control for international differences so they </w:t>
      </w:r>
      <w:r>
        <w:t xml:space="preserve">do not benchmark the Australian DNSPs </w:t>
      </w:r>
      <w:r w:rsidR="003F5E72">
        <w:t>against</w:t>
      </w:r>
      <w:r>
        <w:t xml:space="preserve"> DNSPs in Ontario and New Zealand. </w:t>
      </w:r>
      <w:r w:rsidR="007B17B3">
        <w:t xml:space="preserve">Appendix </w:t>
      </w:r>
      <w:r w:rsidR="007B17B3">
        <w:fldChar w:fldCharType="begin"/>
      </w:r>
      <w:r w:rsidR="007B17B3">
        <w:instrText xml:space="preserve"> REF _Ref432603789 \n \h </w:instrText>
      </w:r>
      <w:r w:rsidR="007B17B3">
        <w:fldChar w:fldCharType="separate"/>
      </w:r>
      <w:r w:rsidR="00EF5714">
        <w:t>A</w:t>
      </w:r>
      <w:r w:rsidR="007B17B3">
        <w:fldChar w:fldCharType="end"/>
      </w:r>
      <w:r w:rsidR="007B17B3">
        <w:t xml:space="preserve"> contains references to further reading on how Economic Insights incorporated overseas data into the econometric models.</w:t>
      </w:r>
    </w:p>
    <w:p w:rsidR="00475ADE" w:rsidRPr="00475ADE" w:rsidRDefault="00A841EB" w:rsidP="00475ADE">
      <w:pPr>
        <w:pStyle w:val="Heading2"/>
      </w:pPr>
      <w:bookmarkStart w:id="12" w:name="_Ref435609895"/>
      <w:r>
        <w:lastRenderedPageBreak/>
        <w:t>Differences in o</w:t>
      </w:r>
      <w:r w:rsidR="00CC4F28">
        <w:t>perating environment</w:t>
      </w:r>
      <w:r>
        <w:t>s</w:t>
      </w:r>
      <w:bookmarkEnd w:id="12"/>
    </w:p>
    <w:p w:rsidR="00E726C3" w:rsidRDefault="00E726C3" w:rsidP="00E726C3">
      <w:r>
        <w:t>When benchmarking, it is important to recognise that DNSPs operate in different environments. Certain factors arising from a DNSP’s operating environment are beyond its control. These factors</w:t>
      </w:r>
      <w:r w:rsidR="00AD181D">
        <w:t>,</w:t>
      </w:r>
      <w:r>
        <w:t xml:space="preserve"> which we call ‘operating environment factors’ (OEFs) may influence a DNSP’s costs and, therefore, its benchmarking performance.</w:t>
      </w:r>
    </w:p>
    <w:p w:rsidR="00E726C3" w:rsidRDefault="00E726C3" w:rsidP="00E726C3">
      <w:r>
        <w:t xml:space="preserve">The economic benchmarking techniques presented in this report capture the key  OEFs. For example: </w:t>
      </w:r>
    </w:p>
    <w:p w:rsidR="00E726C3" w:rsidRDefault="00E726C3" w:rsidP="00E726C3">
      <w:pPr>
        <w:pStyle w:val="ListParagraph"/>
        <w:numPr>
          <w:ilvl w:val="0"/>
          <w:numId w:val="69"/>
        </w:numPr>
      </w:pPr>
      <w:r>
        <w:t>MTFP takes into account a DNSP’s assets, density factors and allows for different network structures in certain jurisdictions.</w:t>
      </w:r>
    </w:p>
    <w:p w:rsidR="00E726C3" w:rsidRDefault="00E726C3" w:rsidP="00E726C3">
      <w:pPr>
        <w:pStyle w:val="ListParagraph"/>
        <w:numPr>
          <w:ilvl w:val="0"/>
          <w:numId w:val="69"/>
        </w:numPr>
      </w:pPr>
      <w:r>
        <w:t>the econometric models account for density factors and the proportion of each DNSP’s network that is underground.</w:t>
      </w:r>
    </w:p>
    <w:p w:rsidR="00E726C3" w:rsidRDefault="00E726C3" w:rsidP="00BB0949">
      <w:pPr>
        <w:rPr>
          <w:rFonts w:cs="Arial"/>
        </w:rPr>
      </w:pPr>
      <w:r>
        <w:rPr>
          <w:rFonts w:cs="Arial"/>
        </w:rPr>
        <w:t xml:space="preserve">However, not all OEFs can be captured in the models. In our recent determinations </w:t>
      </w:r>
      <w:r w:rsidR="00AD181D">
        <w:rPr>
          <w:rFonts w:cs="Arial"/>
        </w:rPr>
        <w:t>for</w:t>
      </w:r>
      <w:r>
        <w:rPr>
          <w:rFonts w:cs="Arial"/>
        </w:rPr>
        <w:t xml:space="preserve"> the NSW, ACT and QLD DNSPs, we </w:t>
      </w:r>
      <w:r w:rsidR="00CC4B03">
        <w:rPr>
          <w:rFonts w:cs="Arial"/>
        </w:rPr>
        <w:t xml:space="preserve">conducted a separate assessment of OEFs and </w:t>
      </w:r>
      <w:r>
        <w:rPr>
          <w:rFonts w:cs="Arial"/>
        </w:rPr>
        <w:t xml:space="preserve">made ex post adjustments to </w:t>
      </w:r>
      <w:r>
        <w:rPr>
          <w:rFonts w:cs="Arial"/>
          <w:u w:val="single"/>
        </w:rPr>
        <w:t xml:space="preserve">account for </w:t>
      </w:r>
      <w:r w:rsidR="00CC4B03">
        <w:rPr>
          <w:rFonts w:cs="Arial"/>
          <w:u w:val="single"/>
        </w:rPr>
        <w:t>them</w:t>
      </w:r>
      <w:r>
        <w:rPr>
          <w:rFonts w:cs="Arial"/>
        </w:rPr>
        <w:t>. However, it would not be practical to make ex post adjustments to account for the differences between all operating environments relative to each other for the purposes of this report.</w:t>
      </w:r>
    </w:p>
    <w:p w:rsidR="007C42ED" w:rsidRDefault="007C42ED" w:rsidP="00CC4F28"/>
    <w:p w:rsidR="008A7BEA" w:rsidRDefault="003367D3" w:rsidP="008A7BEA">
      <w:pPr>
        <w:pStyle w:val="Heading1"/>
      </w:pPr>
      <w:bookmarkStart w:id="13" w:name="_Toc433207592"/>
      <w:bookmarkStart w:id="14" w:name="_Toc433217769"/>
      <w:bookmarkStart w:id="15" w:name="_Toc433270044"/>
      <w:bookmarkStart w:id="16" w:name="_Ref433013054"/>
      <w:bookmarkStart w:id="17" w:name="_Toc435712625"/>
      <w:bookmarkEnd w:id="13"/>
      <w:bookmarkEnd w:id="14"/>
      <w:bookmarkEnd w:id="15"/>
      <w:r>
        <w:lastRenderedPageBreak/>
        <w:t>Multilateral total factor productivity results</w:t>
      </w:r>
      <w:bookmarkEnd w:id="16"/>
      <w:bookmarkEnd w:id="17"/>
    </w:p>
    <w:p w:rsidR="00CC1B70" w:rsidRDefault="00E45D51" w:rsidP="00F40166">
      <w:r>
        <w:t xml:space="preserve">This section presents the benchmarking results for MTFP, the primary technique used to measure overall relative efficiency. </w:t>
      </w:r>
      <w:r w:rsidR="00CC1B70">
        <w:t>Results are presented over a nine year period, from 2006 to 2014.</w:t>
      </w:r>
    </w:p>
    <w:p w:rsidR="00E63EFB" w:rsidRDefault="00F40166" w:rsidP="00F40166">
      <w:r>
        <w:t>Th</w:t>
      </w:r>
      <w:r w:rsidR="004E1F45">
        <w:t>e output specification used in this</w:t>
      </w:r>
      <w:r>
        <w:t xml:space="preserve"> </w:t>
      </w:r>
      <w:r w:rsidR="004E1F45">
        <w:t xml:space="preserve">analysis comprises </w:t>
      </w:r>
      <w:r>
        <w:t xml:space="preserve">energy delivered, customer numbers, </w:t>
      </w:r>
      <w:r w:rsidR="004E1F45">
        <w:t xml:space="preserve">circuit length, </w:t>
      </w:r>
      <w:r>
        <w:t>ratcheted maximum demand</w:t>
      </w:r>
      <w:r w:rsidR="007B1F1B">
        <w:rPr>
          <w:rStyle w:val="FootnoteReference"/>
        </w:rPr>
        <w:footnoteReference w:id="5"/>
      </w:r>
      <w:r w:rsidR="004E1F45">
        <w:t xml:space="preserve"> and</w:t>
      </w:r>
      <w:r>
        <w:t xml:space="preserve"> reliability</w:t>
      </w:r>
      <w:r w:rsidR="004E1F45">
        <w:t>.</w:t>
      </w:r>
      <w:r>
        <w:t xml:space="preserve"> </w:t>
      </w:r>
      <w:r w:rsidR="000033A6">
        <w:t xml:space="preserve">Reliability is measured </w:t>
      </w:r>
      <w:r w:rsidR="00121633">
        <w:t xml:space="preserve">as the number of </w:t>
      </w:r>
      <w:r w:rsidR="000033A6">
        <w:t>customer minutes of</w:t>
      </w:r>
      <w:r w:rsidR="002D06B8">
        <w:t>f</w:t>
      </w:r>
      <w:r w:rsidR="000033A6">
        <w:t xml:space="preserve"> supply</w:t>
      </w:r>
      <w:r w:rsidR="002D06B8">
        <w:t xml:space="preserve">. It is a negative output because a decrease in supply interruptions is equivalent to an increase in output. </w:t>
      </w:r>
      <w:r w:rsidR="002C361A">
        <w:t xml:space="preserve">The input specification is </w:t>
      </w:r>
      <w:r w:rsidR="00CC1B70">
        <w:t xml:space="preserve">both </w:t>
      </w:r>
      <w:r>
        <w:t xml:space="preserve">opex and capital. </w:t>
      </w:r>
    </w:p>
    <w:p w:rsidR="00AE61ED" w:rsidRDefault="005743FD" w:rsidP="00AE61ED">
      <w:r>
        <w:t xml:space="preserve">Opex is the </w:t>
      </w:r>
      <w:r w:rsidR="00E63EFB">
        <w:t xml:space="preserve">observed </w:t>
      </w:r>
      <w:r>
        <w:t>opex spent on network services</w:t>
      </w:r>
      <w:r w:rsidR="000033A6">
        <w:t>.</w:t>
      </w:r>
      <w:r>
        <w:t xml:space="preserve"> </w:t>
      </w:r>
      <w:r w:rsidR="002C361A">
        <w:t>C</w:t>
      </w:r>
      <w:r w:rsidR="00F40166">
        <w:t>apital</w:t>
      </w:r>
      <w:r w:rsidR="00F40166" w:rsidRPr="001664C4">
        <w:t xml:space="preserve"> i</w:t>
      </w:r>
      <w:r w:rsidR="002C361A">
        <w:t>s</w:t>
      </w:r>
      <w:r w:rsidR="00F40166" w:rsidRPr="001664C4">
        <w:t xml:space="preserve"> split into</w:t>
      </w:r>
      <w:r w:rsidR="002C361A">
        <w:t xml:space="preserve"> </w:t>
      </w:r>
      <w:r w:rsidR="00F40166" w:rsidRPr="001664C4">
        <w:t xml:space="preserve">overhead distribution </w:t>
      </w:r>
      <w:r w:rsidR="002C361A">
        <w:t xml:space="preserve">(low and medium voltage) </w:t>
      </w:r>
      <w:r w:rsidR="00F40166" w:rsidRPr="001664C4">
        <w:t xml:space="preserve">lines, overhead subtransmission </w:t>
      </w:r>
      <w:r w:rsidR="002C361A">
        <w:t xml:space="preserve">(high voltage) </w:t>
      </w:r>
      <w:r w:rsidR="00F40166" w:rsidRPr="001664C4">
        <w:t>lines, underground distribution cables, underground subtransmission cables and transformers and other</w:t>
      </w:r>
      <w:r w:rsidR="000033A6">
        <w:t xml:space="preserve"> capital</w:t>
      </w:r>
      <w:r w:rsidR="00F40166" w:rsidRPr="001664C4">
        <w:t>.</w:t>
      </w:r>
      <w:r w:rsidR="00F40166">
        <w:t xml:space="preserve"> </w:t>
      </w:r>
      <w:r w:rsidR="00AE61ED">
        <w:t xml:space="preserve">It is necessary for the MTFP input specification to distinguish between subtransmission and lower voltage lines and cables because generally, subtransmission contributes to the majority of a DNSP’s network capacity (measured in MVA multiplied by kilometres) but only a small proportion of asset values and annual user costs. </w:t>
      </w:r>
    </w:p>
    <w:p w:rsidR="00F40166" w:rsidRDefault="000033A6" w:rsidP="00F40166">
      <w:r>
        <w:t xml:space="preserve">Further detail about the MTFP input and output specifications can be found in the Economic Insights publications referred to in Appendix </w:t>
      </w:r>
      <w:r>
        <w:fldChar w:fldCharType="begin"/>
      </w:r>
      <w:r>
        <w:instrText xml:space="preserve"> REF _Ref432682897 \n \h </w:instrText>
      </w:r>
      <w:r>
        <w:fldChar w:fldCharType="separate"/>
      </w:r>
      <w:r w:rsidR="00EF5714">
        <w:t>A</w:t>
      </w:r>
      <w:r>
        <w:fldChar w:fldCharType="end"/>
      </w:r>
      <w:r>
        <w:t>.</w:t>
      </w:r>
      <w:r w:rsidR="006D74A7">
        <w:t xml:space="preserve"> </w:t>
      </w:r>
      <w:r w:rsidR="006D74A7">
        <w:fldChar w:fldCharType="begin"/>
      </w:r>
      <w:r w:rsidR="006D74A7">
        <w:instrText xml:space="preserve"> REF _Ref432682392 \h </w:instrText>
      </w:r>
      <w:r w:rsidR="006D74A7">
        <w:fldChar w:fldCharType="separate"/>
      </w:r>
      <w:r w:rsidR="00EF5714">
        <w:t xml:space="preserve">Figure </w:t>
      </w:r>
      <w:r w:rsidR="00EF5714">
        <w:rPr>
          <w:noProof/>
        </w:rPr>
        <w:t>3</w:t>
      </w:r>
      <w:r w:rsidR="006D74A7">
        <w:fldChar w:fldCharType="end"/>
      </w:r>
      <w:r w:rsidR="006D74A7">
        <w:t xml:space="preserve"> displays the output and input indices and the resultant TFP index</w:t>
      </w:r>
      <w:r w:rsidR="00065C7B">
        <w:t xml:space="preserve"> at the industry level</w:t>
      </w:r>
      <w:r w:rsidR="006D74A7">
        <w:t xml:space="preserve"> </w:t>
      </w:r>
      <w:r w:rsidR="00065C7B">
        <w:t>(</w:t>
      </w:r>
      <w:r w:rsidR="006D74A7">
        <w:t>all DNSPs</w:t>
      </w:r>
      <w:r w:rsidR="00065C7B">
        <w:t>)</w:t>
      </w:r>
      <w:r w:rsidR="006D74A7">
        <w:t>.</w:t>
      </w:r>
    </w:p>
    <w:p w:rsidR="00F40166" w:rsidRDefault="000F7D66" w:rsidP="00A75AB2">
      <w:pPr>
        <w:pStyle w:val="Caption"/>
      </w:pPr>
      <w:bookmarkStart w:id="18" w:name="_Ref432682392"/>
      <w:r w:rsidRPr="006352DB">
        <w:rPr>
          <w:noProof/>
          <w:lang w:eastAsia="en-AU"/>
        </w:rPr>
        <w:drawing>
          <wp:anchor distT="0" distB="0" distL="114300" distR="114300" simplePos="0" relativeHeight="251664384" behindDoc="1" locked="0" layoutInCell="1" allowOverlap="1" wp14:anchorId="1DB2D196" wp14:editId="701F2C93">
            <wp:simplePos x="0" y="0"/>
            <wp:positionH relativeFrom="column">
              <wp:posOffset>177165</wp:posOffset>
            </wp:positionH>
            <wp:positionV relativeFrom="paragraph">
              <wp:posOffset>417830</wp:posOffset>
            </wp:positionV>
            <wp:extent cx="4741545" cy="2875915"/>
            <wp:effectExtent l="0" t="0" r="1905" b="0"/>
            <wp:wrapThrough wrapText="bothSides">
              <wp:wrapPolygon edited="0">
                <wp:start x="174" y="429"/>
                <wp:lineTo x="174" y="858"/>
                <wp:lineTo x="1041" y="3005"/>
                <wp:lineTo x="174" y="4435"/>
                <wp:lineTo x="174" y="4722"/>
                <wp:lineTo x="1128" y="5294"/>
                <wp:lineTo x="1128" y="7583"/>
                <wp:lineTo x="174" y="8012"/>
                <wp:lineTo x="174" y="8299"/>
                <wp:lineTo x="1128" y="9872"/>
                <wp:lineTo x="174" y="11732"/>
                <wp:lineTo x="174" y="12162"/>
                <wp:lineTo x="1128" y="12162"/>
                <wp:lineTo x="1128" y="14451"/>
                <wp:lineTo x="174" y="15166"/>
                <wp:lineTo x="174" y="15882"/>
                <wp:lineTo x="1128" y="16740"/>
                <wp:lineTo x="87" y="19029"/>
                <wp:lineTo x="607" y="20603"/>
                <wp:lineTo x="21348" y="20603"/>
                <wp:lineTo x="21522" y="19172"/>
                <wp:lineTo x="19960" y="19029"/>
                <wp:lineTo x="1475" y="19029"/>
                <wp:lineTo x="19960" y="17742"/>
                <wp:lineTo x="19960" y="17026"/>
                <wp:lineTo x="20741" y="16740"/>
                <wp:lineTo x="20914" y="15309"/>
                <wp:lineTo x="11976" y="14451"/>
                <wp:lineTo x="4860" y="12162"/>
                <wp:lineTo x="20741" y="12162"/>
                <wp:lineTo x="20828" y="11732"/>
                <wp:lineTo x="9546" y="9872"/>
                <wp:lineTo x="20741" y="9586"/>
                <wp:lineTo x="20741" y="7726"/>
                <wp:lineTo x="9112" y="7583"/>
                <wp:lineTo x="12757" y="5294"/>
                <wp:lineTo x="20741" y="4865"/>
                <wp:lineTo x="20914" y="3148"/>
                <wp:lineTo x="19179" y="3005"/>
                <wp:lineTo x="21001" y="2003"/>
                <wp:lineTo x="20741" y="715"/>
                <wp:lineTo x="955" y="429"/>
                <wp:lineTo x="174" y="429"/>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1545" cy="287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40166">
        <w:t xml:space="preserve">Figure </w:t>
      </w:r>
      <w:r w:rsidR="00F40166" w:rsidRPr="00F50135">
        <w:fldChar w:fldCharType="begin"/>
      </w:r>
      <w:r w:rsidR="00F40166">
        <w:instrText xml:space="preserve"> SEQ Figure \* ARABIC </w:instrText>
      </w:r>
      <w:r w:rsidR="00F40166" w:rsidRPr="00F50135">
        <w:fldChar w:fldCharType="separate"/>
      </w:r>
      <w:r w:rsidR="00EF5714">
        <w:rPr>
          <w:noProof/>
        </w:rPr>
        <w:t>3</w:t>
      </w:r>
      <w:r w:rsidR="00F40166" w:rsidRPr="00F50135">
        <w:fldChar w:fldCharType="end"/>
      </w:r>
      <w:bookmarkEnd w:id="18"/>
      <w:r w:rsidR="00A21A46">
        <w:tab/>
      </w:r>
      <w:r w:rsidR="00F40166">
        <w:t xml:space="preserve">MTFP </w:t>
      </w:r>
      <w:r w:rsidR="00CC1B70">
        <w:t xml:space="preserve">input, </w:t>
      </w:r>
      <w:r w:rsidR="00F40166">
        <w:t xml:space="preserve">output </w:t>
      </w:r>
      <w:r w:rsidR="00CC1B70">
        <w:t>and TFP indices</w:t>
      </w:r>
      <w:r w:rsidR="00F40166">
        <w:t xml:space="preserve"> for all </w:t>
      </w:r>
      <w:r w:rsidR="004E1F45">
        <w:t>DNSPs</w:t>
      </w:r>
      <w:r w:rsidR="00596D16">
        <w:t>,</w:t>
      </w:r>
      <w:r w:rsidR="002A7DF4">
        <w:t xml:space="preserve"> 2006–14</w:t>
      </w:r>
    </w:p>
    <w:p w:rsidR="00F40166" w:rsidRDefault="00F40166" w:rsidP="00E14351">
      <w:pPr>
        <w:pStyle w:val="Caption"/>
        <w:jc w:val="center"/>
      </w:pPr>
    </w:p>
    <w:p w:rsidR="000F7D66" w:rsidRDefault="000F7D66" w:rsidP="000F7D66"/>
    <w:p w:rsidR="000F7D66" w:rsidRDefault="000F7D66" w:rsidP="000F7D66"/>
    <w:p w:rsidR="000F7D66" w:rsidRDefault="000F7D66" w:rsidP="000F7D66"/>
    <w:p w:rsidR="000F7D66" w:rsidRPr="000F7D66" w:rsidRDefault="000F7D66" w:rsidP="000F7D66"/>
    <w:p w:rsidR="0096189F" w:rsidRDefault="00CC1B70" w:rsidP="00F40166">
      <w:r>
        <w:lastRenderedPageBreak/>
        <w:fldChar w:fldCharType="begin"/>
      </w:r>
      <w:r>
        <w:instrText xml:space="preserve"> REF _Ref432682392 \h </w:instrText>
      </w:r>
      <w:r>
        <w:fldChar w:fldCharType="separate"/>
      </w:r>
      <w:r w:rsidR="00EF5714">
        <w:t xml:space="preserve">Figure </w:t>
      </w:r>
      <w:r w:rsidR="00EF5714">
        <w:rPr>
          <w:noProof/>
        </w:rPr>
        <w:t>3</w:t>
      </w:r>
      <w:r>
        <w:fldChar w:fldCharType="end"/>
      </w:r>
      <w:r>
        <w:t xml:space="preserve"> shows </w:t>
      </w:r>
      <w:r w:rsidR="00F40166">
        <w:t xml:space="preserve">that </w:t>
      </w:r>
      <w:r w:rsidR="006D74A7">
        <w:t>since 2007, input</w:t>
      </w:r>
      <w:r w:rsidR="00A841EB">
        <w:t>s have</w:t>
      </w:r>
      <w:r w:rsidR="006D74A7">
        <w:t xml:space="preserve"> increased at a greater rate than output</w:t>
      </w:r>
      <w:r w:rsidR="00A841EB">
        <w:t>s. In other words, DNSPs have been spending</w:t>
      </w:r>
      <w:r w:rsidR="00212EEE">
        <w:t xml:space="preserve"> resources</w:t>
      </w:r>
      <w:r w:rsidR="00A841EB">
        <w:t xml:space="preserve"> (opex and capital) at a greater rate than </w:t>
      </w:r>
      <w:r w:rsidR="00E14351">
        <w:t>the key factors that drive the supply of electricity distribution services</w:t>
      </w:r>
      <w:r w:rsidR="00A841EB">
        <w:t>. This indicates</w:t>
      </w:r>
      <w:r w:rsidR="006D74A7">
        <w:t xml:space="preserve"> </w:t>
      </w:r>
      <w:r w:rsidR="00F40166">
        <w:t xml:space="preserve">productivity </w:t>
      </w:r>
      <w:r w:rsidR="006D74A7">
        <w:t xml:space="preserve">declining </w:t>
      </w:r>
      <w:r w:rsidR="00F40166">
        <w:t>across the whole sector</w:t>
      </w:r>
      <w:r w:rsidR="006D74A7">
        <w:t xml:space="preserve">. With the exception of 2013, which showed minimal positive productivity growth, </w:t>
      </w:r>
      <w:r w:rsidR="00A841EB">
        <w:t xml:space="preserve">there has been negative </w:t>
      </w:r>
      <w:r w:rsidR="006D74A7">
        <w:t xml:space="preserve">productivity growth each year. </w:t>
      </w:r>
      <w:r w:rsidR="0096189F">
        <w:t xml:space="preserve">There </w:t>
      </w:r>
      <w:r w:rsidR="00480104">
        <w:t>are</w:t>
      </w:r>
      <w:r w:rsidR="0096189F">
        <w:t xml:space="preserve"> several reasons for </w:t>
      </w:r>
      <w:r w:rsidR="00A21A46">
        <w:t>this</w:t>
      </w:r>
      <w:r w:rsidR="0096189F">
        <w:t>:</w:t>
      </w:r>
    </w:p>
    <w:p w:rsidR="0096189F" w:rsidRDefault="00480104" w:rsidP="0096189F">
      <w:pPr>
        <w:pStyle w:val="AERbulletlistfirststyle"/>
      </w:pPr>
      <w:r>
        <w:t>most</w:t>
      </w:r>
      <w:r w:rsidR="0096189F">
        <w:t xml:space="preserve"> outputs have </w:t>
      </w:r>
      <w:r>
        <w:t>increased moderately or remained relatively flat in recent years</w:t>
      </w:r>
    </w:p>
    <w:p w:rsidR="00480104" w:rsidRDefault="0096189F" w:rsidP="0096189F">
      <w:pPr>
        <w:pStyle w:val="AERbulletlistfirststyle"/>
      </w:pPr>
      <w:r>
        <w:t xml:space="preserve">jurisdictional regulatory requirements have required </w:t>
      </w:r>
      <w:r w:rsidR="00480104">
        <w:t xml:space="preserve">some </w:t>
      </w:r>
      <w:r>
        <w:t>DNSPs to spend more resources</w:t>
      </w:r>
      <w:r w:rsidR="001C5F85">
        <w:t xml:space="preserve"> (that is, increasing input)</w:t>
      </w:r>
      <w:r>
        <w:t xml:space="preserve"> but without </w:t>
      </w:r>
      <w:r w:rsidR="00480104">
        <w:t xml:space="preserve">a corresponding </w:t>
      </w:r>
      <w:r>
        <w:t>increasing output</w:t>
      </w:r>
    </w:p>
    <w:p w:rsidR="0096189F" w:rsidRDefault="00480104" w:rsidP="0096189F">
      <w:pPr>
        <w:pStyle w:val="AERbulletlistfirststyle"/>
      </w:pPr>
      <w:r>
        <w:t>some DNSPs are not using their resources as efficiently as other DNSPs</w:t>
      </w:r>
      <w:r w:rsidR="0096189F">
        <w:t>.</w:t>
      </w:r>
    </w:p>
    <w:p w:rsidR="001C5F85" w:rsidRDefault="00681CBC" w:rsidP="00F40166">
      <w:r>
        <w:t xml:space="preserve">Two </w:t>
      </w:r>
      <w:r w:rsidR="00F40166">
        <w:t>pertinent example</w:t>
      </w:r>
      <w:r>
        <w:t>s of jurisdictional obligations increasing input</w:t>
      </w:r>
      <w:r w:rsidR="00A841EB">
        <w:t>s</w:t>
      </w:r>
      <w:r>
        <w:t xml:space="preserve"> during the period are</w:t>
      </w:r>
      <w:r w:rsidR="00F40166">
        <w:t xml:space="preserve"> </w:t>
      </w:r>
      <w:r w:rsidR="00A841EB">
        <w:t xml:space="preserve">the </w:t>
      </w:r>
      <w:r w:rsidR="00F40166">
        <w:t xml:space="preserve">bushfire mitigation requirements </w:t>
      </w:r>
      <w:r w:rsidR="00B82D1A">
        <w:t>in Victoria</w:t>
      </w:r>
      <w:r w:rsidR="00F40166">
        <w:t xml:space="preserve"> </w:t>
      </w:r>
      <w:r w:rsidR="00B82D1A">
        <w:t xml:space="preserve">(following the </w:t>
      </w:r>
      <w:r w:rsidR="001C5F85">
        <w:t>Victorian B</w:t>
      </w:r>
      <w:r w:rsidR="00B82D1A">
        <w:t>ushfires Royal Commission</w:t>
      </w:r>
      <w:r w:rsidR="001C5F85">
        <w:t>, or VBRC</w:t>
      </w:r>
      <w:r w:rsidR="00B82D1A">
        <w:t xml:space="preserve">) </w:t>
      </w:r>
      <w:r>
        <w:t xml:space="preserve">and </w:t>
      </w:r>
      <w:r w:rsidR="00A841EB">
        <w:t xml:space="preserve">the </w:t>
      </w:r>
      <w:r>
        <w:t xml:space="preserve">Ministerial reliability requirements </w:t>
      </w:r>
      <w:r w:rsidR="00B82D1A">
        <w:t xml:space="preserve">in </w:t>
      </w:r>
      <w:r>
        <w:t>N</w:t>
      </w:r>
      <w:r w:rsidR="00B82D1A">
        <w:t>SW</w:t>
      </w:r>
      <w:r>
        <w:t>. In both cases</w:t>
      </w:r>
      <w:r w:rsidR="00B82D1A">
        <w:t>,</w:t>
      </w:r>
      <w:r w:rsidR="00F40166">
        <w:t xml:space="preserve"> </w:t>
      </w:r>
      <w:r w:rsidR="00B82D1A">
        <w:t xml:space="preserve">significant </w:t>
      </w:r>
      <w:r w:rsidR="00F40166">
        <w:t xml:space="preserve">asset replacement </w:t>
      </w:r>
      <w:r w:rsidR="00B82D1A">
        <w:t xml:space="preserve">and upgrades were </w:t>
      </w:r>
      <w:r w:rsidR="00A841EB">
        <w:t>required</w:t>
      </w:r>
      <w:r w:rsidR="00B82D1A">
        <w:t xml:space="preserve">. </w:t>
      </w:r>
    </w:p>
    <w:p w:rsidR="00F40166" w:rsidRDefault="001C5F85" w:rsidP="00F40166">
      <w:r>
        <w:t>Following the VBRC, for example, certain overhead lines were deemed unsafe and the DNSPs were required replacement them with safer types of line. This resulted in increased expenditure on assets (an input) but no increase in line length (an output). Similarly, t</w:t>
      </w:r>
      <w:r w:rsidR="00A841EB">
        <w:t xml:space="preserve">he </w:t>
      </w:r>
      <w:r>
        <w:t xml:space="preserve">VBRC </w:t>
      </w:r>
      <w:r w:rsidR="00B82D1A">
        <w:t xml:space="preserve">requirements </w:t>
      </w:r>
      <w:r w:rsidR="00480104">
        <w:t xml:space="preserve">also </w:t>
      </w:r>
      <w:r w:rsidR="00A841EB">
        <w:t xml:space="preserve">resulted in </w:t>
      </w:r>
      <w:r>
        <w:t xml:space="preserve">DNSPs spending </w:t>
      </w:r>
      <w:r w:rsidR="00B82D1A">
        <w:t>increased opex</w:t>
      </w:r>
      <w:r w:rsidR="00A841EB">
        <w:t xml:space="preserve"> for vegetation clearance purposes</w:t>
      </w:r>
      <w:r>
        <w:t>, with no change in output</w:t>
      </w:r>
      <w:r w:rsidR="00F40166">
        <w:t>.</w:t>
      </w:r>
    </w:p>
    <w:p w:rsidR="00F40166" w:rsidRDefault="00A21A46" w:rsidP="00F40166">
      <w:r>
        <w:fldChar w:fldCharType="begin"/>
      </w:r>
      <w:r>
        <w:instrText xml:space="preserve"> REF _Ref432690569 \h </w:instrText>
      </w:r>
      <w:r>
        <w:fldChar w:fldCharType="separate"/>
      </w:r>
      <w:r w:rsidR="00EF5714">
        <w:t xml:space="preserve">Figure </w:t>
      </w:r>
      <w:r w:rsidR="00EF5714">
        <w:rPr>
          <w:noProof/>
        </w:rPr>
        <w:t>4</w:t>
      </w:r>
      <w:r>
        <w:fldChar w:fldCharType="end"/>
      </w:r>
      <w:r w:rsidR="00F40166">
        <w:t xml:space="preserve"> </w:t>
      </w:r>
      <w:r>
        <w:t xml:space="preserve">presents </w:t>
      </w:r>
      <w:r w:rsidR="00F40166">
        <w:t xml:space="preserve">the MTFP results </w:t>
      </w:r>
      <w:r>
        <w:t>for each DNSP</w:t>
      </w:r>
      <w:r w:rsidR="00F40166">
        <w:t xml:space="preserve">. The decline in productivity over the period can be observed for all </w:t>
      </w:r>
      <w:r w:rsidR="00341258">
        <w:t>DNSPs</w:t>
      </w:r>
      <w:r w:rsidR="00F40166">
        <w:t xml:space="preserve"> except Ergon</w:t>
      </w:r>
      <w:r w:rsidR="003C2C18">
        <w:t xml:space="preserve"> Energy. Ergon Energy’s</w:t>
      </w:r>
      <w:r>
        <w:t xml:space="preserve"> productivity has recently improved</w:t>
      </w:r>
      <w:r w:rsidR="000A77A7">
        <w:t xml:space="preserve"> following a relatively flat period</w:t>
      </w:r>
      <w:r w:rsidR="00F40166">
        <w:t xml:space="preserve">. </w:t>
      </w:r>
      <w:r w:rsidR="00A5713B">
        <w:t>Essential Energy’s productivity has also improved</w:t>
      </w:r>
      <w:r w:rsidR="0004177A">
        <w:t xml:space="preserve"> in the last two years</w:t>
      </w:r>
      <w:r w:rsidR="00A5713B">
        <w:t xml:space="preserve">. For both these DNSPs, however, despite </w:t>
      </w:r>
      <w:r w:rsidR="0004177A">
        <w:t xml:space="preserve">recent </w:t>
      </w:r>
      <w:r w:rsidR="00A5713B">
        <w:t>improvements, their performance is still well below most of their peers.</w:t>
      </w:r>
    </w:p>
    <w:p w:rsidR="00F40166" w:rsidRDefault="00F40166" w:rsidP="00A75AB2">
      <w:pPr>
        <w:pStyle w:val="Caption"/>
      </w:pPr>
      <w:bookmarkStart w:id="19" w:name="_Ref432690569"/>
      <w:r>
        <w:t xml:space="preserve">Figure </w:t>
      </w:r>
      <w:r w:rsidRPr="00F50135">
        <w:fldChar w:fldCharType="begin"/>
      </w:r>
      <w:r>
        <w:instrText xml:space="preserve"> SEQ Figure \* ARABIC </w:instrText>
      </w:r>
      <w:r w:rsidRPr="00F50135">
        <w:fldChar w:fldCharType="separate"/>
      </w:r>
      <w:r w:rsidR="00EF5714">
        <w:rPr>
          <w:noProof/>
        </w:rPr>
        <w:t>4</w:t>
      </w:r>
      <w:r w:rsidRPr="00F50135">
        <w:fldChar w:fldCharType="end"/>
      </w:r>
      <w:bookmarkEnd w:id="19"/>
      <w:r>
        <w:tab/>
      </w:r>
      <w:r w:rsidR="00480104">
        <w:t xml:space="preserve">Multilateral total factor productivity </w:t>
      </w:r>
      <w:r w:rsidR="00A21A46">
        <w:t xml:space="preserve">by </w:t>
      </w:r>
      <w:r>
        <w:t>DNSP</w:t>
      </w:r>
      <w:r w:rsidR="00A21A46">
        <w:t xml:space="preserve"> for 2006–14</w:t>
      </w:r>
    </w:p>
    <w:p w:rsidR="00F40166" w:rsidRDefault="006352DB" w:rsidP="00E14351">
      <w:pPr>
        <w:jc w:val="center"/>
      </w:pPr>
      <w:r w:rsidRPr="006352DB">
        <w:rPr>
          <w:noProof/>
          <w:lang w:eastAsia="en-AU"/>
        </w:rPr>
        <w:drawing>
          <wp:inline distT="0" distB="0" distL="0" distR="0" wp14:anchorId="76FDEF5F" wp14:editId="06D505FA">
            <wp:extent cx="5088148" cy="3096000"/>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8148" cy="3096000"/>
                    </a:xfrm>
                    <a:prstGeom prst="rect">
                      <a:avLst/>
                    </a:prstGeom>
                    <a:noFill/>
                    <a:ln>
                      <a:noFill/>
                    </a:ln>
                  </pic:spPr>
                </pic:pic>
              </a:graphicData>
            </a:graphic>
          </wp:inline>
        </w:drawing>
      </w:r>
    </w:p>
    <w:p w:rsidR="00F40268" w:rsidRDefault="00F40268" w:rsidP="00F40166">
      <w:r>
        <w:lastRenderedPageBreak/>
        <w:t>CitiPower</w:t>
      </w:r>
      <w:r w:rsidR="00E9500F">
        <w:t>, United Energy, SA Power Networks and Jemena are</w:t>
      </w:r>
      <w:r>
        <w:t xml:space="preserve"> the best performer</w:t>
      </w:r>
      <w:r w:rsidR="00E9500F">
        <w:t>s</w:t>
      </w:r>
      <w:r>
        <w:t xml:space="preserve"> over the entire period because </w:t>
      </w:r>
      <w:r w:rsidR="00E9500F">
        <w:t xml:space="preserve">their </w:t>
      </w:r>
      <w:r>
        <w:t xml:space="preserve">MTFP </w:t>
      </w:r>
      <w:r w:rsidR="00E9500F">
        <w:t>scores are</w:t>
      </w:r>
      <w:r>
        <w:t xml:space="preserve"> the highest. For 2014, the results show that</w:t>
      </w:r>
      <w:r w:rsidR="008678F5">
        <w:t>, relative to the base observation (ActewAGL’s 2006 score),</w:t>
      </w:r>
      <w:r>
        <w:t xml:space="preserve"> CitiPower produced more than </w:t>
      </w:r>
      <w:r w:rsidR="008678F5">
        <w:t>50% higher</w:t>
      </w:r>
      <w:r>
        <w:t xml:space="preserve"> outputs</w:t>
      </w:r>
      <w:r w:rsidR="00E9500F">
        <w:t xml:space="preserve"> </w:t>
      </w:r>
      <w:r w:rsidR="008678F5">
        <w:t>per input. T</w:t>
      </w:r>
      <w:r w:rsidR="00E9500F">
        <w:t>he other three top performers produced between 3</w:t>
      </w:r>
      <w:r w:rsidR="008678F5">
        <w:t>0%</w:t>
      </w:r>
      <w:r w:rsidR="00E9500F">
        <w:t xml:space="preserve"> and 4</w:t>
      </w:r>
      <w:r w:rsidR="008678F5">
        <w:t>0% higher</w:t>
      </w:r>
      <w:r w:rsidR="00E9500F">
        <w:t xml:space="preserve"> outputs</w:t>
      </w:r>
      <w:r w:rsidR="008678F5">
        <w:t xml:space="preserve"> per input</w:t>
      </w:r>
      <w:r>
        <w:t>. In contrast, ActewAGL, Ausgrid, Essential</w:t>
      </w:r>
      <w:r w:rsidR="00A5713B">
        <w:t xml:space="preserve"> Energy</w:t>
      </w:r>
      <w:r>
        <w:t xml:space="preserve"> and TasNetworks produce less than 1 output </w:t>
      </w:r>
      <w:r w:rsidR="008678F5">
        <w:t xml:space="preserve">per </w:t>
      </w:r>
      <w:r>
        <w:t>input</w:t>
      </w:r>
      <w:r w:rsidR="008678F5">
        <w:t>, relative to the base observation</w:t>
      </w:r>
      <w:r>
        <w:t>.</w:t>
      </w:r>
    </w:p>
    <w:p w:rsidR="00600CCA" w:rsidRDefault="00600CCA" w:rsidP="00705AC4">
      <w:r>
        <w:t xml:space="preserve">TasNetworks, however, </w:t>
      </w:r>
      <w:r w:rsidR="005825C0">
        <w:t>could be considered</w:t>
      </w:r>
      <w:r w:rsidR="005945B8">
        <w:t xml:space="preserve"> an outlier </w:t>
      </w:r>
      <w:r w:rsidR="00C90133">
        <w:t xml:space="preserve">compared to its peers </w:t>
      </w:r>
      <w:r w:rsidR="005945B8">
        <w:t xml:space="preserve">in terms of </w:t>
      </w:r>
      <w:r>
        <w:t>system structure</w:t>
      </w:r>
      <w:r w:rsidR="0023696F">
        <w:t xml:space="preserve">, which </w:t>
      </w:r>
      <w:r>
        <w:t xml:space="preserve">influences </w:t>
      </w:r>
      <w:r w:rsidR="005945B8">
        <w:t>its MTFP score</w:t>
      </w:r>
      <w:r w:rsidR="0023696F">
        <w:t xml:space="preserve"> to some extent</w:t>
      </w:r>
      <w:r w:rsidR="005945B8">
        <w:t xml:space="preserve">. </w:t>
      </w:r>
      <w:r w:rsidR="00C90133">
        <w:t xml:space="preserve">Compared to other DNSPs, </w:t>
      </w:r>
      <w:r>
        <w:t xml:space="preserve">TasNetworks operates </w:t>
      </w:r>
      <w:r w:rsidR="00C90133">
        <w:t xml:space="preserve">substantially </w:t>
      </w:r>
      <w:r>
        <w:t xml:space="preserve">less </w:t>
      </w:r>
      <w:r w:rsidR="005945B8">
        <w:t xml:space="preserve">high voltage </w:t>
      </w:r>
      <w:r>
        <w:t xml:space="preserve">subtransmission </w:t>
      </w:r>
      <w:r w:rsidR="005945B8">
        <w:t>assets</w:t>
      </w:r>
      <w:r w:rsidR="00705AC4">
        <w:t xml:space="preserve"> and </w:t>
      </w:r>
      <w:r w:rsidR="00334ACD">
        <w:t>has a comparatively high proportion of lower voltage lines</w:t>
      </w:r>
      <w:r w:rsidR="00C90133">
        <w:t xml:space="preserve">. </w:t>
      </w:r>
      <w:r w:rsidR="0023696F">
        <w:t xml:space="preserve">Therefore, Economic Insights advises </w:t>
      </w:r>
      <w:r w:rsidR="0023343B">
        <w:t>that some caution is required in interpreting TasNetworks</w:t>
      </w:r>
      <w:r w:rsidR="00F064E5">
        <w:t>’</w:t>
      </w:r>
      <w:r w:rsidR="0023343B">
        <w:t xml:space="preserve"> MTFP score, given its </w:t>
      </w:r>
      <w:r w:rsidR="000F7D66">
        <w:t xml:space="preserve">comparatively </w:t>
      </w:r>
      <w:r w:rsidR="0023343B">
        <w:t xml:space="preserve">unusual system structure. </w:t>
      </w:r>
      <w:r>
        <w:t xml:space="preserve">The Economic Insights memorandum referred to in Appendix </w:t>
      </w:r>
      <w:r w:rsidRPr="00845EB3">
        <w:fldChar w:fldCharType="begin"/>
      </w:r>
      <w:r w:rsidRPr="00F064E5">
        <w:instrText xml:space="preserve"> REF _Ref432682897 \n \h </w:instrText>
      </w:r>
      <w:r w:rsidR="00845EB3" w:rsidRPr="00416FB6">
        <w:instrText xml:space="preserve"> \* MERGEFORMAT </w:instrText>
      </w:r>
      <w:r w:rsidRPr="00845EB3">
        <w:fldChar w:fldCharType="separate"/>
      </w:r>
      <w:r w:rsidR="00EF5714">
        <w:t>A</w:t>
      </w:r>
      <w:r w:rsidRPr="00845EB3">
        <w:fldChar w:fldCharType="end"/>
      </w:r>
      <w:r>
        <w:t xml:space="preserve"> contains further detail on </w:t>
      </w:r>
      <w:r w:rsidR="00F064E5">
        <w:t>TasNetworks’ system structure</w:t>
      </w:r>
      <w:r>
        <w:t>.</w:t>
      </w:r>
    </w:p>
    <w:p w:rsidR="007B1F1B" w:rsidRDefault="007B1F1B" w:rsidP="007B1F1B">
      <w:pPr>
        <w:pStyle w:val="Heading2"/>
      </w:pPr>
      <w:r>
        <w:t>Observations for 2013–14</w:t>
      </w:r>
    </w:p>
    <w:p w:rsidR="004E2E3C" w:rsidRDefault="00483361" w:rsidP="00A21A46">
      <w:r>
        <w:t xml:space="preserve">A requirement of the annual benchmarking report is to present each DNSP’s relative efficiency over a twelve month period. </w:t>
      </w:r>
      <w:r w:rsidR="00734F42">
        <w:t>T</w:t>
      </w:r>
      <w:r w:rsidR="007D1A44">
        <w:t xml:space="preserve">his section compares </w:t>
      </w:r>
      <w:r>
        <w:t xml:space="preserve">each DNSP’s </w:t>
      </w:r>
      <w:r w:rsidR="007D1A44">
        <w:t>MTFP performance in 2014</w:t>
      </w:r>
      <w:r w:rsidR="004E2E3C">
        <w:t>. It also compares each DNSP’s</w:t>
      </w:r>
      <w:r w:rsidR="007D1A44">
        <w:t xml:space="preserve"> </w:t>
      </w:r>
      <w:r w:rsidR="004E2E3C">
        <w:t xml:space="preserve">average </w:t>
      </w:r>
      <w:r w:rsidR="007D1A44">
        <w:t xml:space="preserve">performance </w:t>
      </w:r>
      <w:r w:rsidR="004E2E3C">
        <w:t xml:space="preserve">over the 2006–14 period because </w:t>
      </w:r>
      <w:r w:rsidR="000A4626">
        <w:t xml:space="preserve">one off factors in a particular year can influence the results. It is, therefore, important to look at performance over a </w:t>
      </w:r>
      <w:r>
        <w:t xml:space="preserve">longer </w:t>
      </w:r>
      <w:r w:rsidR="000A4626">
        <w:t>period of time.</w:t>
      </w:r>
      <w:r w:rsidR="00BB0949">
        <w:t xml:space="preserve"> </w:t>
      </w:r>
      <w:r w:rsidR="00BB0949">
        <w:fldChar w:fldCharType="begin"/>
      </w:r>
      <w:r w:rsidR="00BB0949">
        <w:instrText xml:space="preserve"> REF _Ref432692634 \h </w:instrText>
      </w:r>
      <w:r w:rsidR="00BB0949">
        <w:fldChar w:fldCharType="separate"/>
      </w:r>
      <w:r w:rsidR="00EF5714" w:rsidRPr="00B33BF0">
        <w:t xml:space="preserve">Table </w:t>
      </w:r>
      <w:r w:rsidR="00EF5714">
        <w:rPr>
          <w:noProof/>
        </w:rPr>
        <w:t>1</w:t>
      </w:r>
      <w:r w:rsidR="00BB0949">
        <w:fldChar w:fldCharType="end"/>
      </w:r>
      <w:r w:rsidR="00BB0949">
        <w:t xml:space="preserve"> ranks each DNSP according to its period-average MTFP score and its 2014 score. </w:t>
      </w:r>
    </w:p>
    <w:p w:rsidR="00A21A46" w:rsidRPr="00A21A46" w:rsidRDefault="000A77A7" w:rsidP="00A75AB2">
      <w:pPr>
        <w:pStyle w:val="Caption"/>
      </w:pPr>
      <w:bookmarkStart w:id="20" w:name="_Ref432692634"/>
      <w:r w:rsidRPr="00B33BF0">
        <w:t xml:space="preserve">Table </w:t>
      </w:r>
      <w:r w:rsidRPr="00120085">
        <w:fldChar w:fldCharType="begin"/>
      </w:r>
      <w:r>
        <w:instrText xml:space="preserve"> SEQ Table \* ARABIC </w:instrText>
      </w:r>
      <w:r w:rsidRPr="00120085">
        <w:fldChar w:fldCharType="separate"/>
      </w:r>
      <w:r w:rsidR="00EF5714">
        <w:rPr>
          <w:noProof/>
        </w:rPr>
        <w:t>1</w:t>
      </w:r>
      <w:r w:rsidRPr="00120085">
        <w:fldChar w:fldCharType="end"/>
      </w:r>
      <w:bookmarkEnd w:id="20"/>
      <w:r w:rsidRPr="00B33BF0">
        <w:tab/>
      </w:r>
      <w:r>
        <w:t xml:space="preserve">DNSP MTFP rankings for 2014 </w:t>
      </w:r>
      <w:r w:rsidR="00550989">
        <w:t xml:space="preserve">and </w:t>
      </w:r>
      <w:r w:rsidR="00341258">
        <w:t>period-average</w:t>
      </w:r>
    </w:p>
    <w:tbl>
      <w:tblPr>
        <w:tblStyle w:val="AERtable-numbers"/>
        <w:tblW w:w="5036" w:type="pct"/>
        <w:tblLook w:val="04A0" w:firstRow="1" w:lastRow="0" w:firstColumn="1" w:lastColumn="0" w:noHBand="0" w:noVBand="1"/>
      </w:tblPr>
      <w:tblGrid>
        <w:gridCol w:w="1659"/>
        <w:gridCol w:w="1426"/>
        <w:gridCol w:w="1426"/>
        <w:gridCol w:w="1417"/>
        <w:gridCol w:w="1417"/>
        <w:gridCol w:w="1411"/>
      </w:tblGrid>
      <w:tr w:rsidR="000A4626" w:rsidTr="000A4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tcPr>
          <w:p w:rsidR="000A4626" w:rsidRDefault="000A4626" w:rsidP="00550989">
            <w:r>
              <w:t>DNSP</w:t>
            </w:r>
          </w:p>
        </w:tc>
        <w:tc>
          <w:tcPr>
            <w:tcW w:w="814" w:type="pct"/>
          </w:tcPr>
          <w:p w:rsidR="000A4626" w:rsidRDefault="000A4626" w:rsidP="000A4626">
            <w:pPr>
              <w:cnfStyle w:val="100000000000" w:firstRow="1" w:lastRow="0" w:firstColumn="0" w:lastColumn="0" w:oddVBand="0" w:evenVBand="0" w:oddHBand="0" w:evenHBand="0" w:firstRowFirstColumn="0" w:firstRowLastColumn="0" w:lastRowFirstColumn="0" w:lastRowLastColumn="0"/>
            </w:pPr>
            <w:r>
              <w:t>Average Rank</w:t>
            </w:r>
          </w:p>
        </w:tc>
        <w:tc>
          <w:tcPr>
            <w:tcW w:w="814" w:type="pct"/>
          </w:tcPr>
          <w:p w:rsidR="000A4626" w:rsidRDefault="000A4626" w:rsidP="00550989">
            <w:pPr>
              <w:cnfStyle w:val="100000000000" w:firstRow="1" w:lastRow="0" w:firstColumn="0" w:lastColumn="0" w:oddVBand="0" w:evenVBand="0" w:oddHBand="0" w:evenHBand="0" w:firstRowFirstColumn="0" w:firstRowLastColumn="0" w:lastRowFirstColumn="0" w:lastRowLastColumn="0"/>
            </w:pPr>
            <w:r>
              <w:t>2014 Rank</w:t>
            </w:r>
          </w:p>
        </w:tc>
        <w:tc>
          <w:tcPr>
            <w:tcW w:w="809" w:type="pct"/>
          </w:tcPr>
          <w:p w:rsidR="000A4626" w:rsidRDefault="000A4626" w:rsidP="00550989">
            <w:pPr>
              <w:cnfStyle w:val="100000000000" w:firstRow="1" w:lastRow="0" w:firstColumn="0" w:lastColumn="0" w:oddVBand="0" w:evenVBand="0" w:oddHBand="0" w:evenHBand="0" w:firstRowFirstColumn="0" w:firstRowLastColumn="0" w:lastRowFirstColumn="0" w:lastRowLastColumn="0"/>
            </w:pPr>
            <w:r>
              <w:t>Average Score</w:t>
            </w:r>
          </w:p>
        </w:tc>
        <w:tc>
          <w:tcPr>
            <w:tcW w:w="809" w:type="pct"/>
          </w:tcPr>
          <w:p w:rsidR="000A4626" w:rsidRDefault="000A4626" w:rsidP="00550989">
            <w:pPr>
              <w:cnfStyle w:val="100000000000" w:firstRow="1" w:lastRow="0" w:firstColumn="0" w:lastColumn="0" w:oddVBand="0" w:evenVBand="0" w:oddHBand="0" w:evenHBand="0" w:firstRowFirstColumn="0" w:firstRowLastColumn="0" w:lastRowFirstColumn="0" w:lastRowLastColumn="0"/>
            </w:pPr>
            <w:r>
              <w:t>2014 Score</w:t>
            </w:r>
          </w:p>
        </w:tc>
        <w:tc>
          <w:tcPr>
            <w:tcW w:w="806" w:type="pct"/>
          </w:tcPr>
          <w:p w:rsidR="000A4626" w:rsidRDefault="000A4626" w:rsidP="00550989">
            <w:pPr>
              <w:cnfStyle w:val="100000000000" w:firstRow="1" w:lastRow="0" w:firstColumn="0" w:lastColumn="0" w:oddVBand="0" w:evenVBand="0" w:oddHBand="0" w:evenHBand="0" w:firstRowFirstColumn="0" w:firstRowLastColumn="0" w:lastRowFirstColumn="0" w:lastRowLastColumn="0"/>
            </w:pPr>
            <w:r>
              <w:t>2014 % change</w:t>
            </w:r>
          </w:p>
        </w:tc>
      </w:tr>
      <w:tr w:rsidR="006352DB" w:rsidTr="00FF55E0">
        <w:tc>
          <w:tcPr>
            <w:cnfStyle w:val="001000000000" w:firstRow="0" w:lastRow="0" w:firstColumn="1" w:lastColumn="0" w:oddVBand="0" w:evenVBand="0" w:oddHBand="0" w:evenHBand="0" w:firstRowFirstColumn="0" w:firstRowLastColumn="0" w:lastRowFirstColumn="0" w:lastRowLastColumn="0"/>
            <w:tcW w:w="947" w:type="pct"/>
            <w:vAlign w:val="top"/>
          </w:tcPr>
          <w:p w:rsidR="006352DB" w:rsidRPr="000A4626" w:rsidRDefault="006352DB" w:rsidP="007D1A44">
            <w:pPr>
              <w:rPr>
                <w:bCs/>
              </w:rPr>
            </w:pPr>
            <w:r w:rsidRPr="000A4626">
              <w:t>CitiPower</w:t>
            </w:r>
          </w:p>
        </w:tc>
        <w:tc>
          <w:tcPr>
            <w:tcW w:w="814" w:type="pct"/>
            <w:vAlign w:val="top"/>
          </w:tcPr>
          <w:p w:rsidR="006352DB" w:rsidRDefault="006352DB" w:rsidP="007D1A44">
            <w:pPr>
              <w:cnfStyle w:val="000000000000" w:firstRow="0" w:lastRow="0" w:firstColumn="0" w:lastColumn="0" w:oddVBand="0" w:evenVBand="0" w:oddHBand="0" w:evenHBand="0" w:firstRowFirstColumn="0" w:firstRowLastColumn="0" w:lastRowFirstColumn="0" w:lastRowLastColumn="0"/>
            </w:pPr>
            <w:r>
              <w:t>1</w:t>
            </w:r>
          </w:p>
        </w:tc>
        <w:tc>
          <w:tcPr>
            <w:tcW w:w="814" w:type="pct"/>
            <w:vAlign w:val="top"/>
          </w:tcPr>
          <w:p w:rsidR="006352DB" w:rsidRDefault="006352DB" w:rsidP="007D1A44">
            <w:pPr>
              <w:cnfStyle w:val="000000000000" w:firstRow="0" w:lastRow="0" w:firstColumn="0" w:lastColumn="0" w:oddVBand="0" w:evenVBand="0" w:oddHBand="0" w:evenHBand="0" w:firstRowFirstColumn="0" w:firstRowLastColumn="0" w:lastRowFirstColumn="0" w:lastRowLastColumn="0"/>
            </w:pPr>
            <w:r w:rsidRPr="00E86B33">
              <w:t>1</w:t>
            </w:r>
          </w:p>
        </w:tc>
        <w:tc>
          <w:tcPr>
            <w:tcW w:w="809" w:type="pct"/>
            <w:vAlign w:val="top"/>
          </w:tcPr>
          <w:p w:rsidR="006352DB" w:rsidRPr="009C302E" w:rsidRDefault="006352DB" w:rsidP="00230668">
            <w:pPr>
              <w:cnfStyle w:val="000000000000" w:firstRow="0" w:lastRow="0" w:firstColumn="0" w:lastColumn="0" w:oddVBand="0" w:evenVBand="0" w:oddHBand="0" w:evenHBand="0" w:firstRowFirstColumn="0" w:firstRowLastColumn="0" w:lastRowFirstColumn="0" w:lastRowLastColumn="0"/>
            </w:pPr>
            <w:r w:rsidRPr="009620F7">
              <w:t>1.711</w:t>
            </w:r>
          </w:p>
        </w:tc>
        <w:tc>
          <w:tcPr>
            <w:tcW w:w="809" w:type="pct"/>
            <w:vAlign w:val="top"/>
          </w:tcPr>
          <w:p w:rsidR="006352DB" w:rsidRPr="005E0E3B" w:rsidRDefault="006352DB" w:rsidP="00230668">
            <w:pPr>
              <w:cnfStyle w:val="000000000000" w:firstRow="0" w:lastRow="0" w:firstColumn="0" w:lastColumn="0" w:oddVBand="0" w:evenVBand="0" w:oddHBand="0" w:evenHBand="0" w:firstRowFirstColumn="0" w:firstRowLastColumn="0" w:lastRowFirstColumn="0" w:lastRowLastColumn="0"/>
            </w:pPr>
            <w:r w:rsidRPr="00690C5C">
              <w:t>1.555</w:t>
            </w:r>
          </w:p>
        </w:tc>
        <w:tc>
          <w:tcPr>
            <w:tcW w:w="806" w:type="pct"/>
            <w:vAlign w:val="top"/>
          </w:tcPr>
          <w:p w:rsidR="006352DB" w:rsidRDefault="006352DB" w:rsidP="00230668">
            <w:pPr>
              <w:cnfStyle w:val="000000000000" w:firstRow="0" w:lastRow="0" w:firstColumn="0" w:lastColumn="0" w:oddVBand="0" w:evenVBand="0" w:oddHBand="0" w:evenHBand="0" w:firstRowFirstColumn="0" w:firstRowLastColumn="0" w:lastRowFirstColumn="0" w:lastRowLastColumn="0"/>
              <w:rPr>
                <w:b/>
                <w:bCs/>
              </w:rPr>
            </w:pPr>
            <w:r w:rsidRPr="00624BFE">
              <w:t>-2.4%</w:t>
            </w:r>
          </w:p>
        </w:tc>
      </w:tr>
      <w:tr w:rsidR="006352DB" w:rsidTr="00FF5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vAlign w:val="top"/>
          </w:tcPr>
          <w:p w:rsidR="006352DB" w:rsidRPr="000A4626" w:rsidRDefault="006352DB" w:rsidP="00230668">
            <w:pPr>
              <w:rPr>
                <w:bCs/>
              </w:rPr>
            </w:pPr>
            <w:r w:rsidRPr="000A4626">
              <w:rPr>
                <w:bCs/>
              </w:rPr>
              <w:t>SA Power Networks</w:t>
            </w:r>
          </w:p>
        </w:tc>
        <w:tc>
          <w:tcPr>
            <w:tcW w:w="814" w:type="pct"/>
            <w:vAlign w:val="top"/>
          </w:tcPr>
          <w:p w:rsidR="006352DB" w:rsidRDefault="006352DB" w:rsidP="007D1A44">
            <w:pPr>
              <w:cnfStyle w:val="000000010000" w:firstRow="0" w:lastRow="0" w:firstColumn="0" w:lastColumn="0" w:oddVBand="0" w:evenVBand="0" w:oddHBand="0" w:evenHBand="1" w:firstRowFirstColumn="0" w:firstRowLastColumn="0" w:lastRowFirstColumn="0" w:lastRowLastColumn="0"/>
            </w:pPr>
            <w:r>
              <w:t>2</w:t>
            </w:r>
          </w:p>
        </w:tc>
        <w:tc>
          <w:tcPr>
            <w:tcW w:w="814" w:type="pct"/>
            <w:vAlign w:val="top"/>
          </w:tcPr>
          <w:p w:rsidR="006352DB" w:rsidRDefault="006352DB" w:rsidP="007D1A44">
            <w:pPr>
              <w:cnfStyle w:val="000000010000" w:firstRow="0" w:lastRow="0" w:firstColumn="0" w:lastColumn="0" w:oddVBand="0" w:evenVBand="0" w:oddHBand="0" w:evenHBand="1" w:firstRowFirstColumn="0" w:firstRowLastColumn="0" w:lastRowFirstColumn="0" w:lastRowLastColumn="0"/>
            </w:pPr>
            <w:r w:rsidRPr="00E86B33">
              <w:t>3</w:t>
            </w:r>
          </w:p>
        </w:tc>
        <w:tc>
          <w:tcPr>
            <w:tcW w:w="809" w:type="pct"/>
            <w:vAlign w:val="top"/>
          </w:tcPr>
          <w:p w:rsidR="006352DB" w:rsidRPr="009C302E" w:rsidRDefault="006352DB" w:rsidP="00230668">
            <w:pPr>
              <w:cnfStyle w:val="000000010000" w:firstRow="0" w:lastRow="0" w:firstColumn="0" w:lastColumn="0" w:oddVBand="0" w:evenVBand="0" w:oddHBand="0" w:evenHBand="1" w:firstRowFirstColumn="0" w:firstRowLastColumn="0" w:lastRowFirstColumn="0" w:lastRowLastColumn="0"/>
            </w:pPr>
            <w:r w:rsidRPr="009620F7">
              <w:t>1.521</w:t>
            </w:r>
          </w:p>
        </w:tc>
        <w:tc>
          <w:tcPr>
            <w:tcW w:w="809" w:type="pct"/>
            <w:vAlign w:val="top"/>
          </w:tcPr>
          <w:p w:rsidR="006352DB" w:rsidRPr="005E0E3B" w:rsidRDefault="006352DB" w:rsidP="00230668">
            <w:pPr>
              <w:cnfStyle w:val="000000010000" w:firstRow="0" w:lastRow="0" w:firstColumn="0" w:lastColumn="0" w:oddVBand="0" w:evenVBand="0" w:oddHBand="0" w:evenHBand="1" w:firstRowFirstColumn="0" w:firstRowLastColumn="0" w:lastRowFirstColumn="0" w:lastRowLastColumn="0"/>
            </w:pPr>
            <w:r w:rsidRPr="00690C5C">
              <w:t>1.322</w:t>
            </w:r>
          </w:p>
        </w:tc>
        <w:tc>
          <w:tcPr>
            <w:tcW w:w="806" w:type="pct"/>
            <w:vAlign w:val="top"/>
          </w:tcPr>
          <w:p w:rsidR="006352DB" w:rsidRDefault="006352DB" w:rsidP="00230668">
            <w:pPr>
              <w:cnfStyle w:val="000000010000" w:firstRow="0" w:lastRow="0" w:firstColumn="0" w:lastColumn="0" w:oddVBand="0" w:evenVBand="0" w:oddHBand="0" w:evenHBand="1" w:firstRowFirstColumn="0" w:firstRowLastColumn="0" w:lastRowFirstColumn="0" w:lastRowLastColumn="0"/>
              <w:rPr>
                <w:b/>
                <w:bCs/>
              </w:rPr>
            </w:pPr>
            <w:r w:rsidRPr="00624BFE">
              <w:t>-4.3%</w:t>
            </w:r>
          </w:p>
        </w:tc>
      </w:tr>
      <w:tr w:rsidR="006352DB" w:rsidTr="00FF55E0">
        <w:tc>
          <w:tcPr>
            <w:cnfStyle w:val="001000000000" w:firstRow="0" w:lastRow="0" w:firstColumn="1" w:lastColumn="0" w:oddVBand="0" w:evenVBand="0" w:oddHBand="0" w:evenHBand="0" w:firstRowFirstColumn="0" w:firstRowLastColumn="0" w:lastRowFirstColumn="0" w:lastRowLastColumn="0"/>
            <w:tcW w:w="947" w:type="pct"/>
            <w:vAlign w:val="top"/>
          </w:tcPr>
          <w:p w:rsidR="006352DB" w:rsidRDefault="006352DB" w:rsidP="00230668">
            <w:pPr>
              <w:rPr>
                <w:b/>
                <w:bCs/>
              </w:rPr>
            </w:pPr>
            <w:r>
              <w:t>United Energy</w:t>
            </w:r>
          </w:p>
        </w:tc>
        <w:tc>
          <w:tcPr>
            <w:tcW w:w="814" w:type="pct"/>
            <w:vAlign w:val="top"/>
          </w:tcPr>
          <w:p w:rsidR="006352DB" w:rsidRDefault="006352DB" w:rsidP="007D1A44">
            <w:pPr>
              <w:cnfStyle w:val="000000000000" w:firstRow="0" w:lastRow="0" w:firstColumn="0" w:lastColumn="0" w:oddVBand="0" w:evenVBand="0" w:oddHBand="0" w:evenHBand="0" w:firstRowFirstColumn="0" w:firstRowLastColumn="0" w:lastRowFirstColumn="0" w:lastRowLastColumn="0"/>
            </w:pPr>
            <w:r>
              <w:t>3</w:t>
            </w:r>
          </w:p>
        </w:tc>
        <w:tc>
          <w:tcPr>
            <w:tcW w:w="814" w:type="pct"/>
            <w:vAlign w:val="top"/>
          </w:tcPr>
          <w:p w:rsidR="006352DB" w:rsidRDefault="006352DB" w:rsidP="007D1A44">
            <w:pPr>
              <w:cnfStyle w:val="000000000000" w:firstRow="0" w:lastRow="0" w:firstColumn="0" w:lastColumn="0" w:oddVBand="0" w:evenVBand="0" w:oddHBand="0" w:evenHBand="0" w:firstRowFirstColumn="0" w:firstRowLastColumn="0" w:lastRowFirstColumn="0" w:lastRowLastColumn="0"/>
            </w:pPr>
            <w:r w:rsidRPr="00E86B33">
              <w:t>2</w:t>
            </w:r>
          </w:p>
        </w:tc>
        <w:tc>
          <w:tcPr>
            <w:tcW w:w="809" w:type="pct"/>
            <w:vAlign w:val="top"/>
          </w:tcPr>
          <w:p w:rsidR="006352DB" w:rsidRPr="009C302E" w:rsidRDefault="006352DB" w:rsidP="00230668">
            <w:pPr>
              <w:cnfStyle w:val="000000000000" w:firstRow="0" w:lastRow="0" w:firstColumn="0" w:lastColumn="0" w:oddVBand="0" w:evenVBand="0" w:oddHBand="0" w:evenHBand="0" w:firstRowFirstColumn="0" w:firstRowLastColumn="0" w:lastRowFirstColumn="0" w:lastRowLastColumn="0"/>
            </w:pPr>
            <w:r w:rsidRPr="009620F7">
              <w:t>1.484</w:t>
            </w:r>
          </w:p>
        </w:tc>
        <w:tc>
          <w:tcPr>
            <w:tcW w:w="809" w:type="pct"/>
            <w:vAlign w:val="top"/>
          </w:tcPr>
          <w:p w:rsidR="006352DB" w:rsidRPr="005E0E3B" w:rsidRDefault="006352DB" w:rsidP="00230668">
            <w:pPr>
              <w:cnfStyle w:val="000000000000" w:firstRow="0" w:lastRow="0" w:firstColumn="0" w:lastColumn="0" w:oddVBand="0" w:evenVBand="0" w:oddHBand="0" w:evenHBand="0" w:firstRowFirstColumn="0" w:firstRowLastColumn="0" w:lastRowFirstColumn="0" w:lastRowLastColumn="0"/>
            </w:pPr>
            <w:r w:rsidRPr="00690C5C">
              <w:t>1.366</w:t>
            </w:r>
          </w:p>
        </w:tc>
        <w:tc>
          <w:tcPr>
            <w:tcW w:w="806" w:type="pct"/>
            <w:vAlign w:val="top"/>
          </w:tcPr>
          <w:p w:rsidR="006352DB" w:rsidRDefault="006352DB" w:rsidP="00230668">
            <w:pPr>
              <w:cnfStyle w:val="000000000000" w:firstRow="0" w:lastRow="0" w:firstColumn="0" w:lastColumn="0" w:oddVBand="0" w:evenVBand="0" w:oddHBand="0" w:evenHBand="0" w:firstRowFirstColumn="0" w:firstRowLastColumn="0" w:lastRowFirstColumn="0" w:lastRowLastColumn="0"/>
              <w:rPr>
                <w:b/>
                <w:bCs/>
              </w:rPr>
            </w:pPr>
            <w:r w:rsidRPr="00624BFE">
              <w:t>-2.5%</w:t>
            </w:r>
          </w:p>
        </w:tc>
      </w:tr>
      <w:tr w:rsidR="006352DB" w:rsidTr="00FF5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vAlign w:val="top"/>
          </w:tcPr>
          <w:p w:rsidR="006352DB" w:rsidRDefault="006352DB" w:rsidP="007D1A44">
            <w:pPr>
              <w:rPr>
                <w:b/>
                <w:bCs/>
              </w:rPr>
            </w:pPr>
            <w:r w:rsidRPr="0039599C">
              <w:t>J</w:t>
            </w:r>
            <w:r>
              <w:t>emena</w:t>
            </w:r>
          </w:p>
        </w:tc>
        <w:tc>
          <w:tcPr>
            <w:tcW w:w="814" w:type="pct"/>
            <w:vAlign w:val="top"/>
          </w:tcPr>
          <w:p w:rsidR="006352DB" w:rsidRDefault="006352DB" w:rsidP="007D1A44">
            <w:pPr>
              <w:cnfStyle w:val="000000010000" w:firstRow="0" w:lastRow="0" w:firstColumn="0" w:lastColumn="0" w:oddVBand="0" w:evenVBand="0" w:oddHBand="0" w:evenHBand="1" w:firstRowFirstColumn="0" w:firstRowLastColumn="0" w:lastRowFirstColumn="0" w:lastRowLastColumn="0"/>
            </w:pPr>
            <w:r>
              <w:t>4</w:t>
            </w:r>
          </w:p>
        </w:tc>
        <w:tc>
          <w:tcPr>
            <w:tcW w:w="814" w:type="pct"/>
            <w:vAlign w:val="top"/>
          </w:tcPr>
          <w:p w:rsidR="006352DB" w:rsidRDefault="006352DB" w:rsidP="007D1A44">
            <w:pPr>
              <w:cnfStyle w:val="000000010000" w:firstRow="0" w:lastRow="0" w:firstColumn="0" w:lastColumn="0" w:oddVBand="0" w:evenVBand="0" w:oddHBand="0" w:evenHBand="1" w:firstRowFirstColumn="0" w:firstRowLastColumn="0" w:lastRowFirstColumn="0" w:lastRowLastColumn="0"/>
            </w:pPr>
            <w:r w:rsidRPr="00E86B33">
              <w:t>4</w:t>
            </w:r>
          </w:p>
        </w:tc>
        <w:tc>
          <w:tcPr>
            <w:tcW w:w="809" w:type="pct"/>
            <w:vAlign w:val="top"/>
          </w:tcPr>
          <w:p w:rsidR="006352DB" w:rsidRPr="009C302E" w:rsidRDefault="006352DB" w:rsidP="00230668">
            <w:pPr>
              <w:cnfStyle w:val="000000010000" w:firstRow="0" w:lastRow="0" w:firstColumn="0" w:lastColumn="0" w:oddVBand="0" w:evenVBand="0" w:oddHBand="0" w:evenHBand="1" w:firstRowFirstColumn="0" w:firstRowLastColumn="0" w:lastRowFirstColumn="0" w:lastRowLastColumn="0"/>
            </w:pPr>
            <w:r w:rsidRPr="009620F7">
              <w:t>1.382</w:t>
            </w:r>
          </w:p>
        </w:tc>
        <w:tc>
          <w:tcPr>
            <w:tcW w:w="809" w:type="pct"/>
            <w:vAlign w:val="top"/>
          </w:tcPr>
          <w:p w:rsidR="006352DB" w:rsidRPr="005E0E3B" w:rsidRDefault="006352DB" w:rsidP="00230668">
            <w:pPr>
              <w:cnfStyle w:val="000000010000" w:firstRow="0" w:lastRow="0" w:firstColumn="0" w:lastColumn="0" w:oddVBand="0" w:evenVBand="0" w:oddHBand="0" w:evenHBand="1" w:firstRowFirstColumn="0" w:firstRowLastColumn="0" w:lastRowFirstColumn="0" w:lastRowLastColumn="0"/>
            </w:pPr>
            <w:r w:rsidRPr="00690C5C">
              <w:t>1.302</w:t>
            </w:r>
          </w:p>
        </w:tc>
        <w:tc>
          <w:tcPr>
            <w:tcW w:w="806" w:type="pct"/>
            <w:vAlign w:val="top"/>
          </w:tcPr>
          <w:p w:rsidR="006352DB" w:rsidRDefault="006352DB" w:rsidP="00230668">
            <w:pPr>
              <w:cnfStyle w:val="000000010000" w:firstRow="0" w:lastRow="0" w:firstColumn="0" w:lastColumn="0" w:oddVBand="0" w:evenVBand="0" w:oddHBand="0" w:evenHBand="1" w:firstRowFirstColumn="0" w:firstRowLastColumn="0" w:lastRowFirstColumn="0" w:lastRowLastColumn="0"/>
              <w:rPr>
                <w:b/>
                <w:bCs/>
              </w:rPr>
            </w:pPr>
            <w:r w:rsidRPr="00624BFE">
              <w:t>-0.8%</w:t>
            </w:r>
          </w:p>
        </w:tc>
      </w:tr>
      <w:tr w:rsidR="006352DB" w:rsidRPr="00341258" w:rsidTr="00FF55E0">
        <w:tc>
          <w:tcPr>
            <w:cnfStyle w:val="001000000000" w:firstRow="0" w:lastRow="0" w:firstColumn="1" w:lastColumn="0" w:oddVBand="0" w:evenVBand="0" w:oddHBand="0" w:evenHBand="0" w:firstRowFirstColumn="0" w:firstRowLastColumn="0" w:lastRowFirstColumn="0" w:lastRowLastColumn="0"/>
            <w:tcW w:w="947" w:type="pct"/>
            <w:vAlign w:val="top"/>
          </w:tcPr>
          <w:p w:rsidR="006352DB" w:rsidRPr="00341258" w:rsidRDefault="006352DB" w:rsidP="00230668">
            <w:pPr>
              <w:rPr>
                <w:rStyle w:val="Strong"/>
                <w:b w:val="0"/>
              </w:rPr>
            </w:pPr>
            <w:r w:rsidRPr="00341258">
              <w:rPr>
                <w:rStyle w:val="Strong"/>
                <w:b w:val="0"/>
              </w:rPr>
              <w:t>Powercor</w:t>
            </w:r>
          </w:p>
        </w:tc>
        <w:tc>
          <w:tcPr>
            <w:tcW w:w="814" w:type="pct"/>
            <w:vAlign w:val="top"/>
          </w:tcPr>
          <w:p w:rsidR="006352DB" w:rsidRPr="00341258" w:rsidRDefault="006352DB" w:rsidP="007D1A44">
            <w:pPr>
              <w:cnfStyle w:val="000000000000" w:firstRow="0" w:lastRow="0" w:firstColumn="0" w:lastColumn="0" w:oddVBand="0" w:evenVBand="0" w:oddHBand="0" w:evenHBand="0" w:firstRowFirstColumn="0" w:firstRowLastColumn="0" w:lastRowFirstColumn="0" w:lastRowLastColumn="0"/>
              <w:rPr>
                <w:rStyle w:val="Strong"/>
                <w:b w:val="0"/>
              </w:rPr>
            </w:pPr>
            <w:r w:rsidRPr="00341258">
              <w:rPr>
                <w:rStyle w:val="Strong"/>
                <w:b w:val="0"/>
              </w:rPr>
              <w:t>5</w:t>
            </w:r>
          </w:p>
        </w:tc>
        <w:tc>
          <w:tcPr>
            <w:tcW w:w="814" w:type="pct"/>
            <w:vAlign w:val="top"/>
          </w:tcPr>
          <w:p w:rsidR="006352DB" w:rsidRPr="00341258" w:rsidRDefault="006352DB" w:rsidP="007D1A44">
            <w:pPr>
              <w:cnfStyle w:val="000000000000" w:firstRow="0" w:lastRow="0" w:firstColumn="0" w:lastColumn="0" w:oddVBand="0" w:evenVBand="0" w:oddHBand="0" w:evenHBand="0" w:firstRowFirstColumn="0" w:firstRowLastColumn="0" w:lastRowFirstColumn="0" w:lastRowLastColumn="0"/>
              <w:rPr>
                <w:rStyle w:val="Strong"/>
                <w:b w:val="0"/>
              </w:rPr>
            </w:pPr>
            <w:r w:rsidRPr="00E86B33">
              <w:t>6</w:t>
            </w:r>
          </w:p>
        </w:tc>
        <w:tc>
          <w:tcPr>
            <w:tcW w:w="809" w:type="pct"/>
            <w:vAlign w:val="top"/>
          </w:tcPr>
          <w:p w:rsidR="006352DB" w:rsidRPr="00341258" w:rsidRDefault="006352DB" w:rsidP="00230668">
            <w:pPr>
              <w:cnfStyle w:val="000000000000" w:firstRow="0" w:lastRow="0" w:firstColumn="0" w:lastColumn="0" w:oddVBand="0" w:evenVBand="0" w:oddHBand="0" w:evenHBand="0" w:firstRowFirstColumn="0" w:firstRowLastColumn="0" w:lastRowFirstColumn="0" w:lastRowLastColumn="0"/>
              <w:rPr>
                <w:rStyle w:val="Strong"/>
                <w:b w:val="0"/>
              </w:rPr>
            </w:pPr>
            <w:r w:rsidRPr="009620F7">
              <w:t>1.280</w:t>
            </w:r>
          </w:p>
        </w:tc>
        <w:tc>
          <w:tcPr>
            <w:tcW w:w="809" w:type="pct"/>
            <w:vAlign w:val="top"/>
          </w:tcPr>
          <w:p w:rsidR="006352DB" w:rsidRPr="00341258" w:rsidRDefault="006352DB" w:rsidP="00230668">
            <w:pPr>
              <w:cnfStyle w:val="000000000000" w:firstRow="0" w:lastRow="0" w:firstColumn="0" w:lastColumn="0" w:oddVBand="0" w:evenVBand="0" w:oddHBand="0" w:evenHBand="0" w:firstRowFirstColumn="0" w:firstRowLastColumn="0" w:lastRowFirstColumn="0" w:lastRowLastColumn="0"/>
              <w:rPr>
                <w:rStyle w:val="Strong"/>
                <w:b w:val="0"/>
              </w:rPr>
            </w:pPr>
            <w:r w:rsidRPr="00690C5C">
              <w:t>1.173</w:t>
            </w:r>
          </w:p>
        </w:tc>
        <w:tc>
          <w:tcPr>
            <w:tcW w:w="806" w:type="pct"/>
            <w:vAlign w:val="top"/>
          </w:tcPr>
          <w:p w:rsidR="006352DB" w:rsidRPr="00341258" w:rsidRDefault="006352DB" w:rsidP="00230668">
            <w:pPr>
              <w:cnfStyle w:val="000000000000" w:firstRow="0" w:lastRow="0" w:firstColumn="0" w:lastColumn="0" w:oddVBand="0" w:evenVBand="0" w:oddHBand="0" w:evenHBand="0" w:firstRowFirstColumn="0" w:firstRowLastColumn="0" w:lastRowFirstColumn="0" w:lastRowLastColumn="0"/>
              <w:rPr>
                <w:rStyle w:val="Strong"/>
                <w:b w:val="0"/>
              </w:rPr>
            </w:pPr>
            <w:r w:rsidRPr="00624BFE">
              <w:t>-0.6%</w:t>
            </w:r>
          </w:p>
        </w:tc>
      </w:tr>
      <w:tr w:rsidR="006352DB" w:rsidTr="00FF5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vAlign w:val="top"/>
          </w:tcPr>
          <w:p w:rsidR="006352DB" w:rsidRDefault="006352DB" w:rsidP="00230668">
            <w:pPr>
              <w:rPr>
                <w:b/>
                <w:bCs/>
              </w:rPr>
            </w:pPr>
            <w:r>
              <w:t>Energex</w:t>
            </w:r>
          </w:p>
        </w:tc>
        <w:tc>
          <w:tcPr>
            <w:tcW w:w="814" w:type="pct"/>
            <w:vAlign w:val="top"/>
          </w:tcPr>
          <w:p w:rsidR="006352DB" w:rsidRDefault="006352DB" w:rsidP="007D1A44">
            <w:pPr>
              <w:cnfStyle w:val="000000010000" w:firstRow="0" w:lastRow="0" w:firstColumn="0" w:lastColumn="0" w:oddVBand="0" w:evenVBand="0" w:oddHBand="0" w:evenHBand="1" w:firstRowFirstColumn="0" w:firstRowLastColumn="0" w:lastRowFirstColumn="0" w:lastRowLastColumn="0"/>
            </w:pPr>
            <w:r>
              <w:t>6</w:t>
            </w:r>
          </w:p>
        </w:tc>
        <w:tc>
          <w:tcPr>
            <w:tcW w:w="814" w:type="pct"/>
            <w:vAlign w:val="top"/>
          </w:tcPr>
          <w:p w:rsidR="006352DB" w:rsidRDefault="006352DB" w:rsidP="007D1A44">
            <w:pPr>
              <w:cnfStyle w:val="000000010000" w:firstRow="0" w:lastRow="0" w:firstColumn="0" w:lastColumn="0" w:oddVBand="0" w:evenVBand="0" w:oddHBand="0" w:evenHBand="1" w:firstRowFirstColumn="0" w:firstRowLastColumn="0" w:lastRowFirstColumn="0" w:lastRowLastColumn="0"/>
            </w:pPr>
            <w:r w:rsidRPr="00E86B33">
              <w:t>5</w:t>
            </w:r>
          </w:p>
        </w:tc>
        <w:tc>
          <w:tcPr>
            <w:tcW w:w="809" w:type="pct"/>
            <w:vAlign w:val="top"/>
          </w:tcPr>
          <w:p w:rsidR="006352DB" w:rsidRPr="009C302E" w:rsidRDefault="006352DB" w:rsidP="00230668">
            <w:pPr>
              <w:cnfStyle w:val="000000010000" w:firstRow="0" w:lastRow="0" w:firstColumn="0" w:lastColumn="0" w:oddVBand="0" w:evenVBand="0" w:oddHBand="0" w:evenHBand="1" w:firstRowFirstColumn="0" w:firstRowLastColumn="0" w:lastRowFirstColumn="0" w:lastRowLastColumn="0"/>
            </w:pPr>
            <w:r w:rsidRPr="009620F7">
              <w:t>1.262</w:t>
            </w:r>
          </w:p>
        </w:tc>
        <w:tc>
          <w:tcPr>
            <w:tcW w:w="809" w:type="pct"/>
            <w:vAlign w:val="top"/>
          </w:tcPr>
          <w:p w:rsidR="006352DB" w:rsidRPr="005E0E3B" w:rsidRDefault="006352DB" w:rsidP="00230668">
            <w:pPr>
              <w:cnfStyle w:val="000000010000" w:firstRow="0" w:lastRow="0" w:firstColumn="0" w:lastColumn="0" w:oddVBand="0" w:evenVBand="0" w:oddHBand="0" w:evenHBand="1" w:firstRowFirstColumn="0" w:firstRowLastColumn="0" w:lastRowFirstColumn="0" w:lastRowLastColumn="0"/>
            </w:pPr>
            <w:r w:rsidRPr="00690C5C">
              <w:t>1.196</w:t>
            </w:r>
          </w:p>
        </w:tc>
        <w:tc>
          <w:tcPr>
            <w:tcW w:w="806" w:type="pct"/>
            <w:vAlign w:val="top"/>
          </w:tcPr>
          <w:p w:rsidR="006352DB" w:rsidRDefault="006352DB" w:rsidP="00230668">
            <w:pPr>
              <w:cnfStyle w:val="000000010000" w:firstRow="0" w:lastRow="0" w:firstColumn="0" w:lastColumn="0" w:oddVBand="0" w:evenVBand="0" w:oddHBand="0" w:evenHBand="1" w:firstRowFirstColumn="0" w:firstRowLastColumn="0" w:lastRowFirstColumn="0" w:lastRowLastColumn="0"/>
              <w:rPr>
                <w:b/>
                <w:bCs/>
              </w:rPr>
            </w:pPr>
            <w:r w:rsidRPr="00624BFE">
              <w:t>2.5%</w:t>
            </w:r>
          </w:p>
        </w:tc>
      </w:tr>
      <w:tr w:rsidR="006352DB" w:rsidTr="00FF55E0">
        <w:tc>
          <w:tcPr>
            <w:cnfStyle w:val="001000000000" w:firstRow="0" w:lastRow="0" w:firstColumn="1" w:lastColumn="0" w:oddVBand="0" w:evenVBand="0" w:oddHBand="0" w:evenHBand="0" w:firstRowFirstColumn="0" w:firstRowLastColumn="0" w:lastRowFirstColumn="0" w:lastRowLastColumn="0"/>
            <w:tcW w:w="947" w:type="pct"/>
            <w:vAlign w:val="top"/>
          </w:tcPr>
          <w:p w:rsidR="006352DB" w:rsidRDefault="006352DB" w:rsidP="000A4626">
            <w:pPr>
              <w:rPr>
                <w:b/>
                <w:bCs/>
              </w:rPr>
            </w:pPr>
            <w:r>
              <w:t>AusNet Services</w:t>
            </w:r>
          </w:p>
        </w:tc>
        <w:tc>
          <w:tcPr>
            <w:tcW w:w="814" w:type="pct"/>
            <w:vAlign w:val="top"/>
          </w:tcPr>
          <w:p w:rsidR="006352DB" w:rsidRDefault="006352DB" w:rsidP="007D1A44">
            <w:pPr>
              <w:cnfStyle w:val="000000000000" w:firstRow="0" w:lastRow="0" w:firstColumn="0" w:lastColumn="0" w:oddVBand="0" w:evenVBand="0" w:oddHBand="0" w:evenHBand="0" w:firstRowFirstColumn="0" w:firstRowLastColumn="0" w:lastRowFirstColumn="0" w:lastRowLastColumn="0"/>
            </w:pPr>
            <w:r>
              <w:t>7</w:t>
            </w:r>
          </w:p>
        </w:tc>
        <w:tc>
          <w:tcPr>
            <w:tcW w:w="814" w:type="pct"/>
            <w:vAlign w:val="top"/>
          </w:tcPr>
          <w:p w:rsidR="006352DB" w:rsidRDefault="006352DB" w:rsidP="007D1A44">
            <w:pPr>
              <w:cnfStyle w:val="000000000000" w:firstRow="0" w:lastRow="0" w:firstColumn="0" w:lastColumn="0" w:oddVBand="0" w:evenVBand="0" w:oddHBand="0" w:evenHBand="0" w:firstRowFirstColumn="0" w:firstRowLastColumn="0" w:lastRowFirstColumn="0" w:lastRowLastColumn="0"/>
            </w:pPr>
            <w:r w:rsidRPr="00E86B33">
              <w:t>8</w:t>
            </w:r>
          </w:p>
        </w:tc>
        <w:tc>
          <w:tcPr>
            <w:tcW w:w="809" w:type="pct"/>
            <w:vAlign w:val="top"/>
          </w:tcPr>
          <w:p w:rsidR="006352DB" w:rsidRPr="009C302E" w:rsidRDefault="006352DB" w:rsidP="00230668">
            <w:pPr>
              <w:cnfStyle w:val="000000000000" w:firstRow="0" w:lastRow="0" w:firstColumn="0" w:lastColumn="0" w:oddVBand="0" w:evenVBand="0" w:oddHBand="0" w:evenHBand="0" w:firstRowFirstColumn="0" w:firstRowLastColumn="0" w:lastRowFirstColumn="0" w:lastRowLastColumn="0"/>
            </w:pPr>
            <w:r w:rsidRPr="009620F7">
              <w:t>1.234</w:t>
            </w:r>
          </w:p>
        </w:tc>
        <w:tc>
          <w:tcPr>
            <w:tcW w:w="809" w:type="pct"/>
            <w:vAlign w:val="top"/>
          </w:tcPr>
          <w:p w:rsidR="006352DB" w:rsidRPr="005E0E3B" w:rsidRDefault="006352DB" w:rsidP="00230668">
            <w:pPr>
              <w:cnfStyle w:val="000000000000" w:firstRow="0" w:lastRow="0" w:firstColumn="0" w:lastColumn="0" w:oddVBand="0" w:evenVBand="0" w:oddHBand="0" w:evenHBand="0" w:firstRowFirstColumn="0" w:firstRowLastColumn="0" w:lastRowFirstColumn="0" w:lastRowLastColumn="0"/>
            </w:pPr>
            <w:r w:rsidRPr="00690C5C">
              <w:t>1.093</w:t>
            </w:r>
          </w:p>
        </w:tc>
        <w:tc>
          <w:tcPr>
            <w:tcW w:w="806" w:type="pct"/>
            <w:vAlign w:val="top"/>
          </w:tcPr>
          <w:p w:rsidR="006352DB" w:rsidRDefault="006352DB" w:rsidP="00230668">
            <w:pPr>
              <w:cnfStyle w:val="000000000000" w:firstRow="0" w:lastRow="0" w:firstColumn="0" w:lastColumn="0" w:oddVBand="0" w:evenVBand="0" w:oddHBand="0" w:evenHBand="0" w:firstRowFirstColumn="0" w:firstRowLastColumn="0" w:lastRowFirstColumn="0" w:lastRowLastColumn="0"/>
              <w:rPr>
                <w:b/>
                <w:bCs/>
              </w:rPr>
            </w:pPr>
            <w:r w:rsidRPr="00624BFE">
              <w:t>-4.6%</w:t>
            </w:r>
          </w:p>
        </w:tc>
      </w:tr>
      <w:tr w:rsidR="006352DB" w:rsidTr="00FF5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vAlign w:val="top"/>
          </w:tcPr>
          <w:p w:rsidR="006352DB" w:rsidRDefault="006352DB" w:rsidP="00230668">
            <w:pPr>
              <w:rPr>
                <w:b/>
                <w:bCs/>
              </w:rPr>
            </w:pPr>
            <w:r>
              <w:t>Endeavour Energy</w:t>
            </w:r>
          </w:p>
        </w:tc>
        <w:tc>
          <w:tcPr>
            <w:tcW w:w="814" w:type="pct"/>
            <w:vAlign w:val="top"/>
          </w:tcPr>
          <w:p w:rsidR="006352DB" w:rsidRDefault="006352DB" w:rsidP="007D1A44">
            <w:pPr>
              <w:cnfStyle w:val="000000010000" w:firstRow="0" w:lastRow="0" w:firstColumn="0" w:lastColumn="0" w:oddVBand="0" w:evenVBand="0" w:oddHBand="0" w:evenHBand="1" w:firstRowFirstColumn="0" w:firstRowLastColumn="0" w:lastRowFirstColumn="0" w:lastRowLastColumn="0"/>
            </w:pPr>
            <w:r>
              <w:t>8</w:t>
            </w:r>
          </w:p>
        </w:tc>
        <w:tc>
          <w:tcPr>
            <w:tcW w:w="814" w:type="pct"/>
            <w:vAlign w:val="top"/>
          </w:tcPr>
          <w:p w:rsidR="006352DB" w:rsidRDefault="006352DB" w:rsidP="007D1A44">
            <w:pPr>
              <w:cnfStyle w:val="000000010000" w:firstRow="0" w:lastRow="0" w:firstColumn="0" w:lastColumn="0" w:oddVBand="0" w:evenVBand="0" w:oddHBand="0" w:evenHBand="1" w:firstRowFirstColumn="0" w:firstRowLastColumn="0" w:lastRowFirstColumn="0" w:lastRowLastColumn="0"/>
            </w:pPr>
            <w:r w:rsidRPr="00E86B33">
              <w:t>7</w:t>
            </w:r>
          </w:p>
        </w:tc>
        <w:tc>
          <w:tcPr>
            <w:tcW w:w="809" w:type="pct"/>
            <w:vAlign w:val="top"/>
          </w:tcPr>
          <w:p w:rsidR="006352DB" w:rsidRPr="009C302E" w:rsidRDefault="006352DB" w:rsidP="00230668">
            <w:pPr>
              <w:cnfStyle w:val="000000010000" w:firstRow="0" w:lastRow="0" w:firstColumn="0" w:lastColumn="0" w:oddVBand="0" w:evenVBand="0" w:oddHBand="0" w:evenHBand="1" w:firstRowFirstColumn="0" w:firstRowLastColumn="0" w:lastRowFirstColumn="0" w:lastRowLastColumn="0"/>
            </w:pPr>
            <w:r w:rsidRPr="009620F7">
              <w:t>1.223</w:t>
            </w:r>
          </w:p>
        </w:tc>
        <w:tc>
          <w:tcPr>
            <w:tcW w:w="809" w:type="pct"/>
            <w:vAlign w:val="top"/>
          </w:tcPr>
          <w:p w:rsidR="006352DB" w:rsidRPr="005E0E3B" w:rsidRDefault="006352DB" w:rsidP="00230668">
            <w:pPr>
              <w:cnfStyle w:val="000000010000" w:firstRow="0" w:lastRow="0" w:firstColumn="0" w:lastColumn="0" w:oddVBand="0" w:evenVBand="0" w:oddHBand="0" w:evenHBand="1" w:firstRowFirstColumn="0" w:firstRowLastColumn="0" w:lastRowFirstColumn="0" w:lastRowLastColumn="0"/>
            </w:pPr>
            <w:r w:rsidRPr="00690C5C">
              <w:t>1.135</w:t>
            </w:r>
          </w:p>
        </w:tc>
        <w:tc>
          <w:tcPr>
            <w:tcW w:w="806" w:type="pct"/>
            <w:vAlign w:val="top"/>
          </w:tcPr>
          <w:p w:rsidR="006352DB" w:rsidRDefault="006352DB" w:rsidP="00230668">
            <w:pPr>
              <w:cnfStyle w:val="000000010000" w:firstRow="0" w:lastRow="0" w:firstColumn="0" w:lastColumn="0" w:oddVBand="0" w:evenVBand="0" w:oddHBand="0" w:evenHBand="1" w:firstRowFirstColumn="0" w:firstRowLastColumn="0" w:lastRowFirstColumn="0" w:lastRowLastColumn="0"/>
              <w:rPr>
                <w:b/>
                <w:bCs/>
              </w:rPr>
            </w:pPr>
            <w:r w:rsidRPr="00624BFE">
              <w:t>-2.9%</w:t>
            </w:r>
          </w:p>
        </w:tc>
      </w:tr>
      <w:tr w:rsidR="006352DB" w:rsidTr="00D050A0">
        <w:tc>
          <w:tcPr>
            <w:cnfStyle w:val="001000000000" w:firstRow="0" w:lastRow="0" w:firstColumn="1" w:lastColumn="0" w:oddVBand="0" w:evenVBand="0" w:oddHBand="0" w:evenHBand="0" w:firstRowFirstColumn="0" w:firstRowLastColumn="0" w:lastRowFirstColumn="0" w:lastRowLastColumn="0"/>
            <w:tcW w:w="947" w:type="pct"/>
            <w:vAlign w:val="top"/>
          </w:tcPr>
          <w:p w:rsidR="006352DB" w:rsidRDefault="006352DB" w:rsidP="00230668">
            <w:pPr>
              <w:rPr>
                <w:b/>
                <w:bCs/>
              </w:rPr>
            </w:pPr>
            <w:r>
              <w:t>Ergon Energy</w:t>
            </w:r>
          </w:p>
        </w:tc>
        <w:tc>
          <w:tcPr>
            <w:tcW w:w="814" w:type="pct"/>
            <w:vAlign w:val="top"/>
          </w:tcPr>
          <w:p w:rsidR="006352DB" w:rsidRDefault="006352DB" w:rsidP="007D1A44">
            <w:pPr>
              <w:cnfStyle w:val="000000000000" w:firstRow="0" w:lastRow="0" w:firstColumn="0" w:lastColumn="0" w:oddVBand="0" w:evenVBand="0" w:oddHBand="0" w:evenHBand="0" w:firstRowFirstColumn="0" w:firstRowLastColumn="0" w:lastRowFirstColumn="0" w:lastRowLastColumn="0"/>
            </w:pPr>
            <w:r>
              <w:t>9</w:t>
            </w:r>
          </w:p>
        </w:tc>
        <w:tc>
          <w:tcPr>
            <w:tcW w:w="814" w:type="pct"/>
            <w:vAlign w:val="top"/>
          </w:tcPr>
          <w:p w:rsidR="006352DB" w:rsidRDefault="006352DB" w:rsidP="007D1A44">
            <w:pPr>
              <w:cnfStyle w:val="000000000000" w:firstRow="0" w:lastRow="0" w:firstColumn="0" w:lastColumn="0" w:oddVBand="0" w:evenVBand="0" w:oddHBand="0" w:evenHBand="0" w:firstRowFirstColumn="0" w:firstRowLastColumn="0" w:lastRowFirstColumn="0" w:lastRowLastColumn="0"/>
            </w:pPr>
            <w:r w:rsidRPr="00E86B33">
              <w:t>9</w:t>
            </w:r>
          </w:p>
        </w:tc>
        <w:tc>
          <w:tcPr>
            <w:tcW w:w="809" w:type="pct"/>
            <w:vAlign w:val="top"/>
          </w:tcPr>
          <w:p w:rsidR="006352DB" w:rsidRPr="009C302E" w:rsidRDefault="006352DB" w:rsidP="00230668">
            <w:pPr>
              <w:cnfStyle w:val="000000000000" w:firstRow="0" w:lastRow="0" w:firstColumn="0" w:lastColumn="0" w:oddVBand="0" w:evenVBand="0" w:oddHBand="0" w:evenHBand="0" w:firstRowFirstColumn="0" w:firstRowLastColumn="0" w:lastRowFirstColumn="0" w:lastRowLastColumn="0"/>
            </w:pPr>
            <w:r w:rsidRPr="009620F7">
              <w:t>0.992</w:t>
            </w:r>
          </w:p>
        </w:tc>
        <w:tc>
          <w:tcPr>
            <w:tcW w:w="809" w:type="pct"/>
            <w:vAlign w:val="top"/>
          </w:tcPr>
          <w:p w:rsidR="006352DB" w:rsidRPr="005E0E3B" w:rsidRDefault="006352DB" w:rsidP="00230668">
            <w:pPr>
              <w:cnfStyle w:val="000000000000" w:firstRow="0" w:lastRow="0" w:firstColumn="0" w:lastColumn="0" w:oddVBand="0" w:evenVBand="0" w:oddHBand="0" w:evenHBand="0" w:firstRowFirstColumn="0" w:firstRowLastColumn="0" w:lastRowFirstColumn="0" w:lastRowLastColumn="0"/>
            </w:pPr>
            <w:r w:rsidRPr="00690C5C">
              <w:t>1.073</w:t>
            </w:r>
          </w:p>
        </w:tc>
        <w:tc>
          <w:tcPr>
            <w:tcW w:w="806" w:type="pct"/>
            <w:vAlign w:val="top"/>
          </w:tcPr>
          <w:p w:rsidR="006352DB" w:rsidRDefault="006352DB" w:rsidP="00230668">
            <w:pPr>
              <w:cnfStyle w:val="000000000000" w:firstRow="0" w:lastRow="0" w:firstColumn="0" w:lastColumn="0" w:oddVBand="0" w:evenVBand="0" w:oddHBand="0" w:evenHBand="0" w:firstRowFirstColumn="0" w:firstRowLastColumn="0" w:lastRowFirstColumn="0" w:lastRowLastColumn="0"/>
              <w:rPr>
                <w:b/>
                <w:bCs/>
              </w:rPr>
            </w:pPr>
            <w:r w:rsidRPr="00624BFE">
              <w:t>1.4%</w:t>
            </w:r>
          </w:p>
        </w:tc>
      </w:tr>
      <w:tr w:rsidR="006352DB" w:rsidTr="00D050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vAlign w:val="top"/>
          </w:tcPr>
          <w:p w:rsidR="006352DB" w:rsidRDefault="006352DB" w:rsidP="00230668">
            <w:pPr>
              <w:rPr>
                <w:b/>
                <w:bCs/>
              </w:rPr>
            </w:pPr>
            <w:r>
              <w:t>Ausgrid</w:t>
            </w:r>
          </w:p>
        </w:tc>
        <w:tc>
          <w:tcPr>
            <w:tcW w:w="814" w:type="pct"/>
            <w:vAlign w:val="top"/>
          </w:tcPr>
          <w:p w:rsidR="006352DB" w:rsidRDefault="006352DB" w:rsidP="007D1A44">
            <w:pPr>
              <w:cnfStyle w:val="000000010000" w:firstRow="0" w:lastRow="0" w:firstColumn="0" w:lastColumn="0" w:oddVBand="0" w:evenVBand="0" w:oddHBand="0" w:evenHBand="1" w:firstRowFirstColumn="0" w:firstRowLastColumn="0" w:lastRowFirstColumn="0" w:lastRowLastColumn="0"/>
            </w:pPr>
            <w:r>
              <w:t>10</w:t>
            </w:r>
          </w:p>
        </w:tc>
        <w:tc>
          <w:tcPr>
            <w:tcW w:w="814" w:type="pct"/>
            <w:vAlign w:val="top"/>
          </w:tcPr>
          <w:p w:rsidR="006352DB" w:rsidRDefault="006352DB" w:rsidP="007D1A44">
            <w:pPr>
              <w:cnfStyle w:val="000000010000" w:firstRow="0" w:lastRow="0" w:firstColumn="0" w:lastColumn="0" w:oddVBand="0" w:evenVBand="0" w:oddHBand="0" w:evenHBand="1" w:firstRowFirstColumn="0" w:firstRowLastColumn="0" w:lastRowFirstColumn="0" w:lastRowLastColumn="0"/>
            </w:pPr>
            <w:r w:rsidRPr="00E86B33">
              <w:t>11</w:t>
            </w:r>
          </w:p>
        </w:tc>
        <w:tc>
          <w:tcPr>
            <w:tcW w:w="809" w:type="pct"/>
            <w:vAlign w:val="top"/>
          </w:tcPr>
          <w:p w:rsidR="006352DB" w:rsidRPr="009C302E" w:rsidRDefault="006352DB" w:rsidP="00230668">
            <w:pPr>
              <w:cnfStyle w:val="000000010000" w:firstRow="0" w:lastRow="0" w:firstColumn="0" w:lastColumn="0" w:oddVBand="0" w:evenVBand="0" w:oddHBand="0" w:evenHBand="1" w:firstRowFirstColumn="0" w:firstRowLastColumn="0" w:lastRowFirstColumn="0" w:lastRowLastColumn="0"/>
            </w:pPr>
            <w:r w:rsidRPr="009620F7">
              <w:t>0.986</w:t>
            </w:r>
          </w:p>
        </w:tc>
        <w:tc>
          <w:tcPr>
            <w:tcW w:w="809" w:type="pct"/>
            <w:vAlign w:val="top"/>
          </w:tcPr>
          <w:p w:rsidR="006352DB" w:rsidRPr="005E0E3B" w:rsidRDefault="006352DB" w:rsidP="00230668">
            <w:pPr>
              <w:cnfStyle w:val="000000010000" w:firstRow="0" w:lastRow="0" w:firstColumn="0" w:lastColumn="0" w:oddVBand="0" w:evenVBand="0" w:oddHBand="0" w:evenHBand="1" w:firstRowFirstColumn="0" w:firstRowLastColumn="0" w:lastRowFirstColumn="0" w:lastRowLastColumn="0"/>
            </w:pPr>
            <w:r w:rsidRPr="00690C5C">
              <w:t>0.926</w:t>
            </w:r>
          </w:p>
        </w:tc>
        <w:tc>
          <w:tcPr>
            <w:tcW w:w="806" w:type="pct"/>
            <w:vAlign w:val="top"/>
          </w:tcPr>
          <w:p w:rsidR="006352DB" w:rsidRDefault="006352DB" w:rsidP="00230668">
            <w:pPr>
              <w:cnfStyle w:val="000000010000" w:firstRow="0" w:lastRow="0" w:firstColumn="0" w:lastColumn="0" w:oddVBand="0" w:evenVBand="0" w:oddHBand="0" w:evenHBand="1" w:firstRowFirstColumn="0" w:firstRowLastColumn="0" w:lastRowFirstColumn="0" w:lastRowLastColumn="0"/>
              <w:rPr>
                <w:b/>
                <w:bCs/>
              </w:rPr>
            </w:pPr>
            <w:r w:rsidRPr="00624BFE">
              <w:t>-5.8%</w:t>
            </w:r>
          </w:p>
        </w:tc>
      </w:tr>
      <w:tr w:rsidR="006352DB" w:rsidRPr="00550989" w:rsidTr="00D050A0">
        <w:tc>
          <w:tcPr>
            <w:cnfStyle w:val="001000000000" w:firstRow="0" w:lastRow="0" w:firstColumn="1" w:lastColumn="0" w:oddVBand="0" w:evenVBand="0" w:oddHBand="0" w:evenHBand="0" w:firstRowFirstColumn="0" w:firstRowLastColumn="0" w:lastRowFirstColumn="0" w:lastRowLastColumn="0"/>
            <w:tcW w:w="947" w:type="pct"/>
            <w:vAlign w:val="top"/>
          </w:tcPr>
          <w:p w:rsidR="006352DB" w:rsidRPr="000A4626" w:rsidRDefault="006352DB" w:rsidP="00230668">
            <w:pPr>
              <w:rPr>
                <w:rStyle w:val="Strong"/>
                <w:b w:val="0"/>
              </w:rPr>
            </w:pPr>
            <w:r w:rsidRPr="000A4626">
              <w:rPr>
                <w:rStyle w:val="Strong"/>
                <w:b w:val="0"/>
              </w:rPr>
              <w:t>Essential Energy</w:t>
            </w:r>
          </w:p>
        </w:tc>
        <w:tc>
          <w:tcPr>
            <w:tcW w:w="814" w:type="pct"/>
            <w:vAlign w:val="top"/>
          </w:tcPr>
          <w:p w:rsidR="006352DB" w:rsidRPr="000A4626" w:rsidRDefault="006352DB" w:rsidP="007D1A44">
            <w:pPr>
              <w:cnfStyle w:val="000000000000" w:firstRow="0" w:lastRow="0" w:firstColumn="0" w:lastColumn="0" w:oddVBand="0" w:evenVBand="0" w:oddHBand="0" w:evenHBand="0" w:firstRowFirstColumn="0" w:firstRowLastColumn="0" w:lastRowFirstColumn="0" w:lastRowLastColumn="0"/>
              <w:rPr>
                <w:rStyle w:val="Strong"/>
                <w:b w:val="0"/>
              </w:rPr>
            </w:pPr>
            <w:r w:rsidRPr="000A4626">
              <w:rPr>
                <w:rStyle w:val="Strong"/>
                <w:b w:val="0"/>
              </w:rPr>
              <w:t>11</w:t>
            </w:r>
          </w:p>
        </w:tc>
        <w:tc>
          <w:tcPr>
            <w:tcW w:w="814" w:type="pct"/>
            <w:vAlign w:val="top"/>
          </w:tcPr>
          <w:p w:rsidR="006352DB" w:rsidRPr="00550989" w:rsidRDefault="006352DB" w:rsidP="007D1A44">
            <w:pPr>
              <w:cnfStyle w:val="000000000000" w:firstRow="0" w:lastRow="0" w:firstColumn="0" w:lastColumn="0" w:oddVBand="0" w:evenVBand="0" w:oddHBand="0" w:evenHBand="0" w:firstRowFirstColumn="0" w:firstRowLastColumn="0" w:lastRowFirstColumn="0" w:lastRowLastColumn="0"/>
              <w:rPr>
                <w:rStyle w:val="Strong"/>
              </w:rPr>
            </w:pPr>
            <w:r w:rsidRPr="00E86B33">
              <w:t>10</w:t>
            </w:r>
          </w:p>
        </w:tc>
        <w:tc>
          <w:tcPr>
            <w:tcW w:w="809" w:type="pct"/>
            <w:vAlign w:val="top"/>
          </w:tcPr>
          <w:p w:rsidR="006352DB" w:rsidRPr="00550989" w:rsidRDefault="006352DB" w:rsidP="00230668">
            <w:pPr>
              <w:cnfStyle w:val="000000000000" w:firstRow="0" w:lastRow="0" w:firstColumn="0" w:lastColumn="0" w:oddVBand="0" w:evenVBand="0" w:oddHBand="0" w:evenHBand="0" w:firstRowFirstColumn="0" w:firstRowLastColumn="0" w:lastRowFirstColumn="0" w:lastRowLastColumn="0"/>
              <w:rPr>
                <w:rStyle w:val="Strong"/>
              </w:rPr>
            </w:pPr>
            <w:r w:rsidRPr="009620F7">
              <w:t>0.977</w:t>
            </w:r>
          </w:p>
        </w:tc>
        <w:tc>
          <w:tcPr>
            <w:tcW w:w="809" w:type="pct"/>
            <w:vAlign w:val="top"/>
          </w:tcPr>
          <w:p w:rsidR="006352DB" w:rsidRPr="00550989" w:rsidRDefault="006352DB" w:rsidP="00230668">
            <w:pPr>
              <w:cnfStyle w:val="000000000000" w:firstRow="0" w:lastRow="0" w:firstColumn="0" w:lastColumn="0" w:oddVBand="0" w:evenVBand="0" w:oddHBand="0" w:evenHBand="0" w:firstRowFirstColumn="0" w:firstRowLastColumn="0" w:lastRowFirstColumn="0" w:lastRowLastColumn="0"/>
              <w:rPr>
                <w:rStyle w:val="Strong"/>
              </w:rPr>
            </w:pPr>
            <w:r w:rsidRPr="00690C5C">
              <w:t>0.928</w:t>
            </w:r>
          </w:p>
        </w:tc>
        <w:tc>
          <w:tcPr>
            <w:tcW w:w="806" w:type="pct"/>
            <w:vAlign w:val="top"/>
          </w:tcPr>
          <w:p w:rsidR="006352DB" w:rsidRPr="00550989" w:rsidRDefault="006352DB" w:rsidP="00230668">
            <w:pPr>
              <w:cnfStyle w:val="000000000000" w:firstRow="0" w:lastRow="0" w:firstColumn="0" w:lastColumn="0" w:oddVBand="0" w:evenVBand="0" w:oddHBand="0" w:evenHBand="0" w:firstRowFirstColumn="0" w:firstRowLastColumn="0" w:lastRowFirstColumn="0" w:lastRowLastColumn="0"/>
              <w:rPr>
                <w:rStyle w:val="Strong"/>
              </w:rPr>
            </w:pPr>
            <w:r w:rsidRPr="00624BFE">
              <w:t>8.5%</w:t>
            </w:r>
          </w:p>
        </w:tc>
      </w:tr>
      <w:tr w:rsidR="006352DB" w:rsidTr="00D050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vAlign w:val="top"/>
          </w:tcPr>
          <w:p w:rsidR="006352DB" w:rsidRDefault="006352DB" w:rsidP="00230668">
            <w:pPr>
              <w:rPr>
                <w:b/>
                <w:bCs/>
              </w:rPr>
            </w:pPr>
            <w:r>
              <w:t>ActewAGL</w:t>
            </w:r>
          </w:p>
        </w:tc>
        <w:tc>
          <w:tcPr>
            <w:tcW w:w="814" w:type="pct"/>
            <w:vAlign w:val="top"/>
          </w:tcPr>
          <w:p w:rsidR="006352DB" w:rsidRDefault="006352DB" w:rsidP="007D1A44">
            <w:pPr>
              <w:cnfStyle w:val="000000010000" w:firstRow="0" w:lastRow="0" w:firstColumn="0" w:lastColumn="0" w:oddVBand="0" w:evenVBand="0" w:oddHBand="0" w:evenHBand="1" w:firstRowFirstColumn="0" w:firstRowLastColumn="0" w:lastRowFirstColumn="0" w:lastRowLastColumn="0"/>
            </w:pPr>
            <w:r>
              <w:t>12</w:t>
            </w:r>
          </w:p>
        </w:tc>
        <w:tc>
          <w:tcPr>
            <w:tcW w:w="814" w:type="pct"/>
            <w:vAlign w:val="top"/>
          </w:tcPr>
          <w:p w:rsidR="006352DB" w:rsidRDefault="006352DB" w:rsidP="007D1A44">
            <w:pPr>
              <w:cnfStyle w:val="000000010000" w:firstRow="0" w:lastRow="0" w:firstColumn="0" w:lastColumn="0" w:oddVBand="0" w:evenVBand="0" w:oddHBand="0" w:evenHBand="1" w:firstRowFirstColumn="0" w:firstRowLastColumn="0" w:lastRowFirstColumn="0" w:lastRowLastColumn="0"/>
            </w:pPr>
            <w:r w:rsidRPr="00E86B33">
              <w:t>13</w:t>
            </w:r>
          </w:p>
        </w:tc>
        <w:tc>
          <w:tcPr>
            <w:tcW w:w="809" w:type="pct"/>
            <w:vAlign w:val="top"/>
          </w:tcPr>
          <w:p w:rsidR="006352DB" w:rsidRPr="009C302E" w:rsidRDefault="006352DB" w:rsidP="00230668">
            <w:pPr>
              <w:cnfStyle w:val="000000010000" w:firstRow="0" w:lastRow="0" w:firstColumn="0" w:lastColumn="0" w:oddVBand="0" w:evenVBand="0" w:oddHBand="0" w:evenHBand="1" w:firstRowFirstColumn="0" w:firstRowLastColumn="0" w:lastRowFirstColumn="0" w:lastRowLastColumn="0"/>
            </w:pPr>
            <w:r w:rsidRPr="009620F7">
              <w:t>0.952</w:t>
            </w:r>
          </w:p>
        </w:tc>
        <w:tc>
          <w:tcPr>
            <w:tcW w:w="809" w:type="pct"/>
            <w:vAlign w:val="top"/>
          </w:tcPr>
          <w:p w:rsidR="006352DB" w:rsidRPr="005E0E3B" w:rsidRDefault="006352DB" w:rsidP="00230668">
            <w:pPr>
              <w:cnfStyle w:val="000000010000" w:firstRow="0" w:lastRow="0" w:firstColumn="0" w:lastColumn="0" w:oddVBand="0" w:evenVBand="0" w:oddHBand="0" w:evenHBand="1" w:firstRowFirstColumn="0" w:firstRowLastColumn="0" w:lastRowFirstColumn="0" w:lastRowLastColumn="0"/>
            </w:pPr>
            <w:r w:rsidRPr="00690C5C">
              <w:t>0.845</w:t>
            </w:r>
          </w:p>
        </w:tc>
        <w:tc>
          <w:tcPr>
            <w:tcW w:w="806" w:type="pct"/>
            <w:vAlign w:val="top"/>
          </w:tcPr>
          <w:p w:rsidR="006352DB" w:rsidRDefault="006352DB" w:rsidP="00230668">
            <w:pPr>
              <w:cnfStyle w:val="000000010000" w:firstRow="0" w:lastRow="0" w:firstColumn="0" w:lastColumn="0" w:oddVBand="0" w:evenVBand="0" w:oddHBand="0" w:evenHBand="1" w:firstRowFirstColumn="0" w:firstRowLastColumn="0" w:lastRowFirstColumn="0" w:lastRowLastColumn="0"/>
              <w:rPr>
                <w:b/>
                <w:bCs/>
              </w:rPr>
            </w:pPr>
            <w:r w:rsidRPr="00624BFE">
              <w:t>-6.0%</w:t>
            </w:r>
          </w:p>
        </w:tc>
      </w:tr>
      <w:tr w:rsidR="006352DB" w:rsidTr="00D050A0">
        <w:tc>
          <w:tcPr>
            <w:cnfStyle w:val="001000000000" w:firstRow="0" w:lastRow="0" w:firstColumn="1" w:lastColumn="0" w:oddVBand="0" w:evenVBand="0" w:oddHBand="0" w:evenHBand="0" w:firstRowFirstColumn="0" w:firstRowLastColumn="0" w:lastRowFirstColumn="0" w:lastRowLastColumn="0"/>
            <w:tcW w:w="947" w:type="pct"/>
            <w:vAlign w:val="top"/>
          </w:tcPr>
          <w:p w:rsidR="006352DB" w:rsidRDefault="006352DB" w:rsidP="00230668">
            <w:pPr>
              <w:rPr>
                <w:b/>
                <w:bCs/>
              </w:rPr>
            </w:pPr>
            <w:r>
              <w:t>TasNetworks</w:t>
            </w:r>
          </w:p>
        </w:tc>
        <w:tc>
          <w:tcPr>
            <w:tcW w:w="814" w:type="pct"/>
            <w:vAlign w:val="top"/>
          </w:tcPr>
          <w:p w:rsidR="006352DB" w:rsidRDefault="006352DB" w:rsidP="007D1A44">
            <w:pPr>
              <w:cnfStyle w:val="000000000000" w:firstRow="0" w:lastRow="0" w:firstColumn="0" w:lastColumn="0" w:oddVBand="0" w:evenVBand="0" w:oddHBand="0" w:evenHBand="0" w:firstRowFirstColumn="0" w:firstRowLastColumn="0" w:lastRowFirstColumn="0" w:lastRowLastColumn="0"/>
            </w:pPr>
            <w:r>
              <w:t>13</w:t>
            </w:r>
          </w:p>
        </w:tc>
        <w:tc>
          <w:tcPr>
            <w:tcW w:w="814" w:type="pct"/>
            <w:vAlign w:val="top"/>
          </w:tcPr>
          <w:p w:rsidR="006352DB" w:rsidRDefault="006352DB" w:rsidP="007D1A44">
            <w:pPr>
              <w:cnfStyle w:val="000000000000" w:firstRow="0" w:lastRow="0" w:firstColumn="0" w:lastColumn="0" w:oddVBand="0" w:evenVBand="0" w:oddHBand="0" w:evenHBand="0" w:firstRowFirstColumn="0" w:firstRowLastColumn="0" w:lastRowFirstColumn="0" w:lastRowLastColumn="0"/>
            </w:pPr>
            <w:r w:rsidRPr="00E86B33">
              <w:t>12</w:t>
            </w:r>
          </w:p>
        </w:tc>
        <w:tc>
          <w:tcPr>
            <w:tcW w:w="809" w:type="pct"/>
            <w:vAlign w:val="top"/>
          </w:tcPr>
          <w:p w:rsidR="006352DB" w:rsidRPr="009C302E" w:rsidRDefault="006352DB" w:rsidP="00230668">
            <w:pPr>
              <w:cnfStyle w:val="000000000000" w:firstRow="0" w:lastRow="0" w:firstColumn="0" w:lastColumn="0" w:oddVBand="0" w:evenVBand="0" w:oddHBand="0" w:evenHBand="0" w:firstRowFirstColumn="0" w:firstRowLastColumn="0" w:lastRowFirstColumn="0" w:lastRowLastColumn="0"/>
            </w:pPr>
            <w:r w:rsidRPr="009620F7">
              <w:t>0.942</w:t>
            </w:r>
          </w:p>
        </w:tc>
        <w:tc>
          <w:tcPr>
            <w:tcW w:w="809" w:type="pct"/>
            <w:vAlign w:val="top"/>
          </w:tcPr>
          <w:p w:rsidR="006352DB" w:rsidRPr="005E0E3B" w:rsidRDefault="006352DB" w:rsidP="00230668">
            <w:pPr>
              <w:cnfStyle w:val="000000000000" w:firstRow="0" w:lastRow="0" w:firstColumn="0" w:lastColumn="0" w:oddVBand="0" w:evenVBand="0" w:oddHBand="0" w:evenHBand="0" w:firstRowFirstColumn="0" w:firstRowLastColumn="0" w:lastRowFirstColumn="0" w:lastRowLastColumn="0"/>
            </w:pPr>
            <w:r w:rsidRPr="00690C5C">
              <w:t>0.863</w:t>
            </w:r>
          </w:p>
        </w:tc>
        <w:tc>
          <w:tcPr>
            <w:tcW w:w="806" w:type="pct"/>
            <w:vAlign w:val="top"/>
          </w:tcPr>
          <w:p w:rsidR="006352DB" w:rsidRDefault="006352DB" w:rsidP="00230668">
            <w:pPr>
              <w:cnfStyle w:val="000000000000" w:firstRow="0" w:lastRow="0" w:firstColumn="0" w:lastColumn="0" w:oddVBand="0" w:evenVBand="0" w:oddHBand="0" w:evenHBand="0" w:firstRowFirstColumn="0" w:firstRowLastColumn="0" w:lastRowFirstColumn="0" w:lastRowLastColumn="0"/>
              <w:rPr>
                <w:b/>
                <w:bCs/>
              </w:rPr>
            </w:pPr>
            <w:r w:rsidRPr="00624BFE">
              <w:t>-3.8%</w:t>
            </w:r>
          </w:p>
        </w:tc>
      </w:tr>
    </w:tbl>
    <w:p w:rsidR="00204532" w:rsidRDefault="00BB0949" w:rsidP="00BB0949">
      <w:r>
        <w:lastRenderedPageBreak/>
        <w:t xml:space="preserve">The rankings in this table are indicative only because, as outlined in section </w:t>
      </w:r>
      <w:r>
        <w:fldChar w:fldCharType="begin"/>
      </w:r>
      <w:r>
        <w:instrText xml:space="preserve"> REF _Ref435609895 \r \h </w:instrText>
      </w:r>
      <w:r>
        <w:fldChar w:fldCharType="separate"/>
      </w:r>
      <w:r w:rsidR="00EF5714">
        <w:t>2.4</w:t>
      </w:r>
      <w:r>
        <w:fldChar w:fldCharType="end"/>
      </w:r>
      <w:r>
        <w:t xml:space="preserve">, there may be other operating environment variables not captured in the </w:t>
      </w:r>
      <w:r w:rsidR="00204532">
        <w:t xml:space="preserve">MTFP </w:t>
      </w:r>
      <w:r>
        <w:t xml:space="preserve">model. </w:t>
      </w:r>
    </w:p>
    <w:p w:rsidR="00E63EFB" w:rsidRDefault="00204532" w:rsidP="00550989">
      <w:r>
        <w:fldChar w:fldCharType="begin"/>
      </w:r>
      <w:r>
        <w:instrText xml:space="preserve"> REF _Ref432692634 \h </w:instrText>
      </w:r>
      <w:r>
        <w:fldChar w:fldCharType="separate"/>
      </w:r>
      <w:r w:rsidR="00EF5714" w:rsidRPr="00B33BF0">
        <w:t xml:space="preserve">Table </w:t>
      </w:r>
      <w:r w:rsidR="00EF5714">
        <w:rPr>
          <w:noProof/>
        </w:rPr>
        <w:t>1</w:t>
      </w:r>
      <w:r>
        <w:fldChar w:fldCharType="end"/>
      </w:r>
      <w:r>
        <w:t xml:space="preserve"> also shows the percentage change in score between 2013 and 2014. </w:t>
      </w:r>
      <w:r w:rsidR="00341258">
        <w:t xml:space="preserve">The last column in </w:t>
      </w:r>
      <w:r w:rsidR="00E63EFB">
        <w:fldChar w:fldCharType="begin"/>
      </w:r>
      <w:r w:rsidR="00E63EFB">
        <w:instrText xml:space="preserve"> REF _Ref432692634 \h </w:instrText>
      </w:r>
      <w:r w:rsidR="00E63EFB">
        <w:fldChar w:fldCharType="separate"/>
      </w:r>
      <w:r w:rsidR="00EF5714" w:rsidRPr="00B33BF0">
        <w:t xml:space="preserve">Table </w:t>
      </w:r>
      <w:r w:rsidR="00EF5714">
        <w:rPr>
          <w:noProof/>
        </w:rPr>
        <w:t>1</w:t>
      </w:r>
      <w:r w:rsidR="00E63EFB">
        <w:fldChar w:fldCharType="end"/>
      </w:r>
      <w:r w:rsidR="00E63EFB">
        <w:t xml:space="preserve"> shows the only DNSPs who have improved their productivity between 2013 and 2014 are Energex</w:t>
      </w:r>
      <w:r w:rsidR="00185ED6">
        <w:t>, Ergon Energy,</w:t>
      </w:r>
      <w:r w:rsidR="00E63EFB">
        <w:t xml:space="preserve"> and Essential</w:t>
      </w:r>
      <w:r w:rsidR="003C2C18">
        <w:t xml:space="preserve"> Energy</w:t>
      </w:r>
      <w:r w:rsidR="00341258">
        <w:t>.</w:t>
      </w:r>
      <w:r w:rsidR="00185ED6">
        <w:t xml:space="preserve"> Both Ergon </w:t>
      </w:r>
      <w:r w:rsidR="0004177A">
        <w:t xml:space="preserve">Energy </w:t>
      </w:r>
      <w:r w:rsidR="00185ED6">
        <w:t>and</w:t>
      </w:r>
      <w:r w:rsidR="00341258">
        <w:t xml:space="preserve"> Essential Energy</w:t>
      </w:r>
      <w:r w:rsidR="00027848">
        <w:t xml:space="preserve"> </w:t>
      </w:r>
      <w:r w:rsidR="00185ED6">
        <w:t xml:space="preserve">have </w:t>
      </w:r>
      <w:r w:rsidR="00027848">
        <w:t xml:space="preserve">improved </w:t>
      </w:r>
      <w:r w:rsidR="00185ED6">
        <w:t>their</w:t>
      </w:r>
      <w:r w:rsidR="00027848">
        <w:t xml:space="preserve"> performance for the second consecutive year</w:t>
      </w:r>
      <w:r w:rsidR="00E63EFB">
        <w:t>.</w:t>
      </w:r>
    </w:p>
    <w:p w:rsidR="00027848" w:rsidRDefault="00550989" w:rsidP="00550989">
      <w:r>
        <w:t xml:space="preserve">All other </w:t>
      </w:r>
      <w:r w:rsidR="00E63EFB">
        <w:t xml:space="preserve">DNSPs’ </w:t>
      </w:r>
      <w:r>
        <w:t>MTFP performance decreased</w:t>
      </w:r>
      <w:r w:rsidR="00E056BF">
        <w:t xml:space="preserve"> in 2014</w:t>
      </w:r>
      <w:r>
        <w:t xml:space="preserve">. </w:t>
      </w:r>
      <w:r w:rsidR="00185ED6">
        <w:t>ActewAGL</w:t>
      </w:r>
      <w:r>
        <w:t xml:space="preserve"> had the largest decrease in pro</w:t>
      </w:r>
      <w:r w:rsidR="00185ED6">
        <w:t>ductivity, with a decrease of 6</w:t>
      </w:r>
      <w:r w:rsidR="00E63EFB">
        <w:t>%</w:t>
      </w:r>
      <w:r>
        <w:t>.</w:t>
      </w:r>
      <w:r w:rsidR="00E63EFB">
        <w:t xml:space="preserve"> However, SA Power Networks (</w:t>
      </w:r>
      <w:r w:rsidR="00C34FCD">
        <w:noBreakHyphen/>
      </w:r>
      <w:r w:rsidR="00E63EFB">
        <w:t>4.3%), AusNet Services (</w:t>
      </w:r>
      <w:r w:rsidR="00C34FCD">
        <w:t>-</w:t>
      </w:r>
      <w:r w:rsidR="00E63EFB">
        <w:t>4.6%), Ausgrid (</w:t>
      </w:r>
      <w:r w:rsidR="00C34FCD">
        <w:t>-</w:t>
      </w:r>
      <w:r w:rsidR="00185ED6">
        <w:t>5.8</w:t>
      </w:r>
      <w:r w:rsidR="00E63EFB">
        <w:t xml:space="preserve">%) and </w:t>
      </w:r>
      <w:r w:rsidR="00185ED6">
        <w:t>TasNetworks</w:t>
      </w:r>
      <w:r w:rsidR="00E63EFB">
        <w:t xml:space="preserve"> (</w:t>
      </w:r>
      <w:r w:rsidR="00C34FCD">
        <w:t>-</w:t>
      </w:r>
      <w:r w:rsidR="00185ED6">
        <w:t>3.8</w:t>
      </w:r>
      <w:r w:rsidR="00E63EFB">
        <w:t>%) all exhibited significant reductions in productivity.</w:t>
      </w:r>
    </w:p>
    <w:p w:rsidR="008A7BEA" w:rsidRDefault="003367D3" w:rsidP="008A7BEA">
      <w:pPr>
        <w:pStyle w:val="Heading1"/>
      </w:pPr>
      <w:bookmarkStart w:id="21" w:name="_Ref432605896"/>
      <w:bookmarkStart w:id="22" w:name="_Ref432607030"/>
      <w:bookmarkStart w:id="23" w:name="_Toc435712626"/>
      <w:r>
        <w:lastRenderedPageBreak/>
        <w:t>Results from s</w:t>
      </w:r>
      <w:r w:rsidR="008A7BEA">
        <w:t>upporting techniques</w:t>
      </w:r>
      <w:bookmarkEnd w:id="21"/>
      <w:bookmarkEnd w:id="22"/>
      <w:bookmarkEnd w:id="23"/>
    </w:p>
    <w:p w:rsidR="003367D3" w:rsidRPr="003367D3" w:rsidRDefault="00E9500F" w:rsidP="003367D3">
      <w:r>
        <w:t>For the purposes of this report, t</w:t>
      </w:r>
      <w:r w:rsidR="00410D80">
        <w:t>he</w:t>
      </w:r>
      <w:r w:rsidR="00CD0A5D">
        <w:t xml:space="preserve"> techniques </w:t>
      </w:r>
      <w:r w:rsidR="00410D80">
        <w:t xml:space="preserve">presented in this section </w:t>
      </w:r>
      <w:r w:rsidR="00CD0A5D">
        <w:t>support the MTFP results because they either</w:t>
      </w:r>
      <w:r w:rsidR="00752242">
        <w:t xml:space="preserve"> </w:t>
      </w:r>
      <w:r w:rsidR="00CD0A5D">
        <w:t xml:space="preserve">measure relative efficiency </w:t>
      </w:r>
      <w:r w:rsidR="0003240E">
        <w:t xml:space="preserve">of one </w:t>
      </w:r>
      <w:r>
        <w:t>input</w:t>
      </w:r>
      <w:r w:rsidR="0003240E">
        <w:t xml:space="preserve"> (MPFP, econometric models) or </w:t>
      </w:r>
      <w:r w:rsidR="003A0FCC">
        <w:t xml:space="preserve">provide a </w:t>
      </w:r>
      <w:r w:rsidR="003C2C18">
        <w:t xml:space="preserve">general </w:t>
      </w:r>
      <w:r w:rsidR="003A0FCC">
        <w:t>indication of comparative performance (PPIs).</w:t>
      </w:r>
      <w:r w:rsidR="00752242">
        <w:t xml:space="preserve"> T</w:t>
      </w:r>
      <w:r>
        <w:t>hey are</w:t>
      </w:r>
      <w:r w:rsidR="00752242">
        <w:t>, however,</w:t>
      </w:r>
      <w:r>
        <w:t xml:space="preserve"> useful for assessing relative efficiency</w:t>
      </w:r>
      <w:r w:rsidR="00752242">
        <w:t xml:space="preserve"> and we use all of them in our distribution determinations</w:t>
      </w:r>
      <w:r>
        <w:t>.</w:t>
      </w:r>
    </w:p>
    <w:p w:rsidR="008A7BEA" w:rsidRDefault="008A7BEA" w:rsidP="008A7BEA">
      <w:pPr>
        <w:pStyle w:val="Heading2"/>
      </w:pPr>
      <w:bookmarkStart w:id="24" w:name="_Ref432694081"/>
      <w:r>
        <w:t>Multilateral partial factor productivity</w:t>
      </w:r>
      <w:bookmarkEnd w:id="24"/>
    </w:p>
    <w:p w:rsidR="003A0FCC" w:rsidRDefault="003A0FCC" w:rsidP="003367D3">
      <w:r>
        <w:t xml:space="preserve">The </w:t>
      </w:r>
      <w:r w:rsidR="003367D3">
        <w:t xml:space="preserve">MPFP </w:t>
      </w:r>
      <w:r>
        <w:t xml:space="preserve">techniques use the same output specification (energy delivered, customer numbers, circuit length, ratcheted maximum demand and reliability) but examine the productivity of either opex or capital </w:t>
      </w:r>
      <w:r w:rsidR="00027848">
        <w:t>in isolation</w:t>
      </w:r>
      <w:r>
        <w:t xml:space="preserve"> (rather than both). </w:t>
      </w:r>
      <w:r w:rsidR="00261DDF">
        <w:t xml:space="preserve">This is why they are ‘partial’ factor productivity metrics. </w:t>
      </w:r>
    </w:p>
    <w:p w:rsidR="003367D3" w:rsidRDefault="00261DDF" w:rsidP="003367D3">
      <w:r>
        <w:fldChar w:fldCharType="begin"/>
      </w:r>
      <w:r>
        <w:instrText xml:space="preserve"> REF _Ref404162208 \h </w:instrText>
      </w:r>
      <w:r>
        <w:fldChar w:fldCharType="separate"/>
      </w:r>
      <w:r w:rsidR="00EF5714">
        <w:t xml:space="preserve">Figure </w:t>
      </w:r>
      <w:r w:rsidR="00EF5714">
        <w:rPr>
          <w:noProof/>
        </w:rPr>
        <w:t>5</w:t>
      </w:r>
      <w:r>
        <w:fldChar w:fldCharType="end"/>
      </w:r>
      <w:r>
        <w:t xml:space="preserve"> </w:t>
      </w:r>
      <w:r w:rsidR="00E9500F">
        <w:t>displays</w:t>
      </w:r>
      <w:r w:rsidR="003A0FCC">
        <w:t xml:space="preserve"> capital MPFP</w:t>
      </w:r>
      <w:r>
        <w:t xml:space="preserve"> for all DNSPs over the 2006–14 period. </w:t>
      </w:r>
      <w:r w:rsidR="00594D3B">
        <w:t>The input</w:t>
      </w:r>
      <w:r>
        <w:t xml:space="preserve"> specification </w:t>
      </w:r>
      <w:r w:rsidR="00594D3B">
        <w:t>is the same as</w:t>
      </w:r>
      <w:r>
        <w:t xml:space="preserve"> the capital index in the MTFP model</w:t>
      </w:r>
      <w:r w:rsidR="00594D3B">
        <w:t xml:space="preserve"> so </w:t>
      </w:r>
      <w:r>
        <w:t>it</w:t>
      </w:r>
      <w:r w:rsidR="003A0FCC">
        <w:t xml:space="preserve"> </w:t>
      </w:r>
      <w:r w:rsidR="00594D3B">
        <w:t xml:space="preserve">simultaneously </w:t>
      </w:r>
      <w:r w:rsidR="003367D3">
        <w:t xml:space="preserve">considers the productivity </w:t>
      </w:r>
      <w:r w:rsidR="00594D3B">
        <w:t xml:space="preserve">of each DNSP’s use </w:t>
      </w:r>
      <w:r w:rsidR="003367D3">
        <w:t xml:space="preserve">of overhead lines and underground cables </w:t>
      </w:r>
      <w:r w:rsidR="00594D3B">
        <w:t>(split into distribution and subtransmission voltages) and transformers and other capital</w:t>
      </w:r>
      <w:r w:rsidR="003367D3">
        <w:t xml:space="preserve">. </w:t>
      </w:r>
    </w:p>
    <w:p w:rsidR="003367D3" w:rsidRDefault="003367D3" w:rsidP="00A75AB2">
      <w:pPr>
        <w:pStyle w:val="Caption"/>
      </w:pPr>
      <w:bookmarkStart w:id="25" w:name="_Ref404162208"/>
      <w:r>
        <w:t xml:space="preserve">Figure </w:t>
      </w:r>
      <w:r w:rsidRPr="00F50135">
        <w:fldChar w:fldCharType="begin"/>
      </w:r>
      <w:r>
        <w:instrText xml:space="preserve"> SEQ Figure \* ARABIC </w:instrText>
      </w:r>
      <w:r w:rsidRPr="00F50135">
        <w:fldChar w:fldCharType="separate"/>
      </w:r>
      <w:r w:rsidR="00EF5714">
        <w:rPr>
          <w:noProof/>
        </w:rPr>
        <w:t>5</w:t>
      </w:r>
      <w:r w:rsidRPr="00F50135">
        <w:fldChar w:fldCharType="end"/>
      </w:r>
      <w:bookmarkEnd w:id="25"/>
      <w:r>
        <w:tab/>
      </w:r>
      <w:r w:rsidR="003A0FCC">
        <w:t>Capital partial factor productivity for 2006–14</w:t>
      </w:r>
    </w:p>
    <w:p w:rsidR="003367D3" w:rsidRDefault="006352DB" w:rsidP="003F0D05">
      <w:bookmarkStart w:id="26" w:name="_Ref404162237"/>
      <w:r w:rsidRPr="006352DB">
        <w:rPr>
          <w:noProof/>
          <w:lang w:eastAsia="en-AU"/>
        </w:rPr>
        <w:drawing>
          <wp:anchor distT="0" distB="0" distL="114300" distR="114300" simplePos="0" relativeHeight="251661312" behindDoc="0" locked="0" layoutInCell="1" allowOverlap="1" wp14:anchorId="3553020A" wp14:editId="4C8218A4">
            <wp:simplePos x="0" y="0"/>
            <wp:positionH relativeFrom="column">
              <wp:posOffset>152400</wp:posOffset>
            </wp:positionH>
            <wp:positionV relativeFrom="paragraph">
              <wp:posOffset>152400</wp:posOffset>
            </wp:positionV>
            <wp:extent cx="5223014" cy="31680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3014" cy="316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67D3" w:rsidRDefault="00410D80" w:rsidP="003367D3">
      <w:r>
        <w:fldChar w:fldCharType="begin"/>
      </w:r>
      <w:r>
        <w:instrText xml:space="preserve"> REF _Ref404162208 \h </w:instrText>
      </w:r>
      <w:r>
        <w:fldChar w:fldCharType="separate"/>
      </w:r>
      <w:r w:rsidR="00EF5714">
        <w:t xml:space="preserve">Figure </w:t>
      </w:r>
      <w:r w:rsidR="00EF5714">
        <w:rPr>
          <w:noProof/>
        </w:rPr>
        <w:t>5</w:t>
      </w:r>
      <w:r>
        <w:fldChar w:fldCharType="end"/>
      </w:r>
      <w:r w:rsidR="003367D3">
        <w:t xml:space="preserve"> shows that the capital productivity for all </w:t>
      </w:r>
      <w:r w:rsidR="003F0D05">
        <w:t xml:space="preserve">DNSPs </w:t>
      </w:r>
      <w:r w:rsidR="003367D3">
        <w:t xml:space="preserve">except for Essential </w:t>
      </w:r>
      <w:r w:rsidR="0004177A">
        <w:t xml:space="preserve">Energy </w:t>
      </w:r>
      <w:r w:rsidR="003367D3">
        <w:t xml:space="preserve">has declined between 2013 and 2014. </w:t>
      </w:r>
      <w:r w:rsidR="00E9500F">
        <w:t xml:space="preserve">There is a general downward trend in </w:t>
      </w:r>
      <w:r w:rsidR="00065C7B">
        <w:t>capit</w:t>
      </w:r>
      <w:r w:rsidR="005A53E2">
        <w:t>a</w:t>
      </w:r>
      <w:r w:rsidR="00065C7B">
        <w:t xml:space="preserve">l </w:t>
      </w:r>
      <w:r w:rsidR="00E9500F">
        <w:t xml:space="preserve">productivity, but for several DNSPs, the rate of </w:t>
      </w:r>
      <w:r w:rsidR="00065C7B">
        <w:t xml:space="preserve">capital </w:t>
      </w:r>
      <w:r w:rsidR="00E9500F">
        <w:t xml:space="preserve">productivity decline is more modest than observed for MTFP in </w:t>
      </w:r>
      <w:r w:rsidR="00E9500F">
        <w:fldChar w:fldCharType="begin"/>
      </w:r>
      <w:r w:rsidR="00E9500F">
        <w:instrText xml:space="preserve"> REF _Ref432690569 \h </w:instrText>
      </w:r>
      <w:r w:rsidR="00E9500F">
        <w:fldChar w:fldCharType="separate"/>
      </w:r>
      <w:r w:rsidR="00EF5714">
        <w:t xml:space="preserve">Figure </w:t>
      </w:r>
      <w:r w:rsidR="00EF5714">
        <w:rPr>
          <w:noProof/>
        </w:rPr>
        <w:t>4</w:t>
      </w:r>
      <w:r w:rsidR="00E9500F">
        <w:fldChar w:fldCharType="end"/>
      </w:r>
      <w:r w:rsidR="00E9500F">
        <w:t>.</w:t>
      </w:r>
      <w:r w:rsidR="003F0D05">
        <w:t xml:space="preserve"> </w:t>
      </w:r>
    </w:p>
    <w:p w:rsidR="003367D3" w:rsidRDefault="00410D80" w:rsidP="003367D3">
      <w:r>
        <w:lastRenderedPageBreak/>
        <w:fldChar w:fldCharType="begin"/>
      </w:r>
      <w:r>
        <w:instrText xml:space="preserve"> REF _Ref429654538 \h </w:instrText>
      </w:r>
      <w:r>
        <w:fldChar w:fldCharType="separate"/>
      </w:r>
      <w:r w:rsidR="00EF5714">
        <w:t xml:space="preserve">Figure </w:t>
      </w:r>
      <w:r w:rsidR="00EF5714">
        <w:rPr>
          <w:noProof/>
        </w:rPr>
        <w:t>6</w:t>
      </w:r>
      <w:r>
        <w:fldChar w:fldCharType="end"/>
      </w:r>
      <w:r w:rsidR="003367D3">
        <w:t xml:space="preserve"> </w:t>
      </w:r>
      <w:r w:rsidR="00E9500F">
        <w:t>displays</w:t>
      </w:r>
      <w:r w:rsidR="003367D3">
        <w:t xml:space="preserve"> opex MPFP</w:t>
      </w:r>
      <w:r w:rsidR="00E9500F">
        <w:t xml:space="preserve"> for all DNSPs over the same period</w:t>
      </w:r>
      <w:r w:rsidR="003367D3">
        <w:t xml:space="preserve">. </w:t>
      </w:r>
      <w:r w:rsidR="00752242">
        <w:t xml:space="preserve">It demonstrates </w:t>
      </w:r>
      <w:r w:rsidR="00DD499B">
        <w:t>a significant decline in productivity over the period for some DNSPs, including CitiPower and SA Power Networks. Ergon</w:t>
      </w:r>
      <w:r w:rsidR="003C2C18">
        <w:t xml:space="preserve"> Energy</w:t>
      </w:r>
      <w:r w:rsidR="00DD499B">
        <w:t>, on the other hand, has improved since the beginning of the period.</w:t>
      </w:r>
    </w:p>
    <w:p w:rsidR="003367D3" w:rsidRDefault="003367D3" w:rsidP="00A75AB2">
      <w:pPr>
        <w:pStyle w:val="Caption"/>
      </w:pPr>
      <w:bookmarkStart w:id="27" w:name="_Ref429654538"/>
      <w:r>
        <w:t xml:space="preserve">Figure </w:t>
      </w:r>
      <w:r w:rsidRPr="00F50135">
        <w:fldChar w:fldCharType="begin"/>
      </w:r>
      <w:r>
        <w:instrText xml:space="preserve"> SEQ Figure \* ARABIC </w:instrText>
      </w:r>
      <w:r w:rsidRPr="00F50135">
        <w:fldChar w:fldCharType="separate"/>
      </w:r>
      <w:r w:rsidR="00EF5714">
        <w:rPr>
          <w:noProof/>
        </w:rPr>
        <w:t>6</w:t>
      </w:r>
      <w:r w:rsidRPr="00F50135">
        <w:fldChar w:fldCharType="end"/>
      </w:r>
      <w:bookmarkEnd w:id="26"/>
      <w:bookmarkEnd w:id="27"/>
      <w:r w:rsidR="00410D80">
        <w:tab/>
        <w:t>Opex partial factor productivity for 2006–14</w:t>
      </w:r>
    </w:p>
    <w:p w:rsidR="003367D3" w:rsidRPr="0069742C" w:rsidRDefault="006352DB" w:rsidP="009C6743">
      <w:pPr>
        <w:jc w:val="center"/>
      </w:pPr>
      <w:r w:rsidRPr="006352DB">
        <w:rPr>
          <w:noProof/>
          <w:lang w:eastAsia="en-AU"/>
        </w:rPr>
        <w:drawing>
          <wp:inline distT="0" distB="0" distL="0" distR="0" wp14:anchorId="35F831B5" wp14:editId="0D97B656">
            <wp:extent cx="5223014" cy="3168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3014" cy="3168000"/>
                    </a:xfrm>
                    <a:prstGeom prst="rect">
                      <a:avLst/>
                    </a:prstGeom>
                    <a:noFill/>
                    <a:ln>
                      <a:noFill/>
                    </a:ln>
                  </pic:spPr>
                </pic:pic>
              </a:graphicData>
            </a:graphic>
          </wp:inline>
        </w:drawing>
      </w:r>
    </w:p>
    <w:p w:rsidR="00BA2790" w:rsidRDefault="003367D3" w:rsidP="003367D3">
      <w:r>
        <w:t xml:space="preserve">The ranking of the </w:t>
      </w:r>
      <w:r w:rsidR="00752242">
        <w:t>DNSPs</w:t>
      </w:r>
      <w:r>
        <w:t xml:space="preserve"> change</w:t>
      </w:r>
      <w:r w:rsidR="00FC20AC">
        <w:t>s</w:t>
      </w:r>
      <w:r>
        <w:t xml:space="preserve"> somewhat under the two MPFP results</w:t>
      </w:r>
      <w:r w:rsidR="00DD499B">
        <w:t>, which reflects differing input combinations.</w:t>
      </w:r>
      <w:r>
        <w:t xml:space="preserve"> </w:t>
      </w:r>
      <w:r w:rsidR="00DD499B">
        <w:t xml:space="preserve">Powercor and TasNetworks are two pertinent examples. Both DNSPs perform </w:t>
      </w:r>
      <w:r w:rsidR="00FC20AC">
        <w:t xml:space="preserve">relatively </w:t>
      </w:r>
      <w:r w:rsidR="00DD499B">
        <w:t xml:space="preserve">poorly on capital MPFP but are among the top five performers for opex MPFP. </w:t>
      </w:r>
      <w:r w:rsidR="00FC20AC">
        <w:t>This suggests they are more efficient with their use of opex than with capital.</w:t>
      </w:r>
      <w:r w:rsidR="0004177A">
        <w:t xml:space="preserve"> </w:t>
      </w:r>
    </w:p>
    <w:p w:rsidR="003367D3" w:rsidRDefault="0004177A" w:rsidP="003367D3">
      <w:r>
        <w:t xml:space="preserve">CitiPower and United Energy are solid performers on </w:t>
      </w:r>
      <w:r w:rsidR="00483361">
        <w:t xml:space="preserve">the opex and the capital </w:t>
      </w:r>
      <w:r w:rsidR="00BA2790">
        <w:t>MPFP measures</w:t>
      </w:r>
      <w:r w:rsidR="006959E3">
        <w:t>. Essential Energy has improved its performance on both measures but remains below most of its peers</w:t>
      </w:r>
      <w:r w:rsidR="00483361">
        <w:t xml:space="preserve"> in 2014</w:t>
      </w:r>
      <w:r w:rsidR="006959E3">
        <w:t>. On opex MPFP in particular, however, the field has narrowed significantly in the last two years due to improvements from Essential Energy, Ergon Energy and Energex. ActewAGL is showing no sign of improvement on opex MPFP, with it exhibiting a decline in 2014 but its performance on capex MPFP is slightly more favourable.</w:t>
      </w:r>
    </w:p>
    <w:p w:rsidR="008A7BEA" w:rsidRDefault="008A7BEA" w:rsidP="008A7BEA">
      <w:pPr>
        <w:pStyle w:val="Heading2"/>
      </w:pPr>
      <w:bookmarkStart w:id="28" w:name="_Ref436386204"/>
      <w:r>
        <w:t xml:space="preserve">Econometric </w:t>
      </w:r>
      <w:r w:rsidR="00A9620B">
        <w:t xml:space="preserve">opex </w:t>
      </w:r>
      <w:r>
        <w:t>modelling</w:t>
      </w:r>
      <w:bookmarkEnd w:id="28"/>
    </w:p>
    <w:p w:rsidR="003367D3" w:rsidRDefault="00AC4413" w:rsidP="003367D3">
      <w:r>
        <w:t>This section presents the</w:t>
      </w:r>
      <w:r w:rsidR="00FC20AC">
        <w:t xml:space="preserve"> results of </w:t>
      </w:r>
      <w:r>
        <w:t xml:space="preserve">the </w:t>
      </w:r>
      <w:r w:rsidR="00FC20AC">
        <w:t xml:space="preserve">three econometric models </w:t>
      </w:r>
      <w:r>
        <w:t>developed by Economic Insights:</w:t>
      </w:r>
    </w:p>
    <w:p w:rsidR="00AC4413" w:rsidRDefault="00AC4413" w:rsidP="00AC4413">
      <w:pPr>
        <w:pStyle w:val="AERbulletlistfirststyle"/>
      </w:pPr>
      <w:r>
        <w:t>Cobb-Douglas stochastic frontier analysis (SFA)</w:t>
      </w:r>
    </w:p>
    <w:p w:rsidR="00AC4413" w:rsidRDefault="00AC4413" w:rsidP="00AC4413">
      <w:pPr>
        <w:pStyle w:val="AERbulletlistfirststyle"/>
      </w:pPr>
      <w:r>
        <w:t>Translog least squares econometrics (LSE)</w:t>
      </w:r>
    </w:p>
    <w:p w:rsidR="00AC4413" w:rsidRDefault="00AC4413" w:rsidP="00AC4413">
      <w:pPr>
        <w:pStyle w:val="AERbulletlistfirststyle"/>
      </w:pPr>
      <w:r>
        <w:t>Cobb-Douglas LSE.</w:t>
      </w:r>
    </w:p>
    <w:p w:rsidR="00A9620B" w:rsidRDefault="007344B8" w:rsidP="00AC4413">
      <w:r>
        <w:lastRenderedPageBreak/>
        <w:t>These models measure the efficiency of opex only</w:t>
      </w:r>
      <w:r w:rsidR="006959E3">
        <w:t xml:space="preserve"> and were developed for assessing </w:t>
      </w:r>
      <w:r w:rsidR="00F91E22">
        <w:t xml:space="preserve">the efficiency of </w:t>
      </w:r>
      <w:r w:rsidR="006959E3">
        <w:t>DNSPs’ opex proposals in recent distribution determinations</w:t>
      </w:r>
      <w:r>
        <w:t xml:space="preserve">. </w:t>
      </w:r>
      <w:r w:rsidR="00AC4413">
        <w:t>Each model uses the same specification</w:t>
      </w:r>
      <w:r w:rsidR="00A9620B">
        <w:t xml:space="preserve">. It compares opex as </w:t>
      </w:r>
      <w:r w:rsidR="0012282C">
        <w:t>the</w:t>
      </w:r>
      <w:r w:rsidR="00A9620B">
        <w:t xml:space="preserve"> input to </w:t>
      </w:r>
      <w:r w:rsidR="00544B49">
        <w:t>multiple</w:t>
      </w:r>
      <w:r w:rsidR="00A9620B">
        <w:t xml:space="preserve"> output</w:t>
      </w:r>
      <w:r w:rsidR="00544B49">
        <w:t>s</w:t>
      </w:r>
      <w:r w:rsidR="00A9620B">
        <w:t xml:space="preserve"> </w:t>
      </w:r>
      <w:r w:rsidR="00544B49">
        <w:t>(</w:t>
      </w:r>
      <w:r w:rsidR="00A9620B">
        <w:t>customer numbers, circuit length and ratcheted maximum demand</w:t>
      </w:r>
      <w:r w:rsidR="00544B49">
        <w:t>)</w:t>
      </w:r>
      <w:r w:rsidR="00A9620B">
        <w:t xml:space="preserve">. This </w:t>
      </w:r>
      <w:r w:rsidR="00544B49">
        <w:t xml:space="preserve">output specification </w:t>
      </w:r>
      <w:r w:rsidR="00A9620B">
        <w:t xml:space="preserve">differs from </w:t>
      </w:r>
      <w:r w:rsidR="00544B49">
        <w:t xml:space="preserve">that used in </w:t>
      </w:r>
      <w:r w:rsidR="00A9620B">
        <w:t>MTFP</w:t>
      </w:r>
      <w:r w:rsidR="00544B49">
        <w:t xml:space="preserve"> and MPFP</w:t>
      </w:r>
      <w:r w:rsidR="00A9620B">
        <w:t xml:space="preserve"> because it does not include energy delivered or reliability. However, the </w:t>
      </w:r>
      <w:r w:rsidR="008E279B">
        <w:t xml:space="preserve">econometric </w:t>
      </w:r>
      <w:r w:rsidR="00A9620B">
        <w:t xml:space="preserve">model specification includes the proportion of network underground as an operating </w:t>
      </w:r>
      <w:r w:rsidR="0012282C">
        <w:t xml:space="preserve">environment </w:t>
      </w:r>
      <w:r w:rsidR="00A9620B">
        <w:t>factor.</w:t>
      </w:r>
    </w:p>
    <w:p w:rsidR="00AC4413" w:rsidRDefault="00A9620B" w:rsidP="00AC4413">
      <w:r>
        <w:t xml:space="preserve">Where each model differs is </w:t>
      </w:r>
      <w:r w:rsidR="008E279B">
        <w:t xml:space="preserve">its </w:t>
      </w:r>
      <w:r>
        <w:t>function</w:t>
      </w:r>
      <w:r w:rsidR="008E279B">
        <w:t>al</w:t>
      </w:r>
      <w:r>
        <w:t xml:space="preserve"> form or estimation method. </w:t>
      </w:r>
      <w:r w:rsidR="008E279B">
        <w:t xml:space="preserve">Cobb-Douglas and translog are different functional forms. SFA and LSE are different estimation methods. </w:t>
      </w:r>
      <w:r w:rsidR="00544B49">
        <w:fldChar w:fldCharType="begin"/>
      </w:r>
      <w:r w:rsidR="00544B49">
        <w:instrText xml:space="preserve"> REF _Ref432773728 \h </w:instrText>
      </w:r>
      <w:r w:rsidR="00544B49">
        <w:fldChar w:fldCharType="separate"/>
      </w:r>
      <w:r w:rsidR="00EF5714">
        <w:t xml:space="preserve">Figure </w:t>
      </w:r>
      <w:r w:rsidR="00EF5714">
        <w:rPr>
          <w:noProof/>
        </w:rPr>
        <w:t>7</w:t>
      </w:r>
      <w:r w:rsidR="00544B49">
        <w:fldChar w:fldCharType="end"/>
      </w:r>
      <w:r w:rsidR="00544B49">
        <w:t xml:space="preserve"> presents the results from the three econometric models and the opex MPFP model from the previous section.</w:t>
      </w:r>
    </w:p>
    <w:p w:rsidR="00C8689D" w:rsidRPr="00C8689D" w:rsidRDefault="008E279B" w:rsidP="00A75AB2">
      <w:pPr>
        <w:pStyle w:val="Caption"/>
        <w:rPr>
          <w:rStyle w:val="AERtexthighlight"/>
        </w:rPr>
      </w:pPr>
      <w:bookmarkStart w:id="29" w:name="_Ref432773728"/>
      <w:r>
        <w:t xml:space="preserve">Figure </w:t>
      </w:r>
      <w:r w:rsidRPr="00F50135">
        <w:fldChar w:fldCharType="begin"/>
      </w:r>
      <w:r>
        <w:instrText xml:space="preserve"> SEQ Figure \* ARABIC </w:instrText>
      </w:r>
      <w:r w:rsidRPr="00F50135">
        <w:fldChar w:fldCharType="separate"/>
      </w:r>
      <w:r w:rsidR="00EF5714">
        <w:rPr>
          <w:noProof/>
        </w:rPr>
        <w:t>7</w:t>
      </w:r>
      <w:r w:rsidRPr="00F50135">
        <w:fldChar w:fldCharType="end"/>
      </w:r>
      <w:bookmarkEnd w:id="29"/>
      <w:r>
        <w:tab/>
        <w:t>Econometric modelling and opex</w:t>
      </w:r>
      <w:r w:rsidR="0012282C">
        <w:t xml:space="preserve"> MPFP results</w:t>
      </w:r>
      <w:r>
        <w:t xml:space="preserve"> </w:t>
      </w:r>
      <w:r w:rsidR="0012282C">
        <w:t>(</w:t>
      </w:r>
      <w:r>
        <w:t>2006</w:t>
      </w:r>
      <w:r w:rsidR="00C91B9E">
        <w:t>–</w:t>
      </w:r>
      <w:r>
        <w:t>14</w:t>
      </w:r>
      <w:r w:rsidR="0012282C">
        <w:t xml:space="preserve"> average)</w:t>
      </w:r>
      <w:r w:rsidR="00B34050">
        <w:t xml:space="preserve"> </w:t>
      </w:r>
    </w:p>
    <w:p w:rsidR="006959E3" w:rsidRDefault="006959E3" w:rsidP="003367D3">
      <w:r w:rsidRPr="00C4389D">
        <w:rPr>
          <w:noProof/>
          <w:lang w:eastAsia="en-AU"/>
        </w:rPr>
        <w:drawing>
          <wp:inline distT="0" distB="0" distL="0" distR="0" wp14:anchorId="103AC2F5" wp14:editId="3955EFF2">
            <wp:extent cx="5093970" cy="29127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3970" cy="2912745"/>
                    </a:xfrm>
                    <a:prstGeom prst="rect">
                      <a:avLst/>
                    </a:prstGeom>
                    <a:noFill/>
                    <a:ln>
                      <a:noFill/>
                    </a:ln>
                  </pic:spPr>
                </pic:pic>
              </a:graphicData>
            </a:graphic>
          </wp:inline>
        </w:drawing>
      </w:r>
    </w:p>
    <w:p w:rsidR="00AC4413" w:rsidRDefault="00544B49" w:rsidP="003367D3">
      <w:r>
        <w:t xml:space="preserve">The results in </w:t>
      </w:r>
      <w:r>
        <w:fldChar w:fldCharType="begin"/>
      </w:r>
      <w:r>
        <w:instrText xml:space="preserve"> REF _Ref432773728 \h </w:instrText>
      </w:r>
      <w:r>
        <w:fldChar w:fldCharType="separate"/>
      </w:r>
      <w:r w:rsidR="00EF5714">
        <w:t xml:space="preserve">Figure </w:t>
      </w:r>
      <w:r w:rsidR="00EF5714">
        <w:rPr>
          <w:noProof/>
        </w:rPr>
        <w:t>7</w:t>
      </w:r>
      <w:r>
        <w:fldChar w:fldCharType="end"/>
      </w:r>
      <w:r>
        <w:t xml:space="preserve"> are the average efficiency scores for the 2006–14 period.</w:t>
      </w:r>
      <w:r w:rsidR="00C04325">
        <w:t xml:space="preserve"> </w:t>
      </w:r>
      <w:r w:rsidR="00A92C5C">
        <w:t>A score of 1.0 is the highest possible score</w:t>
      </w:r>
      <w:r w:rsidR="00C04325">
        <w:t xml:space="preserve">. CitiPower, Powercor, SA Power Networks and United Energy have the highest efficiency scores on </w:t>
      </w:r>
      <w:r w:rsidR="00D050A0">
        <w:t>the majority of</w:t>
      </w:r>
      <w:r w:rsidR="00C04325">
        <w:t xml:space="preserve"> metrics. ActewAGL, Ausgrid, </w:t>
      </w:r>
      <w:r w:rsidR="00D050A0">
        <w:t xml:space="preserve">and </w:t>
      </w:r>
      <w:r w:rsidR="00C04325">
        <w:t xml:space="preserve">Ergon </w:t>
      </w:r>
      <w:r w:rsidR="00D050A0">
        <w:t>Energy</w:t>
      </w:r>
      <w:r w:rsidR="00C04325">
        <w:t xml:space="preserve"> have the lowest scores.</w:t>
      </w:r>
    </w:p>
    <w:p w:rsidR="00C024FD" w:rsidRDefault="004D4728" w:rsidP="003367D3">
      <w:r>
        <w:fldChar w:fldCharType="begin"/>
      </w:r>
      <w:r>
        <w:instrText xml:space="preserve"> REF _Ref432773728 \h </w:instrText>
      </w:r>
      <w:r>
        <w:fldChar w:fldCharType="separate"/>
      </w:r>
      <w:r w:rsidR="00EF5714">
        <w:t xml:space="preserve">Figure </w:t>
      </w:r>
      <w:r w:rsidR="00EF5714">
        <w:rPr>
          <w:noProof/>
        </w:rPr>
        <w:t>7</w:t>
      </w:r>
      <w:r>
        <w:fldChar w:fldCharType="end"/>
      </w:r>
      <w:r>
        <w:t xml:space="preserve"> demonstrates comparable results for each model, despite their differing functional forms and estimation methods. In particular, the similarity in results between the opex MPFP model and the econometric models is noteworthy. Opex MPFP is a PIN technique that uses Australian data only whereas (as discussed in section </w:t>
      </w:r>
      <w:r>
        <w:fldChar w:fldCharType="begin"/>
      </w:r>
      <w:r>
        <w:instrText xml:space="preserve"> REF _Ref435703616 \n \h </w:instrText>
      </w:r>
      <w:r>
        <w:fldChar w:fldCharType="separate"/>
      </w:r>
      <w:r w:rsidR="00EF5714">
        <w:t>2.3</w:t>
      </w:r>
      <w:r>
        <w:fldChar w:fldCharType="end"/>
      </w:r>
      <w:r>
        <w:t>) the three econometric models use Australian data and overseas data.</w:t>
      </w:r>
      <w:r w:rsidR="00C024FD">
        <w:t xml:space="preserve"> </w:t>
      </w:r>
    </w:p>
    <w:p w:rsidR="004D4728" w:rsidRDefault="00C024FD" w:rsidP="003367D3">
      <w:r>
        <w:t xml:space="preserve">Economic Insights </w:t>
      </w:r>
      <w:r w:rsidR="00AD181D">
        <w:t>observes</w:t>
      </w:r>
      <w:r w:rsidR="00B404C9">
        <w:t xml:space="preserve"> </w:t>
      </w:r>
      <w:r>
        <w:t xml:space="preserve">that the </w:t>
      </w:r>
      <w:r w:rsidR="00CC4B03">
        <w:t xml:space="preserve">econometric modelling </w:t>
      </w:r>
      <w:r>
        <w:t>results</w:t>
      </w:r>
      <w:r w:rsidR="004A507E">
        <w:t xml:space="preserve"> for the period up to 2014</w:t>
      </w:r>
      <w:r>
        <w:t xml:space="preserve"> are very close to the results for the period up to 2013. </w:t>
      </w:r>
      <w:r w:rsidR="004A507E">
        <w:t xml:space="preserve">The stability of the results when an additional </w:t>
      </w:r>
      <w:r w:rsidR="00AD181D">
        <w:t>68</w:t>
      </w:r>
      <w:r w:rsidR="004A507E">
        <w:t xml:space="preserve"> </w:t>
      </w:r>
      <w:r w:rsidR="00CC4B03">
        <w:t xml:space="preserve">observations are </w:t>
      </w:r>
      <w:r w:rsidR="004A507E">
        <w:t>added</w:t>
      </w:r>
      <w:r>
        <w:t xml:space="preserve"> </w:t>
      </w:r>
      <w:r w:rsidR="006624DC">
        <w:t>provides us with further confidence in the models</w:t>
      </w:r>
      <w:r w:rsidR="004A507E">
        <w:t>.</w:t>
      </w:r>
    </w:p>
    <w:p w:rsidR="00A92C5C" w:rsidRDefault="00FC20AC" w:rsidP="003367D3">
      <w:r>
        <w:lastRenderedPageBreak/>
        <w:t xml:space="preserve">In recent </w:t>
      </w:r>
      <w:r w:rsidR="00642EF0">
        <w:t xml:space="preserve">distribution </w:t>
      </w:r>
      <w:r>
        <w:t>determinations</w:t>
      </w:r>
      <w:r w:rsidR="00642EF0">
        <w:t>,</w:t>
      </w:r>
      <w:r>
        <w:t xml:space="preserve"> we have used the Cobb-Douglas SFA model as our preferred technique for forming a view about efficient total opex. </w:t>
      </w:r>
      <w:r w:rsidR="00A92C5C">
        <w:t xml:space="preserve">When we do this, we make three adjustments to the </w:t>
      </w:r>
      <w:r w:rsidR="00642EF0">
        <w:t xml:space="preserve">above ‘raw’ </w:t>
      </w:r>
      <w:r w:rsidR="00A92C5C">
        <w:t xml:space="preserve">score </w:t>
      </w:r>
      <w:r w:rsidR="00642EF0">
        <w:t>of the DNSP we are assessing</w:t>
      </w:r>
      <w:r w:rsidR="00A92C5C">
        <w:t>:</w:t>
      </w:r>
    </w:p>
    <w:p w:rsidR="00A92C5C" w:rsidRDefault="00A92C5C" w:rsidP="00A92C5C">
      <w:pPr>
        <w:pStyle w:val="AERbulletlistfirststyle"/>
      </w:pPr>
      <w:r>
        <w:t xml:space="preserve">apply an adjustment for </w:t>
      </w:r>
      <w:r w:rsidR="00F064E5">
        <w:t>OEF</w:t>
      </w:r>
      <w:r>
        <w:t>s</w:t>
      </w:r>
      <w:r w:rsidR="00642EF0">
        <w:t xml:space="preserve"> that are beyond the DNSP’s control and not already accounted for in the model</w:t>
      </w:r>
    </w:p>
    <w:p w:rsidR="00A92C5C" w:rsidRDefault="00642EF0" w:rsidP="00A92C5C">
      <w:pPr>
        <w:pStyle w:val="AERbulletlistfirststyle"/>
      </w:pPr>
      <w:r>
        <w:t xml:space="preserve">compare the DNSP’s efficiency score to </w:t>
      </w:r>
      <w:r w:rsidR="00855914">
        <w:t xml:space="preserve">a target efficiency score (previously we have used the top quartile of possible scores) </w:t>
      </w:r>
      <w:r>
        <w:t>to provide an error margin for potential data or modelling issues</w:t>
      </w:r>
    </w:p>
    <w:p w:rsidR="00FC20AC" w:rsidRDefault="006A4D99" w:rsidP="00A92C5C">
      <w:pPr>
        <w:pStyle w:val="AERbulletlistfirststyle"/>
      </w:pPr>
      <w:r>
        <w:t>conduct a ‘</w:t>
      </w:r>
      <w:r w:rsidR="00642EF0">
        <w:t xml:space="preserve">roll </w:t>
      </w:r>
      <w:r>
        <w:t>forward’ process to transform the average efficiency results to an opex amount for a particular year.</w:t>
      </w:r>
    </w:p>
    <w:p w:rsidR="00027848" w:rsidRPr="003367D3" w:rsidRDefault="00027848" w:rsidP="00027848">
      <w:r>
        <w:t xml:space="preserve">Appendix </w:t>
      </w:r>
      <w:r>
        <w:fldChar w:fldCharType="begin"/>
      </w:r>
      <w:r>
        <w:instrText xml:space="preserve"> REF _Ref432682897 \n \h </w:instrText>
      </w:r>
      <w:r>
        <w:fldChar w:fldCharType="separate"/>
      </w:r>
      <w:r w:rsidR="00EF5714">
        <w:t>A</w:t>
      </w:r>
      <w:r>
        <w:fldChar w:fldCharType="end"/>
      </w:r>
      <w:r>
        <w:t xml:space="preserve"> contains references to determinations where we have used the Cobb-Douglas SFA model to form a view on efficient total opex.</w:t>
      </w:r>
    </w:p>
    <w:p w:rsidR="008A7BEA" w:rsidRDefault="008A7BEA" w:rsidP="008A7BEA">
      <w:pPr>
        <w:pStyle w:val="Heading2"/>
      </w:pPr>
      <w:bookmarkStart w:id="30" w:name="_Ref433210826"/>
      <w:r>
        <w:t>Partial performance indicators</w:t>
      </w:r>
      <w:bookmarkEnd w:id="30"/>
    </w:p>
    <w:p w:rsidR="006A4D99" w:rsidRDefault="006A4D99" w:rsidP="00E056BF">
      <w:r>
        <w:t>This section</w:t>
      </w:r>
      <w:r w:rsidR="00E056BF" w:rsidRPr="002C74DF">
        <w:t xml:space="preserve"> present</w:t>
      </w:r>
      <w:r>
        <w:t>s</w:t>
      </w:r>
      <w:r w:rsidR="00E056BF" w:rsidRPr="002C74DF">
        <w:t xml:space="preserve"> </w:t>
      </w:r>
      <w:r w:rsidR="00027848">
        <w:t>one</w:t>
      </w:r>
      <w:r w:rsidR="00E056BF" w:rsidRPr="002C74DF">
        <w:t xml:space="preserve"> </w:t>
      </w:r>
      <w:r w:rsidR="00E64F71">
        <w:t xml:space="preserve">PPI </w:t>
      </w:r>
      <w:r w:rsidR="00E056BF">
        <w:t>using total user cost (</w:t>
      </w:r>
      <w:r w:rsidR="00E056BF" w:rsidRPr="002C74DF">
        <w:t>the sum of opex and asset costs</w:t>
      </w:r>
      <w:r w:rsidR="00E056BF">
        <w:t>)</w:t>
      </w:r>
      <w:r w:rsidR="00E64F71">
        <w:t xml:space="preserve"> as inputs</w:t>
      </w:r>
      <w:r w:rsidR="00E056BF" w:rsidRPr="002C74DF">
        <w:t xml:space="preserve">. </w:t>
      </w:r>
      <w:r w:rsidR="00E64F71">
        <w:t xml:space="preserve">The output measure for each metric </w:t>
      </w:r>
      <w:r>
        <w:t xml:space="preserve">is </w:t>
      </w:r>
      <w:r w:rsidR="00E056BF">
        <w:t>customer numbers.</w:t>
      </w:r>
      <w:r w:rsidR="00E056BF" w:rsidRPr="002C74DF">
        <w:t xml:space="preserve"> </w:t>
      </w:r>
      <w:r>
        <w:t>C</w:t>
      </w:r>
      <w:r w:rsidR="00E056BF">
        <w:t xml:space="preserve">ustomer numbers </w:t>
      </w:r>
      <w:r>
        <w:t xml:space="preserve">are arguably </w:t>
      </w:r>
      <w:r w:rsidR="00E056BF">
        <w:t xml:space="preserve">the most significant output </w:t>
      </w:r>
      <w:r>
        <w:t>DNSPs face because t</w:t>
      </w:r>
      <w:r w:rsidR="00E056BF">
        <w:t xml:space="preserve">he number of customers connected to </w:t>
      </w:r>
      <w:r>
        <w:t xml:space="preserve">the </w:t>
      </w:r>
      <w:r w:rsidR="00E056BF">
        <w:t>network drives the demand and the infrastructur</w:t>
      </w:r>
      <w:r>
        <w:t>e required to meet that demand.</w:t>
      </w:r>
      <w:r w:rsidR="00E64F71">
        <w:t xml:space="preserve"> Appendix </w:t>
      </w:r>
      <w:r w:rsidR="00E64F71">
        <w:fldChar w:fldCharType="begin"/>
      </w:r>
      <w:r w:rsidR="00E64F71">
        <w:instrText xml:space="preserve"> REF _Ref432665492 \n \h </w:instrText>
      </w:r>
      <w:r w:rsidR="00E64F71">
        <w:fldChar w:fldCharType="separate"/>
      </w:r>
      <w:r w:rsidR="00EF5714">
        <w:t>C</w:t>
      </w:r>
      <w:r w:rsidR="00E64F71">
        <w:fldChar w:fldCharType="end"/>
      </w:r>
      <w:r w:rsidR="00E64F71">
        <w:t xml:space="preserve"> presents additional PPIs</w:t>
      </w:r>
      <w:r w:rsidR="00027848">
        <w:t>, including metrics that</w:t>
      </w:r>
      <w:r w:rsidR="00E64F71">
        <w:t xml:space="preserve"> </w:t>
      </w:r>
      <w:r w:rsidR="00027848">
        <w:t xml:space="preserve">use </w:t>
      </w:r>
      <w:r w:rsidR="00E64F71">
        <w:t>alternative output measures.</w:t>
      </w:r>
    </w:p>
    <w:p w:rsidR="00E64F71" w:rsidRDefault="00E64F71" w:rsidP="00E056BF">
      <w:r>
        <w:t>On “per customer”</w:t>
      </w:r>
      <w:r w:rsidRPr="00122D4E">
        <w:t xml:space="preserve"> metric</w:t>
      </w:r>
      <w:r>
        <w:t>s</w:t>
      </w:r>
      <w:r w:rsidRPr="00122D4E">
        <w:t xml:space="preserve"> </w:t>
      </w:r>
      <w:r>
        <w:t>an</w:t>
      </w:r>
      <w:r w:rsidRPr="00122D4E">
        <w:t xml:space="preserve"> apparent disadvantage </w:t>
      </w:r>
      <w:r>
        <w:t>exists for large rural DNSPs</w:t>
      </w:r>
      <w:r w:rsidRPr="00122D4E">
        <w:t xml:space="preserve">. </w:t>
      </w:r>
      <w:r>
        <w:t xml:space="preserve"> </w:t>
      </w:r>
      <w:r w:rsidRPr="00122D4E">
        <w:t xml:space="preserve">The longer and sparser a DNSP’s network, the more assets </w:t>
      </w:r>
      <w:r>
        <w:t xml:space="preserve">it must operate and maintain </w:t>
      </w:r>
      <w:r w:rsidRPr="000247B0">
        <w:rPr>
          <w:i/>
        </w:rPr>
        <w:t>per customer</w:t>
      </w:r>
      <w:r>
        <w:t xml:space="preserve"> </w:t>
      </w:r>
      <w:r w:rsidRPr="00122D4E">
        <w:t xml:space="preserve">because despite the few customers in a sparse area, assets are required to connect </w:t>
      </w:r>
      <w:r>
        <w:t>them to the network. More assets per customer results in</w:t>
      </w:r>
      <w:r w:rsidRPr="00122D4E">
        <w:t xml:space="preserve"> higher </w:t>
      </w:r>
      <w:r>
        <w:t>opex per customer</w:t>
      </w:r>
      <w:r w:rsidRPr="00122D4E">
        <w:t>.</w:t>
      </w:r>
      <w:r w:rsidR="00ED0F63">
        <w:t xml:space="preserve"> </w:t>
      </w:r>
      <w:r>
        <w:t xml:space="preserve">Accordingly, when comparing DNSPs on per customer PPIs, the general rule is that </w:t>
      </w:r>
      <w:r w:rsidR="00ED0F63">
        <w:t xml:space="preserve">a given </w:t>
      </w:r>
      <w:r>
        <w:t xml:space="preserve">DNSP </w:t>
      </w:r>
      <w:r w:rsidR="00ED0F63">
        <w:t xml:space="preserve">typically show higher costs than any peers </w:t>
      </w:r>
      <w:r w:rsidR="003F49AB">
        <w:t>of higher customer density (</w:t>
      </w:r>
      <w:r w:rsidR="00ED0F63">
        <w:t xml:space="preserve">to </w:t>
      </w:r>
      <w:r w:rsidR="003F49AB">
        <w:t xml:space="preserve">the </w:t>
      </w:r>
      <w:r w:rsidR="00ED0F63">
        <w:t>right</w:t>
      </w:r>
      <w:r w:rsidR="003F49AB">
        <w:t xml:space="preserve"> on the </w:t>
      </w:r>
      <w:r w:rsidR="00065C7B">
        <w:t>x-</w:t>
      </w:r>
      <w:r w:rsidR="003F49AB">
        <w:t>axis)</w:t>
      </w:r>
      <w:r w:rsidR="00ED0F63">
        <w:t>.</w:t>
      </w:r>
    </w:p>
    <w:p w:rsidR="00E64F71" w:rsidRDefault="00E64F71" w:rsidP="00E056BF">
      <w:r>
        <w:t xml:space="preserve">All the PPIs in this </w:t>
      </w:r>
      <w:r w:rsidR="00027848">
        <w:t>report</w:t>
      </w:r>
      <w:r>
        <w:t xml:space="preserve"> measure average costs over a five year period (from 2010 to 2014). We use an average to mitigate the effect of one-off changes in opex or assets in a particular year. Five years is the length of a typical regulatory period.</w:t>
      </w:r>
    </w:p>
    <w:p w:rsidR="006A4D99" w:rsidRDefault="006A4D99" w:rsidP="006A4D99">
      <w:pPr>
        <w:pStyle w:val="Heading3"/>
      </w:pPr>
      <w:r>
        <w:t xml:space="preserve">Total </w:t>
      </w:r>
      <w:r w:rsidR="00ED0F63">
        <w:t>user cost</w:t>
      </w:r>
      <w:r w:rsidR="00B34050">
        <w:t xml:space="preserve"> per customer</w:t>
      </w:r>
    </w:p>
    <w:p w:rsidR="00ED0F63" w:rsidRDefault="00ED0F63" w:rsidP="00ED0F63">
      <w:r>
        <w:fldChar w:fldCharType="begin"/>
      </w:r>
      <w:r>
        <w:instrText xml:space="preserve"> REF _Ref432778045 \h </w:instrText>
      </w:r>
      <w:r>
        <w:fldChar w:fldCharType="separate"/>
      </w:r>
      <w:r w:rsidR="00EF5714">
        <w:t xml:space="preserve">Figure </w:t>
      </w:r>
      <w:r w:rsidR="00EF5714">
        <w:rPr>
          <w:noProof/>
        </w:rPr>
        <w:t>8</w:t>
      </w:r>
      <w:r>
        <w:fldChar w:fldCharType="end"/>
      </w:r>
      <w:r>
        <w:t xml:space="preserve"> shows total user cost per customer on the vertical axis and customer density on the horizontal axis. Under this measure the Victorian and South Australian DNSPs appear the most productive in their combined use of opex and assets. They have the lowest ratio of cost to customers, despite their differing customer densities, of between approximately $500 and $700 per customer. </w:t>
      </w:r>
    </w:p>
    <w:p w:rsidR="00ED0F63" w:rsidRDefault="00ED0F63" w:rsidP="00ED0F63">
      <w:r>
        <w:t xml:space="preserve">Ergon </w:t>
      </w:r>
      <w:r w:rsidR="004C2B76">
        <w:t xml:space="preserve">Energy </w:t>
      </w:r>
      <w:r>
        <w:t xml:space="preserve">and Essential </w:t>
      </w:r>
      <w:r w:rsidR="004C2B76">
        <w:t xml:space="preserve">Energy </w:t>
      </w:r>
      <w:r>
        <w:t>have the highest cost per customer. W</w:t>
      </w:r>
      <w:r w:rsidRPr="00FA3723">
        <w:t xml:space="preserve">hile </w:t>
      </w:r>
      <w:r w:rsidR="00B34050">
        <w:t>this may be partially explained by</w:t>
      </w:r>
      <w:r w:rsidRPr="00FA3723">
        <w:t xml:space="preserve"> </w:t>
      </w:r>
      <w:r>
        <w:t>their</w:t>
      </w:r>
      <w:r w:rsidRPr="00FA3723">
        <w:t xml:space="preserve"> low customer density,</w:t>
      </w:r>
      <w:r w:rsidRPr="00D2716D">
        <w:rPr>
          <w:rStyle w:val="AERsuperscript"/>
        </w:rPr>
        <w:t xml:space="preserve"> </w:t>
      </w:r>
      <w:r>
        <w:t>they</w:t>
      </w:r>
      <w:r w:rsidRPr="00FA3723">
        <w:t xml:space="preserve"> nevertheless spent</w:t>
      </w:r>
      <w:r w:rsidR="00B34050">
        <w:t xml:space="preserve"> approximately double</w:t>
      </w:r>
      <w:r w:rsidRPr="00FA3723">
        <w:t xml:space="preserve"> the </w:t>
      </w:r>
      <w:r w:rsidR="00B34050">
        <w:t>cost</w:t>
      </w:r>
      <w:r w:rsidRPr="00FA3723">
        <w:t xml:space="preserve"> per customer </w:t>
      </w:r>
      <w:r>
        <w:t xml:space="preserve">than </w:t>
      </w:r>
      <w:r w:rsidR="00B34050">
        <w:t>many DNSPs</w:t>
      </w:r>
      <w:r>
        <w:t>, including SA Power</w:t>
      </w:r>
      <w:r w:rsidR="00B34050">
        <w:t xml:space="preserve"> </w:t>
      </w:r>
      <w:r>
        <w:t>Networks and Powercor</w:t>
      </w:r>
      <w:r w:rsidR="004C2B76">
        <w:t>,</w:t>
      </w:r>
      <w:r>
        <w:t xml:space="preserve"> who also are </w:t>
      </w:r>
      <w:r w:rsidR="00B34050">
        <w:t>rural</w:t>
      </w:r>
      <w:r>
        <w:t xml:space="preserve"> networks. </w:t>
      </w:r>
      <w:r w:rsidR="00B34050">
        <w:t>Ausgrid, ActewAGL, Endeavour</w:t>
      </w:r>
      <w:r w:rsidR="004C2B76">
        <w:t xml:space="preserve"> Energy</w:t>
      </w:r>
      <w:r w:rsidR="00B34050">
        <w:t xml:space="preserve">, Energex, TasNetworks and AusNet Services </w:t>
      </w:r>
      <w:r w:rsidR="003F49AB">
        <w:t xml:space="preserve">are expected to position </w:t>
      </w:r>
      <w:r w:rsidR="00B34050">
        <w:t xml:space="preserve">lower on </w:t>
      </w:r>
      <w:r w:rsidR="00B34050">
        <w:lastRenderedPageBreak/>
        <w:t>the chart than SA Power Networks and Powercor, due to their comparatively higher customer densities.</w:t>
      </w:r>
    </w:p>
    <w:p w:rsidR="006A4D99" w:rsidRDefault="006A4D99" w:rsidP="00A75AB2">
      <w:pPr>
        <w:pStyle w:val="Caption"/>
      </w:pPr>
      <w:bookmarkStart w:id="31" w:name="_Ref432778045"/>
      <w:r>
        <w:t xml:space="preserve">Figure </w:t>
      </w:r>
      <w:r w:rsidRPr="00701FDB">
        <w:fldChar w:fldCharType="begin"/>
      </w:r>
      <w:r>
        <w:instrText xml:space="preserve"> SEQ Figure \* ARABIC </w:instrText>
      </w:r>
      <w:r w:rsidRPr="00701FDB">
        <w:fldChar w:fldCharType="separate"/>
      </w:r>
      <w:r w:rsidR="00EF5714">
        <w:rPr>
          <w:noProof/>
        </w:rPr>
        <w:t>8</w:t>
      </w:r>
      <w:r w:rsidRPr="00701FDB">
        <w:fldChar w:fldCharType="end"/>
      </w:r>
      <w:bookmarkEnd w:id="31"/>
      <w:r>
        <w:tab/>
        <w:t>Total cost per customer</w:t>
      </w:r>
      <w:r w:rsidR="00C91B9E">
        <w:t xml:space="preserve"> against customer density (2010–</w:t>
      </w:r>
      <w:r>
        <w:t>14 average)</w:t>
      </w:r>
      <w:r w:rsidR="00B34050">
        <w:t xml:space="preserve"> </w:t>
      </w:r>
    </w:p>
    <w:p w:rsidR="006A4D99" w:rsidRPr="001664C4" w:rsidRDefault="00DB6949" w:rsidP="009C6743">
      <w:pPr>
        <w:jc w:val="center"/>
      </w:pPr>
      <w:r>
        <w:rPr>
          <w:noProof/>
          <w:lang w:eastAsia="en-AU"/>
        </w:rPr>
        <w:drawing>
          <wp:inline distT="0" distB="0" distL="0" distR="0" wp14:anchorId="30E2E092" wp14:editId="0ACE09B9">
            <wp:extent cx="4151236" cy="298066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1636" cy="2988131"/>
                    </a:xfrm>
                    <a:prstGeom prst="rect">
                      <a:avLst/>
                    </a:prstGeom>
                    <a:noFill/>
                  </pic:spPr>
                </pic:pic>
              </a:graphicData>
            </a:graphic>
          </wp:inline>
        </w:drawing>
      </w:r>
    </w:p>
    <w:p w:rsidR="00867F92" w:rsidRDefault="00867F92" w:rsidP="00AA6A91">
      <w:pPr>
        <w:pStyle w:val="Heading1"/>
      </w:pPr>
      <w:bookmarkStart w:id="32" w:name="_Toc435712627"/>
      <w:r>
        <w:lastRenderedPageBreak/>
        <w:t>Conclusions</w:t>
      </w:r>
      <w:bookmarkEnd w:id="32"/>
    </w:p>
    <w:p w:rsidR="00493795" w:rsidRDefault="00F064E5" w:rsidP="00493795">
      <w:r>
        <w:t>P</w:t>
      </w:r>
      <w:r w:rsidR="00AA6A91">
        <w:t xml:space="preserve">roductivity across the industry has been declining over the past several years. </w:t>
      </w:r>
      <w:r>
        <w:t>It</w:t>
      </w:r>
      <w:r w:rsidR="00493795">
        <w:t xml:space="preserve"> is declining because the resources used to maintain, replace and augment the networks are increasing at a greater rate than the demand for electricity network services (measured in terms of increases in customer numbers, line length, energy, and maximum demand). </w:t>
      </w:r>
    </w:p>
    <w:p w:rsidR="00AA6A91" w:rsidRDefault="00AA6A91" w:rsidP="00AA6A91">
      <w:r>
        <w:t>For the majority of DNSPs, the declining productivity trend has continued in the twelve months between 2013 and 2014. However, some DNSPs have improved their productivity in recent years.</w:t>
      </w:r>
      <w:r w:rsidR="0052335D">
        <w:t xml:space="preserve"> </w:t>
      </w:r>
      <w:r w:rsidR="00DB3AA4">
        <w:t>As a result,</w:t>
      </w:r>
      <w:r>
        <w:t xml:space="preserve"> the field has started to narrow. </w:t>
      </w:r>
      <w:r w:rsidR="00BC4BA0">
        <w:t>R</w:t>
      </w:r>
      <w:r>
        <w:t>ecent declines in productivity from SA Power Networks and AusNet Services, combined with improvements from Energex and Ergon Energy have resulted in the relative efficiency of eight of the 13 DNSPs being closer than ever before.</w:t>
      </w:r>
    </w:p>
    <w:p w:rsidR="00A04ACF" w:rsidRDefault="00991C20" w:rsidP="00AA6A91">
      <w:r>
        <w:t xml:space="preserve">The supporting metrics (opex and capital MPFP, the econometric models and the total cost PPI) provide alternative measures of </w:t>
      </w:r>
      <w:r w:rsidR="0052335D">
        <w:t>comparative performance</w:t>
      </w:r>
      <w:r w:rsidR="00A04ACF">
        <w:t xml:space="preserve">. </w:t>
      </w:r>
      <w:r w:rsidR="0052335D">
        <w:t xml:space="preserve">While, in </w:t>
      </w:r>
      <w:r w:rsidR="008F7227">
        <w:t xml:space="preserve">some </w:t>
      </w:r>
      <w:r w:rsidR="0052335D">
        <w:t xml:space="preserve">cases, the best and worst performers on a supporting metric </w:t>
      </w:r>
      <w:r w:rsidR="00CD5F12">
        <w:t>rank</w:t>
      </w:r>
      <w:r w:rsidR="0052335D">
        <w:t xml:space="preserve"> similar</w:t>
      </w:r>
      <w:r w:rsidR="00CD5F12">
        <w:t>ly</w:t>
      </w:r>
      <w:r w:rsidR="0052335D">
        <w:t xml:space="preserve"> to those on MTFP, the supporting techniques do not</w:t>
      </w:r>
      <w:r w:rsidR="00EF1DE8">
        <w:t xml:space="preserve"> measure overall efficiency</w:t>
      </w:r>
      <w:r w:rsidR="008F7227">
        <w:t xml:space="preserve">. </w:t>
      </w:r>
      <w:r w:rsidR="00EF1DE8">
        <w:t xml:space="preserve"> </w:t>
      </w:r>
      <w:r w:rsidR="008F7227">
        <w:t>MPFP and the econometric models examine relative efficiency of total output to one input and PPIs examine the relationship between</w:t>
      </w:r>
      <w:r w:rsidR="00364CCC">
        <w:t xml:space="preserve"> only</w:t>
      </w:r>
      <w:r w:rsidR="008F7227">
        <w:t xml:space="preserve"> one input and one output. Therefore, the results of the supporting metrics, while </w:t>
      </w:r>
      <w:r w:rsidR="002A6374">
        <w:t>useful for assessing</w:t>
      </w:r>
      <w:r w:rsidR="008F7227">
        <w:t xml:space="preserve"> relative efficiency, will not be the same as they are for MTFP.</w:t>
      </w:r>
    </w:p>
    <w:p w:rsidR="003367D3" w:rsidRPr="003367D3" w:rsidRDefault="00F40268" w:rsidP="00F40268">
      <w:pPr>
        <w:pStyle w:val="UnnumberedHeading"/>
      </w:pPr>
      <w:bookmarkStart w:id="33" w:name="_Toc435712628"/>
      <w:r>
        <w:lastRenderedPageBreak/>
        <w:t>Appendices</w:t>
      </w:r>
      <w:bookmarkEnd w:id="33"/>
    </w:p>
    <w:p w:rsidR="00F40166" w:rsidRDefault="00F40166" w:rsidP="00F40166">
      <w:pPr>
        <w:pStyle w:val="Heading7"/>
      </w:pPr>
      <w:bookmarkStart w:id="34" w:name="_Ref432682897"/>
      <w:bookmarkStart w:id="35" w:name="_Toc435712629"/>
      <w:bookmarkStart w:id="36" w:name="_Ref432603789"/>
      <w:r>
        <w:lastRenderedPageBreak/>
        <w:t>References and further reading</w:t>
      </w:r>
      <w:bookmarkEnd w:id="34"/>
      <w:bookmarkEnd w:id="35"/>
    </w:p>
    <w:p w:rsidR="00BF278D" w:rsidRDefault="00A302E8" w:rsidP="00A302E8">
      <w:r>
        <w:t>This benchmarking report is informed by several sources</w:t>
      </w:r>
      <w:r w:rsidR="00BF278D">
        <w:t>. These include</w:t>
      </w:r>
      <w:r>
        <w:t xml:space="preserve"> </w:t>
      </w:r>
      <w:r w:rsidR="003A4C69">
        <w:t xml:space="preserve">ACCC/AER research and expert advice provided </w:t>
      </w:r>
      <w:r>
        <w:t>by Economic Insights</w:t>
      </w:r>
      <w:r w:rsidR="003A4C69">
        <w:t>.</w:t>
      </w:r>
      <w:r>
        <w:t xml:space="preserve"> </w:t>
      </w:r>
      <w:r w:rsidR="003A4C69">
        <w:t>W</w:t>
      </w:r>
      <w:r>
        <w:t xml:space="preserve">e retained </w:t>
      </w:r>
      <w:r w:rsidR="003A4C69">
        <w:t xml:space="preserve">Economic Insights </w:t>
      </w:r>
      <w:r>
        <w:t xml:space="preserve">to assist us </w:t>
      </w:r>
      <w:r w:rsidR="00BF278D">
        <w:t xml:space="preserve">with the </w:t>
      </w:r>
      <w:r>
        <w:t xml:space="preserve">economic benchmarking </w:t>
      </w:r>
      <w:r w:rsidR="00BF278D">
        <w:t xml:space="preserve">relied on in this report and </w:t>
      </w:r>
      <w:r>
        <w:t xml:space="preserve">in recent distribution determinations. </w:t>
      </w:r>
      <w:r w:rsidR="00BF278D">
        <w:t>References to relevant distribution determinations are also included below.</w:t>
      </w:r>
    </w:p>
    <w:p w:rsidR="00A302E8" w:rsidRDefault="00A302E8" w:rsidP="00A302E8">
      <w:pPr>
        <w:pStyle w:val="HeadingBoldBlue"/>
      </w:pPr>
      <w:r>
        <w:t>Economic Insights publications</w:t>
      </w:r>
    </w:p>
    <w:p w:rsidR="00BF278D" w:rsidRDefault="00BF278D" w:rsidP="00BF278D">
      <w:pPr>
        <w:pStyle w:val="AERbulletlistfirststyle"/>
        <w:numPr>
          <w:ilvl w:val="0"/>
          <w:numId w:val="0"/>
        </w:numPr>
      </w:pPr>
      <w:r>
        <w:t>The following publications explain in detail how Economic Insights developed and applied the economic benchmarking techniques used by the AER.</w:t>
      </w:r>
    </w:p>
    <w:p w:rsidR="00A302E8" w:rsidRPr="000A6D1B" w:rsidRDefault="00A302E8" w:rsidP="00A302E8">
      <w:pPr>
        <w:pStyle w:val="AERbulletlistfirststyle"/>
      </w:pPr>
      <w:r w:rsidRPr="000A6D1B">
        <w:t>Economic Insights</w:t>
      </w:r>
      <w:r w:rsidR="00972FCB" w:rsidRPr="000A6D1B">
        <w:t>,</w:t>
      </w:r>
      <w:r w:rsidRPr="000A6D1B">
        <w:t xml:space="preserve"> </w:t>
      </w:r>
      <w:r w:rsidR="000A6D1B" w:rsidRPr="000A6D1B">
        <w:rPr>
          <w:rStyle w:val="AERtextitalic"/>
        </w:rPr>
        <w:t>Memorandum – DNSP MTFP and Opex Cost Function Results</w:t>
      </w:r>
      <w:r w:rsidR="000A6D1B">
        <w:t xml:space="preserve">, </w:t>
      </w:r>
      <w:r w:rsidR="00EF5714">
        <w:t>13 November</w:t>
      </w:r>
      <w:r w:rsidR="000A6D1B">
        <w:t xml:space="preserve"> 2015</w:t>
      </w:r>
    </w:p>
    <w:p w:rsidR="00A302E8" w:rsidRDefault="00A302E8" w:rsidP="00A302E8">
      <w:pPr>
        <w:pStyle w:val="AERbulletlistfirststyle"/>
      </w:pPr>
      <w:r>
        <w:t xml:space="preserve">Economic Insights, </w:t>
      </w:r>
      <w:r w:rsidRPr="00A302E8">
        <w:rPr>
          <w:rStyle w:val="AERtextitalic"/>
        </w:rPr>
        <w:t>Economic Benchmarking Assessment of Operating Expenditure for NSW and ACT Electricity DNSPs</w:t>
      </w:r>
      <w:r>
        <w:t>, 17 November 2014</w:t>
      </w:r>
      <w:r w:rsidR="000A6D1B">
        <w:t xml:space="preserve"> (</w:t>
      </w:r>
      <w:hyperlink r:id="rId19" w:history="1">
        <w:r w:rsidR="000A6D1B" w:rsidRPr="000A6D1B">
          <w:rPr>
            <w:rStyle w:val="Hyperlink"/>
          </w:rPr>
          <w:t>link</w:t>
        </w:r>
      </w:hyperlink>
      <w:r w:rsidR="000A6D1B">
        <w:t>)</w:t>
      </w:r>
      <w:r w:rsidR="00BF278D">
        <w:t xml:space="preserve">. </w:t>
      </w:r>
    </w:p>
    <w:p w:rsidR="00A302E8" w:rsidRDefault="00A302E8" w:rsidP="00A302E8">
      <w:pPr>
        <w:pStyle w:val="AERbulletlistfirststyle"/>
      </w:pPr>
      <w:r>
        <w:t xml:space="preserve">Economic Insights, </w:t>
      </w:r>
      <w:r w:rsidRPr="00A302E8">
        <w:rPr>
          <w:rStyle w:val="AERtextitalic"/>
        </w:rPr>
        <w:t>Response to Consultants’ Reports on Economic Benchmarking of Electricity DNSPs</w:t>
      </w:r>
      <w:r>
        <w:t>, 22 April 2015</w:t>
      </w:r>
      <w:r w:rsidR="000A6D1B">
        <w:t xml:space="preserve"> (</w:t>
      </w:r>
      <w:hyperlink r:id="rId20" w:history="1">
        <w:r w:rsidR="000A6D1B" w:rsidRPr="000A6D1B">
          <w:rPr>
            <w:rStyle w:val="Hyperlink"/>
          </w:rPr>
          <w:t>link</w:t>
        </w:r>
      </w:hyperlink>
      <w:r w:rsidR="000A6D1B">
        <w:t>)</w:t>
      </w:r>
      <w:r w:rsidR="00BF278D">
        <w:t>.</w:t>
      </w:r>
    </w:p>
    <w:p w:rsidR="00A302E8" w:rsidRDefault="00A302E8" w:rsidP="00A302E8">
      <w:pPr>
        <w:pStyle w:val="HeadingBoldBlue"/>
      </w:pPr>
      <w:r>
        <w:t>ACCC/AER publications</w:t>
      </w:r>
    </w:p>
    <w:p w:rsidR="00BF278D" w:rsidRDefault="00BF278D" w:rsidP="00BF278D">
      <w:r>
        <w:t xml:space="preserve">These publications provide a comprehensive </w:t>
      </w:r>
      <w:bookmarkStart w:id="37" w:name="_GoBack"/>
      <w:bookmarkEnd w:id="37"/>
      <w:r>
        <w:t>overview of the benchmarking approaches used by overseas regulators.</w:t>
      </w:r>
    </w:p>
    <w:p w:rsidR="00972FCB" w:rsidRDefault="00972FCB" w:rsidP="00972FCB">
      <w:pPr>
        <w:pStyle w:val="AERbulletlistfirststyle"/>
      </w:pPr>
      <w:r>
        <w:t xml:space="preserve">ACCC/AER, </w:t>
      </w:r>
      <w:r w:rsidRPr="000A6D1B">
        <w:rPr>
          <w:rStyle w:val="AERtextitalic"/>
        </w:rPr>
        <w:t>Benchmarking Opex and Capex in Energy Networks – Working Paper no. 6</w:t>
      </w:r>
      <w:r>
        <w:t>, May 2012</w:t>
      </w:r>
      <w:r w:rsidR="000A6D1B">
        <w:t xml:space="preserve"> (</w:t>
      </w:r>
      <w:hyperlink r:id="rId21" w:history="1">
        <w:r w:rsidR="000A6D1B" w:rsidRPr="000A6D1B">
          <w:rPr>
            <w:rStyle w:val="Hyperlink"/>
          </w:rPr>
          <w:t>link</w:t>
        </w:r>
      </w:hyperlink>
      <w:r w:rsidR="000A6D1B">
        <w:t>)</w:t>
      </w:r>
      <w:r w:rsidR="00BF278D">
        <w:t>.</w:t>
      </w:r>
    </w:p>
    <w:p w:rsidR="00972FCB" w:rsidRDefault="00972FCB" w:rsidP="00972FCB">
      <w:pPr>
        <w:pStyle w:val="AERbulletlistfirststyle"/>
      </w:pPr>
      <w:r>
        <w:t xml:space="preserve">ACCC/AER, </w:t>
      </w:r>
      <w:r w:rsidRPr="000A6D1B">
        <w:rPr>
          <w:rStyle w:val="AERtextitalic"/>
        </w:rPr>
        <w:t>Regulatory Practices in Other Countries – Benchmarking opex and capex in energy networks</w:t>
      </w:r>
      <w:r>
        <w:t>, May 2012</w:t>
      </w:r>
      <w:r w:rsidR="000A6D1B">
        <w:t xml:space="preserve"> (</w:t>
      </w:r>
      <w:hyperlink r:id="rId22" w:history="1">
        <w:r w:rsidR="000A6D1B" w:rsidRPr="000A6D1B">
          <w:rPr>
            <w:rStyle w:val="Hyperlink"/>
          </w:rPr>
          <w:t>link</w:t>
        </w:r>
      </w:hyperlink>
      <w:r w:rsidR="000A6D1B">
        <w:t>)</w:t>
      </w:r>
      <w:r w:rsidR="00BF278D">
        <w:t>.</w:t>
      </w:r>
    </w:p>
    <w:p w:rsidR="003F49AB" w:rsidRDefault="003F49AB" w:rsidP="00972FCB">
      <w:pPr>
        <w:pStyle w:val="AERbulletlistfirststyle"/>
      </w:pPr>
      <w:r>
        <w:t xml:space="preserve">WIK Consult, </w:t>
      </w:r>
      <w:r w:rsidRPr="003F49AB">
        <w:rPr>
          <w:rStyle w:val="AERtextitalic"/>
        </w:rPr>
        <w:t>Cost Benchmarking in Energy Regulation in European Countries</w:t>
      </w:r>
      <w:r>
        <w:t>, December 2011 (</w:t>
      </w:r>
      <w:hyperlink r:id="rId23" w:history="1">
        <w:r w:rsidRPr="003F49AB">
          <w:rPr>
            <w:rStyle w:val="Hyperlink"/>
          </w:rPr>
          <w:t>link</w:t>
        </w:r>
      </w:hyperlink>
      <w:r>
        <w:t>).</w:t>
      </w:r>
    </w:p>
    <w:p w:rsidR="00BF278D" w:rsidRDefault="00BF278D" w:rsidP="00BF278D">
      <w:pPr>
        <w:pStyle w:val="HeadingBoldBlue"/>
      </w:pPr>
      <w:r>
        <w:t>AER distribution determinations</w:t>
      </w:r>
    </w:p>
    <w:p w:rsidR="00BF278D" w:rsidRDefault="00BF278D" w:rsidP="00BF278D">
      <w:r>
        <w:t>In each of the following determinations, the AER applied economic benchmarking to determine efficient total forecast opex.</w:t>
      </w:r>
    </w:p>
    <w:p w:rsidR="00BF278D" w:rsidRDefault="00BF278D" w:rsidP="00BF278D">
      <w:pPr>
        <w:pStyle w:val="AERbulletlistfirststyle"/>
      </w:pPr>
      <w:r>
        <w:t xml:space="preserve">AER, </w:t>
      </w:r>
      <w:r w:rsidRPr="000A6D1B">
        <w:rPr>
          <w:rStyle w:val="AERtextitalic"/>
        </w:rPr>
        <w:t>Final decision, Endeavour Energy distribution determination 2015–16 to 2018–19, Attachment 7 – Operating Expenditure</w:t>
      </w:r>
      <w:r>
        <w:t>, April 2015</w:t>
      </w:r>
      <w:r w:rsidR="000A6D1B">
        <w:t xml:space="preserve"> (</w:t>
      </w:r>
      <w:hyperlink r:id="rId24" w:history="1">
        <w:r w:rsidR="000A6D1B" w:rsidRPr="000A6D1B">
          <w:rPr>
            <w:rStyle w:val="Hyperlink"/>
          </w:rPr>
          <w:t>link</w:t>
        </w:r>
      </w:hyperlink>
      <w:r w:rsidR="000A6D1B">
        <w:t>)</w:t>
      </w:r>
      <w:r>
        <w:t>.</w:t>
      </w:r>
    </w:p>
    <w:p w:rsidR="00BF278D" w:rsidRDefault="00BF278D" w:rsidP="00972FCB">
      <w:pPr>
        <w:pStyle w:val="AERbulletlistfirststyle"/>
      </w:pPr>
      <w:r>
        <w:t xml:space="preserve">AER, </w:t>
      </w:r>
      <w:r w:rsidRPr="000A6D1B">
        <w:rPr>
          <w:rStyle w:val="AERtextitalic"/>
        </w:rPr>
        <w:t>Draft decision, Endeavour Energy distribution determination 2015–16 to 2018–19, Attachment 7 – Operating Expenditure</w:t>
      </w:r>
      <w:r>
        <w:t>, November 2014</w:t>
      </w:r>
      <w:r w:rsidR="000A6D1B">
        <w:t xml:space="preserve"> (</w:t>
      </w:r>
      <w:hyperlink r:id="rId25" w:history="1">
        <w:r w:rsidR="000A6D1B" w:rsidRPr="000A6D1B">
          <w:rPr>
            <w:rStyle w:val="Hyperlink"/>
          </w:rPr>
          <w:t>link</w:t>
        </w:r>
      </w:hyperlink>
      <w:r w:rsidR="000A6D1B">
        <w:t>)</w:t>
      </w:r>
      <w:r>
        <w:t>.</w:t>
      </w:r>
    </w:p>
    <w:p w:rsidR="00BF278D" w:rsidRDefault="00BF278D" w:rsidP="00972FCB">
      <w:pPr>
        <w:pStyle w:val="AERbulletlistfirststyle"/>
      </w:pPr>
      <w:r>
        <w:t xml:space="preserve">AER, </w:t>
      </w:r>
      <w:r w:rsidRPr="000A6D1B">
        <w:rPr>
          <w:rStyle w:val="AERtextitalic"/>
        </w:rPr>
        <w:t>Preliminary decision, Energex determination 2015–16 to 2019–20</w:t>
      </w:r>
      <w:r w:rsidR="000A6D1B" w:rsidRPr="000A6D1B">
        <w:rPr>
          <w:rStyle w:val="AERtextitalic"/>
        </w:rPr>
        <w:t>, Attachment 7 – Operating Expenditure</w:t>
      </w:r>
      <w:r w:rsidR="000A6D1B">
        <w:t>, April 2015 (</w:t>
      </w:r>
      <w:hyperlink r:id="rId26" w:history="1">
        <w:r w:rsidR="000A6D1B" w:rsidRPr="000A6D1B">
          <w:rPr>
            <w:rStyle w:val="Hyperlink"/>
          </w:rPr>
          <w:t>link</w:t>
        </w:r>
      </w:hyperlink>
      <w:r w:rsidR="000A6D1B">
        <w:t>).</w:t>
      </w:r>
    </w:p>
    <w:p w:rsidR="000A6D1B" w:rsidRPr="00A302E8" w:rsidRDefault="000A6D1B" w:rsidP="00972FCB">
      <w:pPr>
        <w:pStyle w:val="AERbulletlistfirststyle"/>
      </w:pPr>
      <w:r>
        <w:t xml:space="preserve">AER, </w:t>
      </w:r>
      <w:r w:rsidRPr="000A6D1B">
        <w:rPr>
          <w:rStyle w:val="AERtextitalic"/>
        </w:rPr>
        <w:t>Preliminary decision, Ergon Energy determination 2015–16 to 2019–20, Attachment 7 – Operating Expenditure</w:t>
      </w:r>
      <w:r>
        <w:t>, April 2015 (</w:t>
      </w:r>
      <w:hyperlink r:id="rId27" w:history="1">
        <w:r w:rsidRPr="000A6D1B">
          <w:rPr>
            <w:rStyle w:val="Hyperlink"/>
          </w:rPr>
          <w:t>link</w:t>
        </w:r>
      </w:hyperlink>
      <w:r>
        <w:t>).</w:t>
      </w:r>
    </w:p>
    <w:p w:rsidR="008A7BEA" w:rsidRDefault="003367D3" w:rsidP="008A7BEA">
      <w:pPr>
        <w:pStyle w:val="Heading7"/>
      </w:pPr>
      <w:bookmarkStart w:id="38" w:name="_Ref433113873"/>
      <w:bookmarkStart w:id="39" w:name="_Toc435712630"/>
      <w:r>
        <w:lastRenderedPageBreak/>
        <w:t>I</w:t>
      </w:r>
      <w:r w:rsidR="008A7BEA">
        <w:t>nputs and outputs</w:t>
      </w:r>
      <w:bookmarkEnd w:id="36"/>
      <w:bookmarkEnd w:id="38"/>
      <w:bookmarkEnd w:id="39"/>
    </w:p>
    <w:p w:rsidR="00397790" w:rsidRPr="00D050A0" w:rsidRDefault="00D050A0" w:rsidP="00397790">
      <w:pPr>
        <w:rPr>
          <w:rStyle w:val="AERbody"/>
        </w:rPr>
      </w:pPr>
      <w:r w:rsidRPr="00D050A0">
        <w:rPr>
          <w:rStyle w:val="AERbody"/>
        </w:rPr>
        <w:t xml:space="preserve">This </w:t>
      </w:r>
      <w:r>
        <w:rPr>
          <w:rStyle w:val="AERbody"/>
        </w:rPr>
        <w:t>appendix contains further information on the outputs and inputs used in the benchmarking techniques.</w:t>
      </w:r>
      <w:r w:rsidR="00F250EA">
        <w:rPr>
          <w:rStyle w:val="AERbody"/>
        </w:rPr>
        <w:t xml:space="preserve"> The November 2014 Economic Insights report referenced in Appendix </w:t>
      </w:r>
      <w:r w:rsidR="00F250EA">
        <w:rPr>
          <w:rStyle w:val="AERbody"/>
        </w:rPr>
        <w:fldChar w:fldCharType="begin"/>
      </w:r>
      <w:r w:rsidR="00F250EA">
        <w:rPr>
          <w:rStyle w:val="AERbody"/>
        </w:rPr>
        <w:instrText xml:space="preserve"> REF _Ref432682897 \n \h </w:instrText>
      </w:r>
      <w:r w:rsidR="00F250EA">
        <w:rPr>
          <w:rStyle w:val="AERbody"/>
        </w:rPr>
      </w:r>
      <w:r w:rsidR="00F250EA">
        <w:rPr>
          <w:rStyle w:val="AERbody"/>
        </w:rPr>
        <w:fldChar w:fldCharType="separate"/>
      </w:r>
      <w:r w:rsidR="00EF5714">
        <w:rPr>
          <w:rStyle w:val="AERbody"/>
        </w:rPr>
        <w:t>A</w:t>
      </w:r>
      <w:r w:rsidR="00F250EA">
        <w:rPr>
          <w:rStyle w:val="AERbody"/>
        </w:rPr>
        <w:fldChar w:fldCharType="end"/>
      </w:r>
      <w:r w:rsidR="00F250EA">
        <w:rPr>
          <w:rStyle w:val="AERbody"/>
        </w:rPr>
        <w:t xml:space="preserve"> explains and justifies the input and output specifications used in this report.</w:t>
      </w:r>
    </w:p>
    <w:p w:rsidR="003367D3" w:rsidRPr="008F31F7" w:rsidRDefault="003367D3" w:rsidP="003367D3">
      <w:pPr>
        <w:pStyle w:val="Heading8"/>
      </w:pPr>
      <w:bookmarkStart w:id="40" w:name="_Toc404010811"/>
      <w:bookmarkStart w:id="41" w:name="_Ref429588987"/>
      <w:bookmarkStart w:id="42" w:name="_Ref429649021"/>
      <w:r>
        <w:t>O</w:t>
      </w:r>
      <w:r w:rsidRPr="008F31F7">
        <w:t>utputs</w:t>
      </w:r>
      <w:bookmarkEnd w:id="40"/>
      <w:bookmarkEnd w:id="41"/>
      <w:bookmarkEnd w:id="42"/>
    </w:p>
    <w:p w:rsidR="003367D3" w:rsidRDefault="00D050A0" w:rsidP="003367D3">
      <w:r>
        <w:t xml:space="preserve">The techniques in the report measure output using some or all of customer numbers, line length, maximum demand, energy throughput and reliability. </w:t>
      </w:r>
    </w:p>
    <w:p w:rsidR="003367D3" w:rsidRPr="008F31F7" w:rsidRDefault="003367D3" w:rsidP="003367D3">
      <w:pPr>
        <w:pStyle w:val="Heading9"/>
      </w:pPr>
      <w:bookmarkStart w:id="43" w:name="_Toc429645839"/>
      <w:bookmarkStart w:id="44" w:name="_Toc429645934"/>
      <w:bookmarkStart w:id="45" w:name="_Toc429648210"/>
      <w:bookmarkStart w:id="46" w:name="_Toc429661402"/>
      <w:bookmarkStart w:id="47" w:name="_Toc429661430"/>
      <w:bookmarkStart w:id="48" w:name="_Ref429646220"/>
      <w:bookmarkEnd w:id="43"/>
      <w:bookmarkEnd w:id="44"/>
      <w:bookmarkEnd w:id="45"/>
      <w:bookmarkEnd w:id="46"/>
      <w:bookmarkEnd w:id="47"/>
      <w:r w:rsidRPr="008F31F7">
        <w:t>Customer numbers</w:t>
      </w:r>
      <w:bookmarkEnd w:id="48"/>
    </w:p>
    <w:p w:rsidR="003367D3" w:rsidRPr="008F31F7" w:rsidRDefault="003367D3" w:rsidP="003367D3">
      <w:r>
        <w:t>The primary function of a</w:t>
      </w:r>
      <w:r w:rsidRPr="008F31F7">
        <w:t xml:space="preserve"> distribution network is </w:t>
      </w:r>
      <w:r>
        <w:t>providing its</w:t>
      </w:r>
      <w:r w:rsidRPr="008F31F7">
        <w:t xml:space="preserve"> customers </w:t>
      </w:r>
      <w:r>
        <w:t xml:space="preserve">with </w:t>
      </w:r>
      <w:r w:rsidRPr="008F31F7">
        <w:t xml:space="preserve">access to electricity. </w:t>
      </w:r>
      <w:r>
        <w:t xml:space="preserve">Regardless of how much electricity a customer consumes, infrastructure is required to connect every customer to the network. </w:t>
      </w:r>
      <w:r w:rsidRPr="008F31F7">
        <w:t>The number of customers</w:t>
      </w:r>
      <w:r>
        <w:t xml:space="preserve">, therefore, </w:t>
      </w:r>
      <w:r w:rsidRPr="008F31F7">
        <w:t xml:space="preserve">reflects </w:t>
      </w:r>
      <w:r>
        <w:t xml:space="preserve">a significant </w:t>
      </w:r>
      <w:r w:rsidR="00D050A0">
        <w:t>driver of the services a DNSP provides</w:t>
      </w:r>
      <w:r w:rsidRPr="008F31F7">
        <w:t>.  We measure the number of customers as the number of active connections on a network</w:t>
      </w:r>
      <w:r>
        <w:t>, represented by each energised national metering identifier</w:t>
      </w:r>
      <w:r w:rsidRPr="008F31F7">
        <w:t>.</w:t>
      </w:r>
      <w:r w:rsidR="00057140">
        <w:t xml:space="preserve"> </w:t>
      </w:r>
    </w:p>
    <w:p w:rsidR="003367D3" w:rsidRPr="008F31F7" w:rsidRDefault="003367D3" w:rsidP="003367D3">
      <w:r w:rsidRPr="008F31F7">
        <w:fldChar w:fldCharType="begin"/>
      </w:r>
      <w:r w:rsidRPr="008F31F7">
        <w:instrText xml:space="preserve"> REF _Ref404155621 \h </w:instrText>
      </w:r>
      <w:r w:rsidRPr="008F31F7">
        <w:fldChar w:fldCharType="separate"/>
      </w:r>
      <w:r w:rsidR="00EF5714" w:rsidRPr="008F31F7">
        <w:t xml:space="preserve">Figure </w:t>
      </w:r>
      <w:r w:rsidR="00EF5714">
        <w:rPr>
          <w:noProof/>
        </w:rPr>
        <w:t>9</w:t>
      </w:r>
      <w:r w:rsidRPr="008F31F7">
        <w:fldChar w:fldCharType="end"/>
      </w:r>
      <w:r w:rsidRPr="008F31F7">
        <w:t xml:space="preserve"> </w:t>
      </w:r>
      <w:r>
        <w:t>shows</w:t>
      </w:r>
      <w:r w:rsidRPr="008F31F7">
        <w:t xml:space="preserve"> the average customer numbers of </w:t>
      </w:r>
      <w:r>
        <w:t>each</w:t>
      </w:r>
      <w:r w:rsidRPr="008F31F7">
        <w:t xml:space="preserve"> </w:t>
      </w:r>
      <w:r w:rsidR="00D050A0">
        <w:t>DNSP</w:t>
      </w:r>
      <w:r w:rsidRPr="008F31F7">
        <w:t xml:space="preserve"> over </w:t>
      </w:r>
      <w:r>
        <w:t>the</w:t>
      </w:r>
      <w:r w:rsidRPr="008F31F7">
        <w:t xml:space="preserve"> five year period</w:t>
      </w:r>
      <w:r>
        <w:t xml:space="preserve"> from 2010 to 2014</w:t>
      </w:r>
      <w:r w:rsidRPr="008F31F7">
        <w:t>.</w:t>
      </w:r>
    </w:p>
    <w:p w:rsidR="003367D3" w:rsidRPr="008F31F7" w:rsidRDefault="003367D3" w:rsidP="00A75AB2">
      <w:pPr>
        <w:pStyle w:val="Caption"/>
      </w:pPr>
      <w:bookmarkStart w:id="49" w:name="_Ref404155621"/>
      <w:r w:rsidRPr="008F31F7">
        <w:t xml:space="preserve">Figure </w:t>
      </w:r>
      <w:fldSimple w:instr=" SEQ Figure \* ARABIC ">
        <w:r w:rsidR="00EF5714">
          <w:rPr>
            <w:noProof/>
          </w:rPr>
          <w:t>9</w:t>
        </w:r>
      </w:fldSimple>
      <w:bookmarkEnd w:id="49"/>
      <w:r w:rsidRPr="008F31F7">
        <w:tab/>
      </w:r>
      <w:r w:rsidR="00D050A0">
        <w:t>F</w:t>
      </w:r>
      <w:r w:rsidRPr="008F31F7">
        <w:t>ive yea</w:t>
      </w:r>
      <w:r>
        <w:t xml:space="preserve">r average customer numbers </w:t>
      </w:r>
      <w:r w:rsidR="00D050A0">
        <w:t xml:space="preserve">by DNSP </w:t>
      </w:r>
      <w:r>
        <w:t>(2010–14</w:t>
      </w:r>
      <w:r w:rsidRPr="008F31F7">
        <w:t>)</w:t>
      </w:r>
    </w:p>
    <w:p w:rsidR="003367D3" w:rsidRPr="008F31F7" w:rsidRDefault="005E1BEE" w:rsidP="009C6743">
      <w:pPr>
        <w:jc w:val="center"/>
      </w:pPr>
      <w:r w:rsidRPr="005E1BEE">
        <w:rPr>
          <w:noProof/>
          <w:lang w:eastAsia="en-AU"/>
        </w:rPr>
        <w:drawing>
          <wp:inline distT="0" distB="0" distL="0" distR="0" wp14:anchorId="1D57B907" wp14:editId="49620B92">
            <wp:extent cx="4465912" cy="29744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66061" cy="2974529"/>
                    </a:xfrm>
                    <a:prstGeom prst="rect">
                      <a:avLst/>
                    </a:prstGeom>
                    <a:noFill/>
                    <a:ln>
                      <a:noFill/>
                    </a:ln>
                  </pic:spPr>
                </pic:pic>
              </a:graphicData>
            </a:graphic>
          </wp:inline>
        </w:drawing>
      </w:r>
    </w:p>
    <w:p w:rsidR="003367D3" w:rsidRPr="0069742C" w:rsidRDefault="003367D3" w:rsidP="003367D3">
      <w:pPr>
        <w:pStyle w:val="Heading9"/>
      </w:pPr>
      <w:r w:rsidRPr="0069742C">
        <w:t>Line length</w:t>
      </w:r>
    </w:p>
    <w:p w:rsidR="003367D3" w:rsidRPr="00120085" w:rsidRDefault="003367D3" w:rsidP="003367D3">
      <w:r>
        <w:t xml:space="preserve">Line length reflects the distances over which </w:t>
      </w:r>
      <w:r w:rsidR="00D050A0">
        <w:t>DNSPs</w:t>
      </w:r>
      <w:r>
        <w:t xml:space="preserve"> deliver electricity </w:t>
      </w:r>
      <w:r w:rsidRPr="00120085">
        <w:t xml:space="preserve">to their customers. To provide their customers with access to electricity, </w:t>
      </w:r>
      <w:r w:rsidR="00D050A0">
        <w:t xml:space="preserve">DNSPs </w:t>
      </w:r>
      <w:r>
        <w:t>must</w:t>
      </w:r>
      <w:r w:rsidRPr="00120085">
        <w:t xml:space="preserve"> transport </w:t>
      </w:r>
      <w:r w:rsidRPr="00120085">
        <w:lastRenderedPageBreak/>
        <w:t>electricity from</w:t>
      </w:r>
      <w:r>
        <w:t xml:space="preserve"> the transmission network to their</w:t>
      </w:r>
      <w:r w:rsidRPr="00120085">
        <w:t xml:space="preserve"> customers' premises. D</w:t>
      </w:r>
      <w:r w:rsidR="00D050A0">
        <w:t xml:space="preserve">NSPs </w:t>
      </w:r>
      <w:r w:rsidRPr="00120085">
        <w:t>will typically operate networks that transport electricity over thousands of kilometres.</w:t>
      </w:r>
    </w:p>
    <w:p w:rsidR="003367D3" w:rsidRDefault="003367D3" w:rsidP="003367D3">
      <w:r>
        <w:t>In this report</w:t>
      </w:r>
      <w:r w:rsidR="005D4EB5">
        <w:t>,</w:t>
      </w:r>
      <w:r>
        <w:t xml:space="preserve"> line length is measured in terms of</w:t>
      </w:r>
      <w:r w:rsidRPr="00120085">
        <w:t xml:space="preserve"> </w:t>
      </w:r>
      <w:r>
        <w:t xml:space="preserve">the length of 'circuit' or the length of </w:t>
      </w:r>
      <w:r w:rsidRPr="00120085">
        <w:t>'route</w:t>
      </w:r>
      <w:r w:rsidR="005D4EB5">
        <w:t>’</w:t>
      </w:r>
      <w:r w:rsidRPr="00120085">
        <w:t xml:space="preserve">. </w:t>
      </w:r>
      <w:r w:rsidRPr="00731ED0">
        <w:t xml:space="preserve">Route length is the distance between a </w:t>
      </w:r>
      <w:r w:rsidR="005D4EB5">
        <w:t>DNSP’s</w:t>
      </w:r>
      <w:r w:rsidRPr="00731ED0">
        <w:t xml:space="preserve"> poles. Circuit length is the length of lines in service, where a double circuit line counts as twice the length. Circuit and route length can differ because </w:t>
      </w:r>
      <w:r>
        <w:t>distributors may</w:t>
      </w:r>
      <w:r w:rsidRPr="00731ED0">
        <w:t xml:space="preserve"> run multiple lines on the same route.</w:t>
      </w:r>
    </w:p>
    <w:p w:rsidR="003367D3" w:rsidRDefault="003367D3" w:rsidP="003367D3">
      <w:r>
        <w:t xml:space="preserve">In </w:t>
      </w:r>
      <w:r w:rsidR="00057140">
        <w:t>economic benchmarking</w:t>
      </w:r>
      <w:r>
        <w:t xml:space="preserve"> metrics, we use circuit length because</w:t>
      </w:r>
      <w:r w:rsidR="005D4EB5">
        <w:t>, in addition to measuring network size,</w:t>
      </w:r>
      <w:r>
        <w:t xml:space="preserve"> it also approximates </w:t>
      </w:r>
      <w:r w:rsidR="00E31B06">
        <w:t xml:space="preserve">the line length dimension of </w:t>
      </w:r>
      <w:r>
        <w:t>system</w:t>
      </w:r>
      <w:r w:rsidRPr="00731ED0">
        <w:t xml:space="preserve"> </w:t>
      </w:r>
      <w:r>
        <w:t>capacity</w:t>
      </w:r>
      <w:r w:rsidRPr="00731ED0">
        <w:t xml:space="preserve">. </w:t>
      </w:r>
      <w:r w:rsidR="00057140">
        <w:t xml:space="preserve">System capacity represents </w:t>
      </w:r>
      <w:r w:rsidRPr="00731ED0">
        <w:t xml:space="preserve">the amount of network </w:t>
      </w:r>
      <w:r w:rsidR="00057140">
        <w:t xml:space="preserve">a DNSP </w:t>
      </w:r>
      <w:r>
        <w:t>must</w:t>
      </w:r>
      <w:r w:rsidRPr="00731ED0">
        <w:t xml:space="preserve"> install and maintain to supply consumers with the quantity of electricity demanded at the places where they are located.</w:t>
      </w:r>
      <w:r>
        <w:t xml:space="preserve"> </w:t>
      </w:r>
      <w:r>
        <w:fldChar w:fldCharType="begin"/>
      </w:r>
      <w:r>
        <w:instrText xml:space="preserve"> REF _Ref429650900 \h </w:instrText>
      </w:r>
      <w:r>
        <w:fldChar w:fldCharType="separate"/>
      </w:r>
      <w:r w:rsidR="00EF5714">
        <w:t xml:space="preserve">Figure </w:t>
      </w:r>
      <w:r w:rsidR="00EF5714">
        <w:rPr>
          <w:noProof/>
        </w:rPr>
        <w:t>10</w:t>
      </w:r>
      <w:r>
        <w:fldChar w:fldCharType="end"/>
      </w:r>
      <w:r>
        <w:t xml:space="preserve"> shows each </w:t>
      </w:r>
      <w:r w:rsidR="005D4EB5">
        <w:t>DNSP’s</w:t>
      </w:r>
      <w:r>
        <w:t xml:space="preserve"> circuit length, on average, over the five years from 2010 to 2014.</w:t>
      </w:r>
    </w:p>
    <w:p w:rsidR="003367D3" w:rsidRDefault="003367D3" w:rsidP="00A75AB2">
      <w:pPr>
        <w:pStyle w:val="Caption"/>
      </w:pPr>
      <w:bookmarkStart w:id="50" w:name="_Ref429650900"/>
      <w:r>
        <w:t xml:space="preserve">Figure </w:t>
      </w:r>
      <w:r w:rsidRPr="00120085">
        <w:fldChar w:fldCharType="begin"/>
      </w:r>
      <w:r>
        <w:instrText xml:space="preserve"> SEQ Figure \* ARABIC </w:instrText>
      </w:r>
      <w:r w:rsidRPr="00120085">
        <w:fldChar w:fldCharType="separate"/>
      </w:r>
      <w:r w:rsidR="00EF5714">
        <w:rPr>
          <w:noProof/>
        </w:rPr>
        <w:t>10</w:t>
      </w:r>
      <w:r w:rsidRPr="00120085">
        <w:fldChar w:fldCharType="end"/>
      </w:r>
      <w:bookmarkEnd w:id="50"/>
      <w:r>
        <w:tab/>
      </w:r>
      <w:r w:rsidR="00057140">
        <w:t>F</w:t>
      </w:r>
      <w:r>
        <w:t xml:space="preserve">ive year average circuit length </w:t>
      </w:r>
      <w:r w:rsidR="00057140">
        <w:t xml:space="preserve">by DNSP </w:t>
      </w:r>
      <w:r>
        <w:t>(2010–14)</w:t>
      </w:r>
    </w:p>
    <w:p w:rsidR="003367D3" w:rsidRDefault="00DA7D3F" w:rsidP="009C6743">
      <w:pPr>
        <w:jc w:val="center"/>
      </w:pPr>
      <w:r w:rsidRPr="00DA7D3F">
        <w:rPr>
          <w:noProof/>
          <w:lang w:eastAsia="en-AU"/>
        </w:rPr>
        <w:drawing>
          <wp:inline distT="0" distB="0" distL="0" distR="0" wp14:anchorId="5162CB8F" wp14:editId="56281FE3">
            <wp:extent cx="4572378" cy="288040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709" cy="2880611"/>
                    </a:xfrm>
                    <a:prstGeom prst="rect">
                      <a:avLst/>
                    </a:prstGeom>
                    <a:noFill/>
                    <a:ln>
                      <a:noFill/>
                    </a:ln>
                  </pic:spPr>
                </pic:pic>
              </a:graphicData>
            </a:graphic>
          </wp:inline>
        </w:drawing>
      </w:r>
    </w:p>
    <w:p w:rsidR="003367D3" w:rsidRDefault="003367D3" w:rsidP="003367D3">
      <w:r>
        <w:t>For PPI metrics, we use route length because w</w:t>
      </w:r>
      <w:r w:rsidRPr="00211D82">
        <w:t xml:space="preserve">e </w:t>
      </w:r>
      <w:r>
        <w:t>are interested in network size</w:t>
      </w:r>
      <w:r w:rsidR="00E31B06">
        <w:t xml:space="preserve"> as a means of calculating customer density (measured as customers per km of line length)</w:t>
      </w:r>
      <w:r>
        <w:t xml:space="preserve">. For this purpose, route length </w:t>
      </w:r>
      <w:r w:rsidRPr="00211D82">
        <w:t xml:space="preserve">is </w:t>
      </w:r>
      <w:r w:rsidR="00E31B06">
        <w:t xml:space="preserve">a measure of </w:t>
      </w:r>
      <w:r w:rsidR="00057140">
        <w:t>a DNSP’s</w:t>
      </w:r>
      <w:r>
        <w:t xml:space="preserve"> </w:t>
      </w:r>
      <w:r w:rsidR="00E31B06">
        <w:t xml:space="preserve">physical network footprint </w:t>
      </w:r>
      <w:r w:rsidR="005D4EB5">
        <w:t>because it does not count multiple circuits on the same route</w:t>
      </w:r>
      <w:r w:rsidRPr="00211D82">
        <w:t>.</w:t>
      </w:r>
      <w:r>
        <w:t xml:space="preserve"> </w:t>
      </w:r>
      <w:r>
        <w:fldChar w:fldCharType="begin"/>
      </w:r>
      <w:r>
        <w:instrText xml:space="preserve"> REF _Ref429650871 \h </w:instrText>
      </w:r>
      <w:r>
        <w:fldChar w:fldCharType="separate"/>
      </w:r>
      <w:r w:rsidR="00EF5714">
        <w:t xml:space="preserve">Figure </w:t>
      </w:r>
      <w:r w:rsidR="00EF5714">
        <w:rPr>
          <w:noProof/>
        </w:rPr>
        <w:t>11</w:t>
      </w:r>
      <w:r>
        <w:fldChar w:fldCharType="end"/>
      </w:r>
      <w:r>
        <w:t xml:space="preserve"> demonstrates</w:t>
      </w:r>
      <w:r w:rsidR="002717F6">
        <w:t xml:space="preserve"> that, for all DNSPs, route length is shorter than circuit length</w:t>
      </w:r>
      <w:r w:rsidR="00040102">
        <w:t xml:space="preserve"> but</w:t>
      </w:r>
      <w:r>
        <w:t xml:space="preserve"> there is </w:t>
      </w:r>
      <w:r w:rsidR="00040102">
        <w:t>no change in DNSP ranking</w:t>
      </w:r>
      <w:r w:rsidR="007E2DAE">
        <w:t xml:space="preserve"> </w:t>
      </w:r>
      <w:r w:rsidR="00040102">
        <w:t xml:space="preserve">between </w:t>
      </w:r>
      <w:r w:rsidR="007E2DAE">
        <w:t xml:space="preserve">the two </w:t>
      </w:r>
      <w:r w:rsidR="00040102">
        <w:t xml:space="preserve">line length </w:t>
      </w:r>
      <w:r w:rsidR="007E2DAE">
        <w:t>measures.</w:t>
      </w:r>
    </w:p>
    <w:p w:rsidR="003367D3" w:rsidRDefault="003367D3" w:rsidP="00A75AB2">
      <w:pPr>
        <w:pStyle w:val="Caption"/>
      </w:pPr>
      <w:bookmarkStart w:id="51" w:name="_Ref429650871"/>
      <w:r>
        <w:lastRenderedPageBreak/>
        <w:t xml:space="preserve">Figure </w:t>
      </w:r>
      <w:r w:rsidRPr="00120085">
        <w:fldChar w:fldCharType="begin"/>
      </w:r>
      <w:r>
        <w:instrText xml:space="preserve"> SEQ Figure \* ARABIC </w:instrText>
      </w:r>
      <w:r w:rsidRPr="00120085">
        <w:fldChar w:fldCharType="separate"/>
      </w:r>
      <w:r w:rsidR="00EF5714">
        <w:rPr>
          <w:noProof/>
        </w:rPr>
        <w:t>11</w:t>
      </w:r>
      <w:r w:rsidRPr="00120085">
        <w:fldChar w:fldCharType="end"/>
      </w:r>
      <w:bookmarkEnd w:id="51"/>
      <w:r>
        <w:tab/>
      </w:r>
      <w:r w:rsidR="00057140">
        <w:t>F</w:t>
      </w:r>
      <w:r>
        <w:t xml:space="preserve">ive year average route line length </w:t>
      </w:r>
      <w:r w:rsidR="00057140">
        <w:t xml:space="preserve">by DNSP </w:t>
      </w:r>
      <w:r>
        <w:t>(2010–14)</w:t>
      </w:r>
    </w:p>
    <w:p w:rsidR="003367D3" w:rsidRDefault="00DA7D3F" w:rsidP="009C6743">
      <w:pPr>
        <w:jc w:val="center"/>
      </w:pPr>
      <w:r w:rsidRPr="00DA7D3F">
        <w:rPr>
          <w:noProof/>
          <w:lang w:eastAsia="en-AU"/>
        </w:rPr>
        <w:drawing>
          <wp:inline distT="0" distB="0" distL="0" distR="0" wp14:anchorId="5C5C39BB" wp14:editId="591F94D9">
            <wp:extent cx="4699590" cy="2904406"/>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99748" cy="2904503"/>
                    </a:xfrm>
                    <a:prstGeom prst="rect">
                      <a:avLst/>
                    </a:prstGeom>
                    <a:noFill/>
                    <a:ln>
                      <a:noFill/>
                    </a:ln>
                  </pic:spPr>
                </pic:pic>
              </a:graphicData>
            </a:graphic>
          </wp:inline>
        </w:drawing>
      </w:r>
    </w:p>
    <w:p w:rsidR="003367D3" w:rsidRPr="0069742C" w:rsidRDefault="003367D3" w:rsidP="003367D3">
      <w:pPr>
        <w:pStyle w:val="Heading9"/>
      </w:pPr>
      <w:r>
        <w:t>M</w:t>
      </w:r>
      <w:r w:rsidRPr="0069742C">
        <w:t>aximum demand and energy throughput</w:t>
      </w:r>
    </w:p>
    <w:p w:rsidR="003367D3" w:rsidRDefault="00057140" w:rsidP="00057140">
      <w:r>
        <w:t>DNSPs</w:t>
      </w:r>
      <w:r w:rsidR="003367D3">
        <w:t xml:space="preserve"> </w:t>
      </w:r>
      <w:r w:rsidR="003367D3" w:rsidRPr="00120085">
        <w:t xml:space="preserve">are required to meet and manage the demand of their customers. This means that they must build and operate their networks </w:t>
      </w:r>
      <w:r w:rsidR="003367D3">
        <w:t>with</w:t>
      </w:r>
      <w:r w:rsidR="003367D3" w:rsidRPr="00120085">
        <w:t xml:space="preserve"> sufficient capacity to meet the expected </w:t>
      </w:r>
      <w:r w:rsidR="003367D3">
        <w:t xml:space="preserve">peak </w:t>
      </w:r>
      <w:r w:rsidR="003367D3" w:rsidRPr="00120085">
        <w:t>demand for electricity. Maximum demand is a measure of the overall peak in demand experienced by the network</w:t>
      </w:r>
      <w:r>
        <w:t>.</w:t>
      </w:r>
      <w:r w:rsidRPr="00057140">
        <w:t xml:space="preserve"> </w:t>
      </w:r>
      <w:r>
        <w:t>The maximum demand measure we use is non-coincident summated raw system annual maximum demand, at the transmission connection point.</w:t>
      </w:r>
    </w:p>
    <w:p w:rsidR="003367D3" w:rsidRPr="00120085" w:rsidRDefault="00057140" w:rsidP="00057140">
      <w:r>
        <w:t xml:space="preserve">The economic benchmarking techniques </w:t>
      </w:r>
      <w:r w:rsidR="003367D3">
        <w:t xml:space="preserve">use 'ratcheted' maximum demand as an output rather than observed maximum demand. Ratcheted maximum demand is </w:t>
      </w:r>
      <w:r w:rsidR="003367D3" w:rsidRPr="00211D82">
        <w:t xml:space="preserve">the highest value of peak demand observed in the time period up to the year in question for each </w:t>
      </w:r>
      <w:r w:rsidR="003E2578">
        <w:t>DNSP</w:t>
      </w:r>
      <w:r w:rsidR="003367D3" w:rsidRPr="00211D82">
        <w:t xml:space="preserve">. It thus recognises capacity that has actually been used to satisfy demand and gives the </w:t>
      </w:r>
      <w:r w:rsidR="003E2578">
        <w:t xml:space="preserve">DNSP </w:t>
      </w:r>
      <w:r w:rsidR="003367D3" w:rsidRPr="00211D82">
        <w:t>credit for this capacity in subsequent years, even though annual peak demand may be lower in subsequent years.</w:t>
      </w:r>
    </w:p>
    <w:p w:rsidR="003367D3" w:rsidRDefault="003367D3" w:rsidP="00057140">
      <w:r>
        <w:t xml:space="preserve">Energy throughput is </w:t>
      </w:r>
      <w:r w:rsidRPr="00120085">
        <w:t xml:space="preserve">a measure of the amount of electricity that </w:t>
      </w:r>
      <w:r w:rsidR="003E2578">
        <w:t xml:space="preserve">DNSPs </w:t>
      </w:r>
      <w:r w:rsidRPr="00120085">
        <w:t xml:space="preserve">deliver to their customers. </w:t>
      </w:r>
      <w:r>
        <w:t>While e</w:t>
      </w:r>
      <w:r w:rsidRPr="00120085">
        <w:t xml:space="preserve">nergy </w:t>
      </w:r>
      <w:r>
        <w:t xml:space="preserve">throughput </w:t>
      </w:r>
      <w:r w:rsidRPr="00120085">
        <w:t xml:space="preserve">is not </w:t>
      </w:r>
      <w:r>
        <w:t xml:space="preserve">considered </w:t>
      </w:r>
      <w:r w:rsidRPr="00120085">
        <w:t xml:space="preserve">a driver of costs </w:t>
      </w:r>
      <w:r>
        <w:t>(</w:t>
      </w:r>
      <w:r w:rsidRPr="00120085">
        <w:t>distribution networks are typically engineered to manage maximum demand</w:t>
      </w:r>
      <w:r>
        <w:t xml:space="preserve"> rather than throughput)</w:t>
      </w:r>
      <w:r w:rsidRPr="00120085">
        <w:t xml:space="preserve"> energy </w:t>
      </w:r>
      <w:r>
        <w:t>throughput reflects a service provided directly to</w:t>
      </w:r>
      <w:r w:rsidRPr="00120085">
        <w:t xml:space="preserve"> customers.</w:t>
      </w:r>
    </w:p>
    <w:p w:rsidR="00EF5714" w:rsidRPr="00120085" w:rsidRDefault="003367D3" w:rsidP="00057140">
      <w:r>
        <w:t xml:space="preserve">An alternative approach to measuring </w:t>
      </w:r>
      <w:r w:rsidRPr="00120085">
        <w:t xml:space="preserve">a distributor's service in meeting the demand of its customers at times of peak demand is to measure </w:t>
      </w:r>
      <w:r>
        <w:t xml:space="preserve">system </w:t>
      </w:r>
      <w:r w:rsidRPr="00120085">
        <w:t xml:space="preserve">capacity. In this report we </w:t>
      </w:r>
      <w:r>
        <w:t>do not use this measure because it can potentially advantage large DNSPs on certain metrics.</w:t>
      </w:r>
      <w:r w:rsidRPr="00120085" w:rsidDel="00063736">
        <w:t xml:space="preserve"> </w:t>
      </w:r>
      <w:r w:rsidR="004D4728">
        <w:t xml:space="preserve">The November 2014 Economic Insights report </w:t>
      </w:r>
      <w:r w:rsidR="009B5636">
        <w:t xml:space="preserve">referenced in Appendix </w:t>
      </w:r>
      <w:r w:rsidR="009B5636">
        <w:fldChar w:fldCharType="begin"/>
      </w:r>
      <w:r w:rsidR="009B5636">
        <w:instrText xml:space="preserve"> REF _Ref432682897 \n \h </w:instrText>
      </w:r>
      <w:r w:rsidR="009B5636">
        <w:fldChar w:fldCharType="separate"/>
      </w:r>
      <w:r w:rsidR="00EF5714">
        <w:t>A</w:t>
      </w:r>
      <w:r w:rsidR="009B5636">
        <w:fldChar w:fldCharType="end"/>
      </w:r>
      <w:r w:rsidR="009B5636">
        <w:t xml:space="preserve"> discusses this in further detail.</w:t>
      </w:r>
      <w:r w:rsidR="004D4728">
        <w:t xml:space="preserve"> </w:t>
      </w:r>
      <w:r w:rsidRPr="00120085">
        <w:fldChar w:fldCharType="begin"/>
      </w:r>
      <w:r w:rsidRPr="00120085">
        <w:instrText xml:space="preserve"> REF _Ref389495168 \h </w:instrText>
      </w:r>
      <w:r w:rsidR="00057140">
        <w:instrText xml:space="preserve"> \* MERGEFORMAT </w:instrText>
      </w:r>
      <w:r w:rsidRPr="00120085">
        <w:fldChar w:fldCharType="separate"/>
      </w:r>
    </w:p>
    <w:p w:rsidR="003367D3" w:rsidRPr="00120085" w:rsidRDefault="00EF5714" w:rsidP="00057140">
      <w:r w:rsidRPr="00B33BF0">
        <w:t xml:space="preserve">Table </w:t>
      </w:r>
      <w:r>
        <w:rPr>
          <w:noProof/>
        </w:rPr>
        <w:t>2</w:t>
      </w:r>
      <w:r w:rsidR="003367D3" w:rsidRPr="00120085">
        <w:fldChar w:fldCharType="end"/>
      </w:r>
      <w:r w:rsidR="003367D3" w:rsidRPr="00120085">
        <w:t xml:space="preserve"> presents maximum demand and energy delivered for each </w:t>
      </w:r>
      <w:r w:rsidR="003367D3">
        <w:t xml:space="preserve">of the </w:t>
      </w:r>
      <w:r w:rsidR="003E2578">
        <w:t>DNSPs</w:t>
      </w:r>
      <w:r w:rsidR="003367D3">
        <w:t xml:space="preserve">, on average, for the five years between 2010 and </w:t>
      </w:r>
      <w:r w:rsidR="003367D3" w:rsidRPr="00120085">
        <w:t>2</w:t>
      </w:r>
      <w:r w:rsidR="003367D3">
        <w:t>014</w:t>
      </w:r>
      <w:r w:rsidR="003367D3" w:rsidRPr="00120085">
        <w:t>.</w:t>
      </w:r>
      <w:bookmarkStart w:id="52" w:name="_Ref389495168"/>
    </w:p>
    <w:p w:rsidR="003367D3" w:rsidRPr="00B33BF0" w:rsidRDefault="003367D3" w:rsidP="00A75AB2">
      <w:pPr>
        <w:pStyle w:val="Caption"/>
      </w:pPr>
      <w:r w:rsidRPr="00B33BF0">
        <w:lastRenderedPageBreak/>
        <w:t xml:space="preserve">Table </w:t>
      </w:r>
      <w:r w:rsidRPr="00120085">
        <w:fldChar w:fldCharType="begin"/>
      </w:r>
      <w:r>
        <w:instrText xml:space="preserve"> SEQ Table \* ARABIC </w:instrText>
      </w:r>
      <w:r w:rsidRPr="00120085">
        <w:fldChar w:fldCharType="separate"/>
      </w:r>
      <w:r w:rsidR="00EF5714">
        <w:rPr>
          <w:noProof/>
        </w:rPr>
        <w:t>2</w:t>
      </w:r>
      <w:r w:rsidRPr="00120085">
        <w:fldChar w:fldCharType="end"/>
      </w:r>
      <w:bookmarkEnd w:id="52"/>
      <w:r w:rsidRPr="00B33BF0">
        <w:tab/>
      </w:r>
      <w:r w:rsidR="005E1BEE">
        <w:t>M</w:t>
      </w:r>
      <w:r w:rsidRPr="00B33BF0">
        <w:t xml:space="preserve">aximum demand and energy </w:t>
      </w:r>
      <w:r w:rsidR="005E1BEE">
        <w:t xml:space="preserve">throughput </w:t>
      </w:r>
      <w:r>
        <w:t>(2010–14</w:t>
      </w:r>
      <w:r w:rsidR="005E1BEE">
        <w:t xml:space="preserve"> average</w:t>
      </w:r>
      <w:r>
        <w:t>)</w:t>
      </w:r>
    </w:p>
    <w:tbl>
      <w:tblPr>
        <w:tblStyle w:val="AERtable-text0"/>
        <w:tblW w:w="5000" w:type="pct"/>
        <w:tblLayout w:type="fixed"/>
        <w:tblLook w:val="04A0" w:firstRow="1" w:lastRow="0" w:firstColumn="1" w:lastColumn="0" w:noHBand="0" w:noVBand="1"/>
      </w:tblPr>
      <w:tblGrid>
        <w:gridCol w:w="2502"/>
        <w:gridCol w:w="2933"/>
        <w:gridCol w:w="3258"/>
      </w:tblGrid>
      <w:tr w:rsidR="003367D3" w:rsidRPr="00E96A49" w:rsidTr="003367D3">
        <w:trPr>
          <w:cnfStyle w:val="100000000000" w:firstRow="1" w:lastRow="0" w:firstColumn="0" w:lastColumn="0" w:oddVBand="0" w:evenVBand="0" w:oddHBand="0" w:evenHBand="0" w:firstRowFirstColumn="0" w:firstRowLastColumn="0" w:lastRowFirstColumn="0" w:lastRowLastColumn="0"/>
          <w:trHeight w:val="300"/>
        </w:trPr>
        <w:tc>
          <w:tcPr>
            <w:tcW w:w="1439" w:type="pct"/>
            <w:noWrap/>
            <w:hideMark/>
          </w:tcPr>
          <w:p w:rsidR="003367D3" w:rsidRPr="00874D49" w:rsidRDefault="003367D3" w:rsidP="003367D3">
            <w:pPr>
              <w:pStyle w:val="Source"/>
            </w:pPr>
          </w:p>
        </w:tc>
        <w:tc>
          <w:tcPr>
            <w:tcW w:w="1687" w:type="pct"/>
            <w:noWrap/>
            <w:hideMark/>
          </w:tcPr>
          <w:p w:rsidR="003367D3" w:rsidRPr="005B08E0" w:rsidRDefault="003367D3" w:rsidP="003367D3">
            <w:pPr>
              <w:pStyle w:val="Source"/>
            </w:pPr>
            <w:r>
              <w:t>Maximum</w:t>
            </w:r>
            <w:r w:rsidRPr="00E96A49">
              <w:t xml:space="preserve"> demand</w:t>
            </w:r>
            <w:r w:rsidRPr="005B08E0">
              <w:t xml:space="preserve"> (MW)</w:t>
            </w:r>
          </w:p>
        </w:tc>
        <w:tc>
          <w:tcPr>
            <w:tcW w:w="1874" w:type="pct"/>
            <w:noWrap/>
            <w:hideMark/>
          </w:tcPr>
          <w:p w:rsidR="003367D3" w:rsidRPr="005B08E0" w:rsidRDefault="003367D3" w:rsidP="003367D3">
            <w:pPr>
              <w:pStyle w:val="Source"/>
            </w:pPr>
            <w:r>
              <w:t>E</w:t>
            </w:r>
            <w:r w:rsidRPr="00E96A49">
              <w:t xml:space="preserve">nergy </w:t>
            </w:r>
            <w:r>
              <w:t>throughput</w:t>
            </w:r>
            <w:r w:rsidRPr="005B08E0">
              <w:t xml:space="preserve"> (MWh)</w:t>
            </w:r>
          </w:p>
        </w:tc>
      </w:tr>
      <w:tr w:rsidR="003367D3" w:rsidRPr="00E96A49" w:rsidTr="003367D3">
        <w:trPr>
          <w:trHeight w:val="300"/>
        </w:trPr>
        <w:tc>
          <w:tcPr>
            <w:tcW w:w="1439" w:type="pct"/>
            <w:noWrap/>
            <w:hideMark/>
          </w:tcPr>
          <w:p w:rsidR="003367D3" w:rsidRPr="00E63E65" w:rsidRDefault="003367D3" w:rsidP="003367D3">
            <w:pPr>
              <w:pStyle w:val="Source"/>
            </w:pPr>
            <w:r w:rsidRPr="00E63E65">
              <w:t>ActewAGL (ACT)</w:t>
            </w:r>
          </w:p>
        </w:tc>
        <w:tc>
          <w:tcPr>
            <w:tcW w:w="1687" w:type="pct"/>
            <w:noWrap/>
          </w:tcPr>
          <w:p w:rsidR="003367D3" w:rsidRPr="00E63E65" w:rsidRDefault="003367D3" w:rsidP="003367D3">
            <w:pPr>
              <w:pStyle w:val="Source"/>
            </w:pPr>
            <w:r w:rsidRPr="00E63E65">
              <w:t>662</w:t>
            </w:r>
          </w:p>
        </w:tc>
        <w:tc>
          <w:tcPr>
            <w:tcW w:w="1874" w:type="pct"/>
            <w:noWrap/>
          </w:tcPr>
          <w:p w:rsidR="003367D3" w:rsidRPr="00E63E65" w:rsidRDefault="003367D3" w:rsidP="003367D3">
            <w:pPr>
              <w:pStyle w:val="Source"/>
            </w:pPr>
            <w:r w:rsidRPr="00E63E65">
              <w:t>2,886,234</w:t>
            </w:r>
          </w:p>
        </w:tc>
      </w:tr>
      <w:tr w:rsidR="003367D3" w:rsidRPr="00E96A49" w:rsidTr="003367D3">
        <w:trPr>
          <w:cnfStyle w:val="000000010000" w:firstRow="0" w:lastRow="0" w:firstColumn="0" w:lastColumn="0" w:oddVBand="0" w:evenVBand="0" w:oddHBand="0" w:evenHBand="1" w:firstRowFirstColumn="0" w:firstRowLastColumn="0" w:lastRowFirstColumn="0" w:lastRowLastColumn="0"/>
          <w:trHeight w:val="300"/>
        </w:trPr>
        <w:tc>
          <w:tcPr>
            <w:tcW w:w="1439" w:type="pct"/>
            <w:noWrap/>
            <w:hideMark/>
          </w:tcPr>
          <w:p w:rsidR="003367D3" w:rsidRPr="00E63E65" w:rsidRDefault="003367D3" w:rsidP="003367D3">
            <w:pPr>
              <w:pStyle w:val="Source"/>
            </w:pPr>
            <w:r w:rsidRPr="00E63E65">
              <w:t>Ausgrid (AGD)</w:t>
            </w:r>
          </w:p>
        </w:tc>
        <w:tc>
          <w:tcPr>
            <w:tcW w:w="1687" w:type="pct"/>
            <w:noWrap/>
          </w:tcPr>
          <w:p w:rsidR="003367D3" w:rsidRPr="00E63E65" w:rsidRDefault="003367D3" w:rsidP="003367D3">
            <w:pPr>
              <w:pStyle w:val="Source"/>
            </w:pPr>
            <w:r w:rsidRPr="00E63E65">
              <w:t>5,998</w:t>
            </w:r>
          </w:p>
        </w:tc>
        <w:tc>
          <w:tcPr>
            <w:tcW w:w="1874" w:type="pct"/>
            <w:noWrap/>
          </w:tcPr>
          <w:p w:rsidR="003367D3" w:rsidRPr="00E63E65" w:rsidRDefault="003367D3" w:rsidP="003367D3">
            <w:pPr>
              <w:pStyle w:val="Source"/>
            </w:pPr>
            <w:r w:rsidRPr="00E63E65">
              <w:t>28,461,862</w:t>
            </w:r>
          </w:p>
        </w:tc>
      </w:tr>
      <w:tr w:rsidR="003367D3" w:rsidRPr="00E96A49" w:rsidTr="003367D3">
        <w:trPr>
          <w:trHeight w:val="300"/>
        </w:trPr>
        <w:tc>
          <w:tcPr>
            <w:tcW w:w="1439" w:type="pct"/>
            <w:noWrap/>
          </w:tcPr>
          <w:p w:rsidR="003367D3" w:rsidRPr="00E63E65" w:rsidRDefault="003367D3" w:rsidP="003367D3">
            <w:pPr>
              <w:pStyle w:val="Source"/>
            </w:pPr>
            <w:r w:rsidRPr="00E63E65">
              <w:t>AusNet Services (AND)</w:t>
            </w:r>
          </w:p>
        </w:tc>
        <w:tc>
          <w:tcPr>
            <w:tcW w:w="1687" w:type="pct"/>
            <w:noWrap/>
          </w:tcPr>
          <w:p w:rsidR="003367D3" w:rsidRPr="00E63E65" w:rsidRDefault="003367D3" w:rsidP="003367D3">
            <w:pPr>
              <w:pStyle w:val="Source"/>
            </w:pPr>
            <w:r w:rsidRPr="00E63E65">
              <w:t>1,879</w:t>
            </w:r>
          </w:p>
        </w:tc>
        <w:tc>
          <w:tcPr>
            <w:tcW w:w="1874" w:type="pct"/>
            <w:noWrap/>
          </w:tcPr>
          <w:p w:rsidR="003367D3" w:rsidRPr="00E63E65" w:rsidRDefault="003367D3" w:rsidP="003367D3">
            <w:pPr>
              <w:pStyle w:val="Source"/>
            </w:pPr>
            <w:r w:rsidRPr="00E63E65">
              <w:t>7,616,404</w:t>
            </w:r>
          </w:p>
        </w:tc>
      </w:tr>
      <w:tr w:rsidR="003367D3" w:rsidRPr="00E96A49" w:rsidTr="003367D3">
        <w:trPr>
          <w:cnfStyle w:val="000000010000" w:firstRow="0" w:lastRow="0" w:firstColumn="0" w:lastColumn="0" w:oddVBand="0" w:evenVBand="0" w:oddHBand="0" w:evenHBand="1" w:firstRowFirstColumn="0" w:firstRowLastColumn="0" w:lastRowFirstColumn="0" w:lastRowLastColumn="0"/>
          <w:trHeight w:val="300"/>
        </w:trPr>
        <w:tc>
          <w:tcPr>
            <w:tcW w:w="1439" w:type="pct"/>
            <w:noWrap/>
            <w:hideMark/>
          </w:tcPr>
          <w:p w:rsidR="003367D3" w:rsidRPr="00E63E65" w:rsidRDefault="003367D3" w:rsidP="003367D3">
            <w:pPr>
              <w:pStyle w:val="Source"/>
            </w:pPr>
            <w:r w:rsidRPr="00E63E65">
              <w:t>CitiPower (CIT)</w:t>
            </w:r>
          </w:p>
        </w:tc>
        <w:tc>
          <w:tcPr>
            <w:tcW w:w="1687" w:type="pct"/>
            <w:noWrap/>
          </w:tcPr>
          <w:p w:rsidR="003367D3" w:rsidRPr="00E63E65" w:rsidRDefault="003367D3" w:rsidP="003367D3">
            <w:pPr>
              <w:pStyle w:val="Source"/>
            </w:pPr>
            <w:r w:rsidRPr="00E63E65">
              <w:t>1,414</w:t>
            </w:r>
          </w:p>
        </w:tc>
        <w:tc>
          <w:tcPr>
            <w:tcW w:w="1874" w:type="pct"/>
            <w:noWrap/>
          </w:tcPr>
          <w:p w:rsidR="003367D3" w:rsidRPr="00E63E65" w:rsidRDefault="003367D3" w:rsidP="003367D3">
            <w:pPr>
              <w:pStyle w:val="Source"/>
            </w:pPr>
            <w:r w:rsidRPr="00E63E65">
              <w:t>6,060,130</w:t>
            </w:r>
          </w:p>
        </w:tc>
      </w:tr>
      <w:tr w:rsidR="003367D3" w:rsidRPr="00E96A49" w:rsidTr="003367D3">
        <w:trPr>
          <w:trHeight w:val="300"/>
        </w:trPr>
        <w:tc>
          <w:tcPr>
            <w:tcW w:w="1439" w:type="pct"/>
            <w:noWrap/>
            <w:hideMark/>
          </w:tcPr>
          <w:p w:rsidR="003367D3" w:rsidRPr="00E63E65" w:rsidRDefault="003367D3" w:rsidP="003367D3">
            <w:pPr>
              <w:pStyle w:val="Source"/>
            </w:pPr>
            <w:r w:rsidRPr="00E63E65">
              <w:t>Endeavour Energy (END)</w:t>
            </w:r>
          </w:p>
        </w:tc>
        <w:tc>
          <w:tcPr>
            <w:tcW w:w="1687" w:type="pct"/>
            <w:noWrap/>
          </w:tcPr>
          <w:p w:rsidR="003367D3" w:rsidRPr="00E63E65" w:rsidRDefault="003367D3" w:rsidP="003367D3">
            <w:pPr>
              <w:pStyle w:val="Source"/>
            </w:pPr>
            <w:r w:rsidRPr="00E63E65">
              <w:t>3,731</w:t>
            </w:r>
          </w:p>
        </w:tc>
        <w:tc>
          <w:tcPr>
            <w:tcW w:w="1874" w:type="pct"/>
            <w:noWrap/>
          </w:tcPr>
          <w:p w:rsidR="003367D3" w:rsidRPr="00E63E65" w:rsidRDefault="003367D3" w:rsidP="003367D3">
            <w:pPr>
              <w:pStyle w:val="Source"/>
            </w:pPr>
            <w:r w:rsidRPr="00E63E65">
              <w:t>16,611,104</w:t>
            </w:r>
          </w:p>
        </w:tc>
      </w:tr>
      <w:tr w:rsidR="003367D3" w:rsidRPr="00E96A49" w:rsidTr="003367D3">
        <w:trPr>
          <w:cnfStyle w:val="000000010000" w:firstRow="0" w:lastRow="0" w:firstColumn="0" w:lastColumn="0" w:oddVBand="0" w:evenVBand="0" w:oddHBand="0" w:evenHBand="1" w:firstRowFirstColumn="0" w:firstRowLastColumn="0" w:lastRowFirstColumn="0" w:lastRowLastColumn="0"/>
          <w:trHeight w:val="300"/>
        </w:trPr>
        <w:tc>
          <w:tcPr>
            <w:tcW w:w="1439" w:type="pct"/>
            <w:noWrap/>
            <w:hideMark/>
          </w:tcPr>
          <w:p w:rsidR="003367D3" w:rsidRPr="00E63E65" w:rsidRDefault="003367D3" w:rsidP="003367D3">
            <w:pPr>
              <w:pStyle w:val="Source"/>
            </w:pPr>
            <w:r w:rsidRPr="00E63E65">
              <w:t>Energex (ENX)</w:t>
            </w:r>
          </w:p>
        </w:tc>
        <w:tc>
          <w:tcPr>
            <w:tcW w:w="1687" w:type="pct"/>
            <w:noWrap/>
          </w:tcPr>
          <w:p w:rsidR="003367D3" w:rsidRPr="00E63E65" w:rsidRDefault="003367D3" w:rsidP="003367D3">
            <w:pPr>
              <w:pStyle w:val="Source"/>
            </w:pPr>
            <w:r w:rsidRPr="00E63E65">
              <w:t>4,837</w:t>
            </w:r>
          </w:p>
        </w:tc>
        <w:tc>
          <w:tcPr>
            <w:tcW w:w="1874" w:type="pct"/>
            <w:noWrap/>
          </w:tcPr>
          <w:p w:rsidR="003367D3" w:rsidRPr="00E63E65" w:rsidRDefault="003367D3" w:rsidP="003367D3">
            <w:pPr>
              <w:pStyle w:val="Source"/>
            </w:pPr>
            <w:r w:rsidRPr="00E63E65">
              <w:t>21,350,013</w:t>
            </w:r>
          </w:p>
        </w:tc>
      </w:tr>
      <w:tr w:rsidR="003367D3" w:rsidRPr="00E96A49" w:rsidTr="003367D3">
        <w:trPr>
          <w:trHeight w:val="300"/>
        </w:trPr>
        <w:tc>
          <w:tcPr>
            <w:tcW w:w="1439" w:type="pct"/>
            <w:noWrap/>
            <w:hideMark/>
          </w:tcPr>
          <w:p w:rsidR="003367D3" w:rsidRPr="00E63E65" w:rsidRDefault="003367D3" w:rsidP="003367D3">
            <w:pPr>
              <w:pStyle w:val="Source"/>
            </w:pPr>
            <w:r w:rsidRPr="00E63E65">
              <w:t>Ergon Energy (ERG)</w:t>
            </w:r>
          </w:p>
        </w:tc>
        <w:tc>
          <w:tcPr>
            <w:tcW w:w="1687" w:type="pct"/>
            <w:noWrap/>
          </w:tcPr>
          <w:p w:rsidR="003367D3" w:rsidRPr="00E63E65" w:rsidRDefault="003367D3" w:rsidP="003367D3">
            <w:pPr>
              <w:pStyle w:val="Source"/>
            </w:pPr>
            <w:r w:rsidRPr="00E63E65">
              <w:t>3,148</w:t>
            </w:r>
          </w:p>
        </w:tc>
        <w:tc>
          <w:tcPr>
            <w:tcW w:w="1874" w:type="pct"/>
            <w:noWrap/>
          </w:tcPr>
          <w:p w:rsidR="003367D3" w:rsidRPr="00E63E65" w:rsidRDefault="003367D3" w:rsidP="003367D3">
            <w:pPr>
              <w:pStyle w:val="Source"/>
            </w:pPr>
            <w:r w:rsidRPr="00E63E65">
              <w:t>13,677,436</w:t>
            </w:r>
          </w:p>
        </w:tc>
      </w:tr>
      <w:tr w:rsidR="003367D3" w:rsidRPr="00E96A49" w:rsidTr="003367D3">
        <w:trPr>
          <w:cnfStyle w:val="000000010000" w:firstRow="0" w:lastRow="0" w:firstColumn="0" w:lastColumn="0" w:oddVBand="0" w:evenVBand="0" w:oddHBand="0" w:evenHBand="1" w:firstRowFirstColumn="0" w:firstRowLastColumn="0" w:lastRowFirstColumn="0" w:lastRowLastColumn="0"/>
          <w:trHeight w:val="300"/>
        </w:trPr>
        <w:tc>
          <w:tcPr>
            <w:tcW w:w="1439" w:type="pct"/>
            <w:noWrap/>
            <w:hideMark/>
          </w:tcPr>
          <w:p w:rsidR="003367D3" w:rsidRPr="00E63E65" w:rsidRDefault="003367D3" w:rsidP="003367D3">
            <w:pPr>
              <w:pStyle w:val="Source"/>
            </w:pPr>
            <w:r w:rsidRPr="00E63E65">
              <w:t>Essential Energy (ESS)</w:t>
            </w:r>
          </w:p>
        </w:tc>
        <w:tc>
          <w:tcPr>
            <w:tcW w:w="1687" w:type="pct"/>
            <w:noWrap/>
          </w:tcPr>
          <w:p w:rsidR="003367D3" w:rsidRPr="00E63E65" w:rsidRDefault="003367D3" w:rsidP="003367D3">
            <w:pPr>
              <w:pStyle w:val="Source"/>
            </w:pPr>
            <w:r w:rsidRPr="00E63E65">
              <w:t>2,625</w:t>
            </w:r>
          </w:p>
        </w:tc>
        <w:tc>
          <w:tcPr>
            <w:tcW w:w="1874" w:type="pct"/>
            <w:noWrap/>
          </w:tcPr>
          <w:p w:rsidR="003367D3" w:rsidRPr="00E63E65" w:rsidRDefault="003367D3" w:rsidP="003367D3">
            <w:pPr>
              <w:pStyle w:val="Source"/>
            </w:pPr>
            <w:r w:rsidRPr="00E63E65">
              <w:t>12,044,212</w:t>
            </w:r>
          </w:p>
        </w:tc>
      </w:tr>
      <w:tr w:rsidR="003367D3" w:rsidRPr="00E96A49" w:rsidTr="003367D3">
        <w:trPr>
          <w:trHeight w:val="300"/>
        </w:trPr>
        <w:tc>
          <w:tcPr>
            <w:tcW w:w="1439" w:type="pct"/>
            <w:noWrap/>
            <w:hideMark/>
          </w:tcPr>
          <w:p w:rsidR="003367D3" w:rsidRPr="00E63E65" w:rsidRDefault="003367D3" w:rsidP="003367D3">
            <w:pPr>
              <w:pStyle w:val="Source"/>
            </w:pPr>
            <w:r w:rsidRPr="00E63E65">
              <w:t>Jemena (JEN)</w:t>
            </w:r>
          </w:p>
        </w:tc>
        <w:tc>
          <w:tcPr>
            <w:tcW w:w="1687" w:type="pct"/>
            <w:noWrap/>
          </w:tcPr>
          <w:p w:rsidR="003367D3" w:rsidRPr="00E63E65" w:rsidRDefault="003367D3" w:rsidP="003367D3">
            <w:pPr>
              <w:pStyle w:val="Source"/>
            </w:pPr>
            <w:r w:rsidRPr="00E63E65">
              <w:t>979</w:t>
            </w:r>
          </w:p>
        </w:tc>
        <w:tc>
          <w:tcPr>
            <w:tcW w:w="1874" w:type="pct"/>
            <w:noWrap/>
          </w:tcPr>
          <w:p w:rsidR="003367D3" w:rsidRPr="00E63E65" w:rsidRDefault="003367D3" w:rsidP="003367D3">
            <w:pPr>
              <w:pStyle w:val="Source"/>
            </w:pPr>
            <w:r w:rsidRPr="00E63E65">
              <w:t>4,323,904</w:t>
            </w:r>
          </w:p>
        </w:tc>
      </w:tr>
      <w:tr w:rsidR="003367D3" w:rsidRPr="00E96A49" w:rsidTr="003367D3">
        <w:trPr>
          <w:cnfStyle w:val="000000010000" w:firstRow="0" w:lastRow="0" w:firstColumn="0" w:lastColumn="0" w:oddVBand="0" w:evenVBand="0" w:oddHBand="0" w:evenHBand="1" w:firstRowFirstColumn="0" w:firstRowLastColumn="0" w:lastRowFirstColumn="0" w:lastRowLastColumn="0"/>
          <w:trHeight w:val="300"/>
        </w:trPr>
        <w:tc>
          <w:tcPr>
            <w:tcW w:w="1439" w:type="pct"/>
            <w:noWrap/>
            <w:hideMark/>
          </w:tcPr>
          <w:p w:rsidR="003367D3" w:rsidRPr="00E63E65" w:rsidRDefault="003367D3" w:rsidP="003367D3">
            <w:pPr>
              <w:pStyle w:val="Source"/>
            </w:pPr>
            <w:r w:rsidRPr="00E63E65">
              <w:t>Powercor (PCR)</w:t>
            </w:r>
          </w:p>
        </w:tc>
        <w:tc>
          <w:tcPr>
            <w:tcW w:w="1687" w:type="pct"/>
            <w:noWrap/>
          </w:tcPr>
          <w:p w:rsidR="003367D3" w:rsidRPr="00E63E65" w:rsidRDefault="003367D3" w:rsidP="003367D3">
            <w:pPr>
              <w:pStyle w:val="Source"/>
            </w:pPr>
            <w:r w:rsidRPr="00E63E65">
              <w:t>2,416</w:t>
            </w:r>
          </w:p>
        </w:tc>
        <w:tc>
          <w:tcPr>
            <w:tcW w:w="1874" w:type="pct"/>
            <w:noWrap/>
          </w:tcPr>
          <w:p w:rsidR="003367D3" w:rsidRPr="00E63E65" w:rsidRDefault="003367D3" w:rsidP="003367D3">
            <w:pPr>
              <w:pStyle w:val="Source"/>
            </w:pPr>
            <w:r w:rsidRPr="00E63E65">
              <w:t>10,556,286</w:t>
            </w:r>
          </w:p>
        </w:tc>
      </w:tr>
      <w:tr w:rsidR="003367D3" w:rsidRPr="00E96A49" w:rsidTr="003367D3">
        <w:trPr>
          <w:trHeight w:val="300"/>
        </w:trPr>
        <w:tc>
          <w:tcPr>
            <w:tcW w:w="1439" w:type="pct"/>
            <w:noWrap/>
            <w:hideMark/>
          </w:tcPr>
          <w:p w:rsidR="003367D3" w:rsidRPr="00E63E65" w:rsidRDefault="003367D3" w:rsidP="003367D3">
            <w:pPr>
              <w:pStyle w:val="Source"/>
            </w:pPr>
            <w:r w:rsidRPr="00E63E65">
              <w:t>SA Power Networks (SAP)</w:t>
            </w:r>
          </w:p>
        </w:tc>
        <w:tc>
          <w:tcPr>
            <w:tcW w:w="1687" w:type="pct"/>
            <w:noWrap/>
          </w:tcPr>
          <w:p w:rsidR="003367D3" w:rsidRPr="00E63E65" w:rsidRDefault="003367D3" w:rsidP="003367D3">
            <w:pPr>
              <w:pStyle w:val="Source"/>
            </w:pPr>
            <w:r w:rsidRPr="00E63E65">
              <w:t>2,982</w:t>
            </w:r>
          </w:p>
        </w:tc>
        <w:tc>
          <w:tcPr>
            <w:tcW w:w="1874" w:type="pct"/>
            <w:noWrap/>
          </w:tcPr>
          <w:p w:rsidR="003367D3" w:rsidRPr="00E63E65" w:rsidRDefault="003367D3" w:rsidP="003367D3">
            <w:pPr>
              <w:pStyle w:val="Source"/>
            </w:pPr>
            <w:r w:rsidRPr="00E63E65">
              <w:t>11,078,469</w:t>
            </w:r>
          </w:p>
        </w:tc>
      </w:tr>
      <w:tr w:rsidR="003367D3" w:rsidRPr="00E96A49" w:rsidTr="003367D3">
        <w:trPr>
          <w:cnfStyle w:val="000000010000" w:firstRow="0" w:lastRow="0" w:firstColumn="0" w:lastColumn="0" w:oddVBand="0" w:evenVBand="0" w:oddHBand="0" w:evenHBand="1" w:firstRowFirstColumn="0" w:firstRowLastColumn="0" w:lastRowFirstColumn="0" w:lastRowLastColumn="0"/>
          <w:trHeight w:val="300"/>
        </w:trPr>
        <w:tc>
          <w:tcPr>
            <w:tcW w:w="1439" w:type="pct"/>
            <w:noWrap/>
            <w:hideMark/>
          </w:tcPr>
          <w:p w:rsidR="003367D3" w:rsidRPr="00E63E65" w:rsidRDefault="003367D3" w:rsidP="003367D3">
            <w:pPr>
              <w:pStyle w:val="Source"/>
            </w:pPr>
            <w:r w:rsidRPr="00E63E65">
              <w:t>TasNetworks (TND)</w:t>
            </w:r>
          </w:p>
        </w:tc>
        <w:tc>
          <w:tcPr>
            <w:tcW w:w="1687" w:type="pct"/>
            <w:noWrap/>
          </w:tcPr>
          <w:p w:rsidR="003367D3" w:rsidRPr="00E63E65" w:rsidRDefault="003367D3" w:rsidP="003367D3">
            <w:pPr>
              <w:pStyle w:val="Source"/>
            </w:pPr>
            <w:r w:rsidRPr="00E63E65">
              <w:t>1,062</w:t>
            </w:r>
          </w:p>
        </w:tc>
        <w:tc>
          <w:tcPr>
            <w:tcW w:w="1874" w:type="pct"/>
            <w:noWrap/>
          </w:tcPr>
          <w:p w:rsidR="003367D3" w:rsidRPr="00E63E65" w:rsidRDefault="003367D3" w:rsidP="003367D3">
            <w:pPr>
              <w:pStyle w:val="Source"/>
            </w:pPr>
            <w:r w:rsidRPr="00E63E65">
              <w:t>4,333,489</w:t>
            </w:r>
          </w:p>
        </w:tc>
      </w:tr>
      <w:tr w:rsidR="003367D3" w:rsidRPr="00E96A49" w:rsidTr="003367D3">
        <w:trPr>
          <w:trHeight w:val="300"/>
        </w:trPr>
        <w:tc>
          <w:tcPr>
            <w:tcW w:w="1439" w:type="pct"/>
            <w:noWrap/>
            <w:hideMark/>
          </w:tcPr>
          <w:p w:rsidR="003367D3" w:rsidRPr="00E63E65" w:rsidRDefault="003367D3" w:rsidP="003367D3">
            <w:pPr>
              <w:pStyle w:val="Source"/>
            </w:pPr>
            <w:r w:rsidRPr="00E63E65">
              <w:t>United Energy (UED)</w:t>
            </w:r>
          </w:p>
        </w:tc>
        <w:tc>
          <w:tcPr>
            <w:tcW w:w="1687" w:type="pct"/>
            <w:noWrap/>
          </w:tcPr>
          <w:p w:rsidR="003367D3" w:rsidRPr="00E63E65" w:rsidRDefault="003367D3" w:rsidP="003367D3">
            <w:pPr>
              <w:pStyle w:val="Source"/>
            </w:pPr>
            <w:r w:rsidRPr="00E63E65">
              <w:t>2,002</w:t>
            </w:r>
          </w:p>
        </w:tc>
        <w:tc>
          <w:tcPr>
            <w:tcW w:w="1874" w:type="pct"/>
            <w:noWrap/>
          </w:tcPr>
          <w:p w:rsidR="003367D3" w:rsidRPr="00E63E65" w:rsidRDefault="003367D3" w:rsidP="003367D3">
            <w:pPr>
              <w:pStyle w:val="Source"/>
            </w:pPr>
            <w:r w:rsidRPr="00E63E65">
              <w:t>7,971,804</w:t>
            </w:r>
          </w:p>
        </w:tc>
      </w:tr>
    </w:tbl>
    <w:p w:rsidR="003367D3" w:rsidRPr="0069742C" w:rsidRDefault="003367D3" w:rsidP="003367D3">
      <w:pPr>
        <w:pStyle w:val="Heading9"/>
      </w:pPr>
      <w:r>
        <w:t>Reliability</w:t>
      </w:r>
    </w:p>
    <w:p w:rsidR="003367D3" w:rsidRDefault="003367D3" w:rsidP="003367D3">
      <w:r>
        <w:t xml:space="preserve">Another dimension of the outputs of </w:t>
      </w:r>
      <w:r w:rsidR="003E2578">
        <w:t xml:space="preserve">DNSPs </w:t>
      </w:r>
      <w:r>
        <w:t xml:space="preserve">is </w:t>
      </w:r>
      <w:r w:rsidR="003E2578">
        <w:t xml:space="preserve">the </w:t>
      </w:r>
      <w:r>
        <w:t>reliability</w:t>
      </w:r>
      <w:r w:rsidR="003E2578">
        <w:t xml:space="preserve"> of their electricity supply</w:t>
      </w:r>
      <w:r>
        <w:t xml:space="preserve">. </w:t>
      </w:r>
      <w:r w:rsidR="003E2578">
        <w:t>This is c</w:t>
      </w:r>
      <w:r w:rsidRPr="00843183">
        <w:t xml:space="preserve">ommonly measured as the average number of minutes off supply per customer (per annum) or the average number of interruptions per customer. </w:t>
      </w:r>
      <w:r w:rsidRPr="00843183">
        <w:fldChar w:fldCharType="begin"/>
      </w:r>
      <w:r w:rsidRPr="00843183">
        <w:instrText xml:space="preserve"> REF _Ref393099232 \h </w:instrText>
      </w:r>
      <w:r w:rsidRPr="00843183">
        <w:fldChar w:fldCharType="separate"/>
      </w:r>
      <w:r w:rsidR="00EF5714">
        <w:t xml:space="preserve">Figure </w:t>
      </w:r>
      <w:r w:rsidR="00EF5714">
        <w:rPr>
          <w:noProof/>
        </w:rPr>
        <w:t>12</w:t>
      </w:r>
      <w:r w:rsidRPr="00843183">
        <w:fldChar w:fldCharType="end"/>
      </w:r>
      <w:r w:rsidRPr="00843183">
        <w:t xml:space="preserve"> presents the average number of minutes off supply per customer</w:t>
      </w:r>
      <w:r w:rsidR="00DC3B53">
        <w:t>, excluding the effects of major events, planned outages and transmission outages</w:t>
      </w:r>
      <w:r w:rsidRPr="00843183">
        <w:t>.</w:t>
      </w:r>
    </w:p>
    <w:p w:rsidR="003367D3" w:rsidRDefault="003367D3" w:rsidP="00A75AB2">
      <w:pPr>
        <w:pStyle w:val="Caption"/>
      </w:pPr>
      <w:bookmarkStart w:id="53" w:name="_Ref393099232"/>
      <w:r>
        <w:t xml:space="preserve">Figure </w:t>
      </w:r>
      <w:r w:rsidRPr="00843183">
        <w:fldChar w:fldCharType="begin"/>
      </w:r>
      <w:r>
        <w:instrText xml:space="preserve"> SEQ Figure \* ARABIC </w:instrText>
      </w:r>
      <w:r w:rsidRPr="00843183">
        <w:fldChar w:fldCharType="separate"/>
      </w:r>
      <w:r w:rsidR="00EF5714">
        <w:rPr>
          <w:noProof/>
        </w:rPr>
        <w:t>12</w:t>
      </w:r>
      <w:r w:rsidRPr="00843183">
        <w:fldChar w:fldCharType="end"/>
      </w:r>
      <w:bookmarkEnd w:id="53"/>
      <w:r>
        <w:tab/>
        <w:t>Average minutes off supply per customer (2010–2014)</w:t>
      </w:r>
    </w:p>
    <w:p w:rsidR="003367D3" w:rsidRPr="00843183" w:rsidRDefault="006F3AC3" w:rsidP="009C6743">
      <w:pPr>
        <w:jc w:val="center"/>
      </w:pPr>
      <w:r>
        <w:rPr>
          <w:noProof/>
          <w:lang w:eastAsia="en-AU"/>
        </w:rPr>
        <w:drawing>
          <wp:inline distT="0" distB="0" distL="0" distR="0" wp14:anchorId="2B9E2179" wp14:editId="6C76F439">
            <wp:extent cx="4329375" cy="271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9375" cy="2714400"/>
                    </a:xfrm>
                    <a:prstGeom prst="rect">
                      <a:avLst/>
                    </a:prstGeom>
                    <a:noFill/>
                  </pic:spPr>
                </pic:pic>
              </a:graphicData>
            </a:graphic>
          </wp:inline>
        </w:drawing>
      </w:r>
    </w:p>
    <w:bookmarkStart w:id="54" w:name="_Ref393099246"/>
    <w:p w:rsidR="003367D3" w:rsidRDefault="003367D3" w:rsidP="003367D3">
      <w:r>
        <w:lastRenderedPageBreak/>
        <w:fldChar w:fldCharType="begin"/>
      </w:r>
      <w:r>
        <w:instrText xml:space="preserve"> REF _Ref429650155 \h </w:instrText>
      </w:r>
      <w:r>
        <w:fldChar w:fldCharType="separate"/>
      </w:r>
      <w:r w:rsidR="00EF5714">
        <w:t xml:space="preserve">Figure </w:t>
      </w:r>
      <w:r w:rsidR="00EF5714">
        <w:rPr>
          <w:noProof/>
        </w:rPr>
        <w:t>13</w:t>
      </w:r>
      <w:r>
        <w:fldChar w:fldCharType="end"/>
      </w:r>
      <w:r w:rsidRPr="00843183">
        <w:t xml:space="preserve"> presents the average number of interruptions to supply per customer</w:t>
      </w:r>
      <w:r w:rsidR="00DC3B53">
        <w:t>, excluding the effects of major events, planned outages and transmission outages</w:t>
      </w:r>
      <w:r w:rsidRPr="00843183">
        <w:t>. There are other measurements of reliability</w:t>
      </w:r>
      <w:r>
        <w:t xml:space="preserve"> but</w:t>
      </w:r>
      <w:r w:rsidRPr="00843183">
        <w:t xml:space="preserve"> the frequency and duration of interruptions to supply per customer are the </w:t>
      </w:r>
      <w:r w:rsidR="009B5636">
        <w:t xml:space="preserve">IEEE </w:t>
      </w:r>
      <w:r w:rsidRPr="00843183">
        <w:t xml:space="preserve">standard measures for </w:t>
      </w:r>
      <w:r w:rsidR="00DC3B53">
        <w:t>DNSPs</w:t>
      </w:r>
      <w:r w:rsidRPr="00843183">
        <w:t>.</w:t>
      </w:r>
    </w:p>
    <w:p w:rsidR="003367D3" w:rsidRDefault="003367D3" w:rsidP="00A75AB2">
      <w:pPr>
        <w:pStyle w:val="Caption"/>
      </w:pPr>
      <w:bookmarkStart w:id="55" w:name="_Ref429650155"/>
      <w:r>
        <w:t xml:space="preserve">Figure </w:t>
      </w:r>
      <w:r w:rsidRPr="00843183">
        <w:fldChar w:fldCharType="begin"/>
      </w:r>
      <w:r>
        <w:instrText xml:space="preserve"> SEQ Figure \* ARABIC </w:instrText>
      </w:r>
      <w:r w:rsidRPr="00843183">
        <w:fldChar w:fldCharType="separate"/>
      </w:r>
      <w:r w:rsidR="00EF5714">
        <w:rPr>
          <w:noProof/>
        </w:rPr>
        <w:t>13</w:t>
      </w:r>
      <w:r w:rsidRPr="00843183">
        <w:fldChar w:fldCharType="end"/>
      </w:r>
      <w:bookmarkEnd w:id="54"/>
      <w:bookmarkEnd w:id="55"/>
      <w:r w:rsidR="004930DF">
        <w:tab/>
      </w:r>
      <w:r>
        <w:t>Average number of interruptions per customer (2010–2014)</w:t>
      </w:r>
    </w:p>
    <w:p w:rsidR="003367D3" w:rsidRPr="00843183" w:rsidRDefault="00DA7D3F" w:rsidP="009C6743">
      <w:pPr>
        <w:jc w:val="center"/>
      </w:pPr>
      <w:r w:rsidRPr="00DA7D3F">
        <w:rPr>
          <w:noProof/>
          <w:lang w:eastAsia="en-AU"/>
        </w:rPr>
        <w:drawing>
          <wp:inline distT="0" distB="0" distL="0" distR="0" wp14:anchorId="2A8423AC" wp14:editId="2A5945CB">
            <wp:extent cx="4402008" cy="2755724"/>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02066" cy="2755760"/>
                    </a:xfrm>
                    <a:prstGeom prst="rect">
                      <a:avLst/>
                    </a:prstGeom>
                    <a:noFill/>
                    <a:ln>
                      <a:noFill/>
                    </a:ln>
                  </pic:spPr>
                </pic:pic>
              </a:graphicData>
            </a:graphic>
          </wp:inline>
        </w:drawing>
      </w:r>
    </w:p>
    <w:p w:rsidR="003367D3" w:rsidRPr="0069742C" w:rsidRDefault="003367D3" w:rsidP="003367D3">
      <w:pPr>
        <w:pStyle w:val="Heading8"/>
      </w:pPr>
      <w:bookmarkStart w:id="56" w:name="_Toc404010812"/>
      <w:r>
        <w:t>I</w:t>
      </w:r>
      <w:r w:rsidRPr="002F74A2">
        <w:t>nputs</w:t>
      </w:r>
      <w:bookmarkEnd w:id="56"/>
    </w:p>
    <w:p w:rsidR="00E61830" w:rsidRDefault="00DC3B53" w:rsidP="00E61830">
      <w:r>
        <w:t xml:space="preserve">The inputs used in this report are assets and opex. DNSPs </w:t>
      </w:r>
      <w:r w:rsidR="003367D3">
        <w:t>use a mix of assets and opex to deliver services.</w:t>
      </w:r>
      <w:r w:rsidR="00E61830">
        <w:t xml:space="preserve"> Electricity transmission assets can provide useful service over several decades. However, benchmarking studies typically focus on a shorter period of time.</w:t>
      </w:r>
    </w:p>
    <w:p w:rsidR="0051793E" w:rsidRDefault="0051793E" w:rsidP="003B5243">
      <w:r>
        <w:t xml:space="preserve">For our MTFP analysis we use physical measures of capital inputs. </w:t>
      </w:r>
      <w:r w:rsidR="003B5243">
        <w:t xml:space="preserve">Using physical values for inputs has the advantage </w:t>
      </w:r>
      <w:r w:rsidR="003B5243" w:rsidRPr="0051793E">
        <w:t xml:space="preserve">of best reflecting the physical depreciation profile of DNSP assets. </w:t>
      </w:r>
      <w:r w:rsidR="003B5243">
        <w:t>Our</w:t>
      </w:r>
      <w:r>
        <w:t xml:space="preserve"> MTFP analysis</w:t>
      </w:r>
      <w:r w:rsidRPr="0051793E">
        <w:t xml:space="preserve"> </w:t>
      </w:r>
      <w:r w:rsidR="003B5243">
        <w:t xml:space="preserve">uses five physical measures of capital inputs: </w:t>
      </w:r>
      <w:r w:rsidR="001578D9">
        <w:t>the capacity</w:t>
      </w:r>
      <w:r w:rsidR="00736AC1">
        <w:t xml:space="preserve"> of</w:t>
      </w:r>
      <w:r w:rsidR="001578D9">
        <w:t xml:space="preserve"> transformer</w:t>
      </w:r>
      <w:r w:rsidR="003B5243">
        <w:t>s, overhead lines above 33kV, overhead lines below 33kV, underground cables above 33kV and underground cables below 33kV</w:t>
      </w:r>
      <w:r w:rsidR="001578D9">
        <w:t xml:space="preserve">. </w:t>
      </w:r>
      <w:r w:rsidR="003B5243">
        <w:t>The MTFP analysis also uses constant dollar opex as an input.</w:t>
      </w:r>
      <w:r w:rsidR="00736AC1">
        <w:t xml:space="preserve"> The </w:t>
      </w:r>
      <w:r w:rsidR="009B5636">
        <w:t xml:space="preserve">November 2014 </w:t>
      </w:r>
      <w:r w:rsidR="00736AC1">
        <w:t xml:space="preserve">Economic Insights </w:t>
      </w:r>
      <w:r w:rsidR="009B5636">
        <w:t xml:space="preserve">report </w:t>
      </w:r>
      <w:r w:rsidR="00736AC1">
        <w:t xml:space="preserve">referred to in Appendix </w:t>
      </w:r>
      <w:r w:rsidR="00736AC1">
        <w:fldChar w:fldCharType="begin"/>
      </w:r>
      <w:r w:rsidR="00736AC1">
        <w:instrText xml:space="preserve"> REF _Ref432682897 \n \h </w:instrText>
      </w:r>
      <w:r w:rsidR="00736AC1">
        <w:fldChar w:fldCharType="separate"/>
      </w:r>
      <w:r w:rsidR="00EF5714">
        <w:t>A</w:t>
      </w:r>
      <w:r w:rsidR="00736AC1">
        <w:fldChar w:fldCharType="end"/>
      </w:r>
      <w:r w:rsidR="00736AC1">
        <w:t xml:space="preserve"> provide</w:t>
      </w:r>
      <w:r w:rsidR="009B5636">
        <w:t>s</w:t>
      </w:r>
      <w:r w:rsidR="00736AC1">
        <w:t xml:space="preserve"> further detail on the capital inputs for MTFP.</w:t>
      </w:r>
    </w:p>
    <w:p w:rsidR="003367D3" w:rsidRDefault="003367D3" w:rsidP="003367D3">
      <w:r>
        <w:t>F</w:t>
      </w:r>
      <w:r w:rsidRPr="00F2218C">
        <w:t xml:space="preserve">or the purpose of </w:t>
      </w:r>
      <w:r w:rsidR="0051210C">
        <w:t>PPI</w:t>
      </w:r>
      <w:r w:rsidRPr="00F2218C">
        <w:t xml:space="preserve"> analysis we </w:t>
      </w:r>
      <w:r>
        <w:t>use</w:t>
      </w:r>
      <w:r w:rsidRPr="00F2218C">
        <w:t xml:space="preserve"> the</w:t>
      </w:r>
      <w:r>
        <w:t xml:space="preserve"> </w:t>
      </w:r>
      <w:r w:rsidR="002717F6">
        <w:t xml:space="preserve">real </w:t>
      </w:r>
      <w:r>
        <w:t xml:space="preserve">price value of the </w:t>
      </w:r>
      <w:r w:rsidR="00DC3B53">
        <w:t>regulatory asset base (</w:t>
      </w:r>
      <w:r>
        <w:t>referred to as</w:t>
      </w:r>
      <w:r w:rsidRPr="00F2218C">
        <w:t xml:space="preserve"> </w:t>
      </w:r>
      <w:r w:rsidRPr="00062D57">
        <w:t>'asset cost'</w:t>
      </w:r>
      <w:r>
        <w:t>)</w:t>
      </w:r>
      <w:r w:rsidRPr="00062D57">
        <w:t xml:space="preserve"> </w:t>
      </w:r>
      <w:r>
        <w:t>as the proxy for assets</w:t>
      </w:r>
      <w:r w:rsidRPr="00062D57">
        <w:t xml:space="preserve">. </w:t>
      </w:r>
    </w:p>
    <w:p w:rsidR="003367D3" w:rsidRPr="00062D57" w:rsidRDefault="003367D3" w:rsidP="003367D3">
      <w:r>
        <w:t>A</w:t>
      </w:r>
      <w:r w:rsidRPr="00062D57">
        <w:t>sset cost is the sum of annual depreciation and return on investment. This measure has the advantage of reflecting the total cost of assets for which customers are billed</w:t>
      </w:r>
      <w:r w:rsidRPr="00242D2F">
        <w:t xml:space="preserve"> </w:t>
      </w:r>
      <w:r>
        <w:t xml:space="preserve">on an </w:t>
      </w:r>
      <w:r w:rsidRPr="00062D57">
        <w:t>annual</w:t>
      </w:r>
      <w:r>
        <w:t xml:space="preserve"> basis, using</w:t>
      </w:r>
      <w:r w:rsidRPr="008B5C2A">
        <w:t xml:space="preserve"> the average return on capital over the period</w:t>
      </w:r>
      <w:r>
        <w:t>. This</w:t>
      </w:r>
      <w:r w:rsidRPr="008B5C2A">
        <w:t xml:space="preserve"> accounts for variations in the return on capital across </w:t>
      </w:r>
      <w:r w:rsidR="00DC3B53">
        <w:t>DNSPs</w:t>
      </w:r>
      <w:r w:rsidRPr="008B5C2A">
        <w:t xml:space="preserve"> and over time</w:t>
      </w:r>
      <w:r w:rsidR="00DC3B53">
        <w:t>.</w:t>
      </w:r>
    </w:p>
    <w:p w:rsidR="003367D3" w:rsidRPr="00062D57" w:rsidRDefault="003367D3" w:rsidP="003367D3">
      <w:r w:rsidRPr="00062D57">
        <w:lastRenderedPageBreak/>
        <w:fldChar w:fldCharType="begin"/>
      </w:r>
      <w:r w:rsidRPr="00062D57">
        <w:instrText xml:space="preserve"> REF _Ref404353491 \h </w:instrText>
      </w:r>
      <w:r w:rsidRPr="00062D57">
        <w:fldChar w:fldCharType="separate"/>
      </w:r>
      <w:r w:rsidR="00EF5714" w:rsidRPr="002F74A2">
        <w:t xml:space="preserve">Table </w:t>
      </w:r>
      <w:r w:rsidR="00EF5714">
        <w:rPr>
          <w:noProof/>
        </w:rPr>
        <w:t>3</w:t>
      </w:r>
      <w:r w:rsidRPr="00062D57">
        <w:fldChar w:fldCharType="end"/>
      </w:r>
      <w:r w:rsidRPr="00062D57">
        <w:t xml:space="preserve"> presents measures of the cost of network inputs </w:t>
      </w:r>
      <w:r>
        <w:t xml:space="preserve">relevant to opex and assets </w:t>
      </w:r>
      <w:r w:rsidRPr="00062D57">
        <w:t xml:space="preserve">for all </w:t>
      </w:r>
      <w:r w:rsidR="00EF246D">
        <w:t>DNSPs</w:t>
      </w:r>
      <w:r w:rsidRPr="00062D57">
        <w:t xml:space="preserve">. We have presented the average annual network costs over five years in this table to moderate the effect of any one-off fluctuations in </w:t>
      </w:r>
      <w:r w:rsidR="00EF246D">
        <w:t>cost</w:t>
      </w:r>
      <w:r w:rsidRPr="00062D57">
        <w:t>.</w:t>
      </w:r>
      <w:bookmarkStart w:id="57" w:name="_Ref389743239"/>
      <w:r>
        <w:t xml:space="preserve"> </w:t>
      </w:r>
    </w:p>
    <w:p w:rsidR="003367D3" w:rsidRPr="002F74A2" w:rsidRDefault="003367D3" w:rsidP="00A75AB2">
      <w:pPr>
        <w:pStyle w:val="Caption"/>
      </w:pPr>
      <w:bookmarkStart w:id="58" w:name="_Ref404353491"/>
      <w:r w:rsidRPr="002F74A2">
        <w:t xml:space="preserve">Table </w:t>
      </w:r>
      <w:r w:rsidRPr="00062D57">
        <w:fldChar w:fldCharType="begin"/>
      </w:r>
      <w:r>
        <w:instrText xml:space="preserve"> SEQ Table \* ARABIC </w:instrText>
      </w:r>
      <w:r w:rsidRPr="00062D57">
        <w:fldChar w:fldCharType="separate"/>
      </w:r>
      <w:r w:rsidR="00EF5714">
        <w:rPr>
          <w:noProof/>
        </w:rPr>
        <w:t>3</w:t>
      </w:r>
      <w:r w:rsidRPr="00062D57">
        <w:fldChar w:fldCharType="end"/>
      </w:r>
      <w:bookmarkEnd w:id="57"/>
      <w:bookmarkEnd w:id="58"/>
      <w:r w:rsidRPr="002F74A2">
        <w:tab/>
        <w:t xml:space="preserve">Average </w:t>
      </w:r>
      <w:r>
        <w:t>annual costs for network inputs for 2010</w:t>
      </w:r>
      <w:r w:rsidRPr="002F74A2">
        <w:t>–1</w:t>
      </w:r>
      <w:r>
        <w:t>4</w:t>
      </w:r>
      <w:r w:rsidR="00DC3B53">
        <w:t xml:space="preserve"> ($m, 2014)</w:t>
      </w:r>
    </w:p>
    <w:tbl>
      <w:tblPr>
        <w:tblStyle w:val="AERTable-Text"/>
        <w:tblW w:w="5000" w:type="pct"/>
        <w:tblLook w:val="04A0" w:firstRow="1" w:lastRow="0" w:firstColumn="1" w:lastColumn="0" w:noHBand="0" w:noVBand="1"/>
      </w:tblPr>
      <w:tblGrid>
        <w:gridCol w:w="2785"/>
        <w:gridCol w:w="1262"/>
        <w:gridCol w:w="1469"/>
        <w:gridCol w:w="1586"/>
        <w:gridCol w:w="1591"/>
      </w:tblGrid>
      <w:tr w:rsidR="00DC3B53" w:rsidRPr="002F74A2" w:rsidTr="00DC3B53">
        <w:trPr>
          <w:cnfStyle w:val="100000000000" w:firstRow="1" w:lastRow="0" w:firstColumn="0" w:lastColumn="0" w:oddVBand="0" w:evenVBand="0" w:oddHBand="0" w:evenHBand="0" w:firstRowFirstColumn="0" w:firstRowLastColumn="0" w:lastRowFirstColumn="0" w:lastRowLastColumn="0"/>
          <w:trHeight w:val="300"/>
        </w:trPr>
        <w:tc>
          <w:tcPr>
            <w:tcW w:w="1602" w:type="pct"/>
            <w:noWrap/>
            <w:hideMark/>
          </w:tcPr>
          <w:p w:rsidR="00DC3B53" w:rsidRPr="00062D57" w:rsidRDefault="00DC3B53" w:rsidP="003367D3">
            <w:pPr>
              <w:pStyle w:val="Source"/>
            </w:pPr>
          </w:p>
        </w:tc>
        <w:tc>
          <w:tcPr>
            <w:tcW w:w="726" w:type="pct"/>
            <w:noWrap/>
            <w:hideMark/>
          </w:tcPr>
          <w:p w:rsidR="00DC3B53" w:rsidRPr="00062D57" w:rsidRDefault="00DC3B53" w:rsidP="003367D3">
            <w:pPr>
              <w:pStyle w:val="Source"/>
            </w:pPr>
            <w:r w:rsidRPr="002F74A2">
              <w:t>Opex</w:t>
            </w:r>
          </w:p>
        </w:tc>
        <w:tc>
          <w:tcPr>
            <w:tcW w:w="845" w:type="pct"/>
            <w:noWrap/>
            <w:hideMark/>
          </w:tcPr>
          <w:p w:rsidR="00DC3B53" w:rsidRPr="00062D57" w:rsidRDefault="00DC3B53" w:rsidP="003367D3">
            <w:pPr>
              <w:pStyle w:val="Source"/>
            </w:pPr>
            <w:r w:rsidRPr="002F74A2">
              <w:t>RAB</w:t>
            </w:r>
          </w:p>
        </w:tc>
        <w:tc>
          <w:tcPr>
            <w:tcW w:w="912" w:type="pct"/>
          </w:tcPr>
          <w:p w:rsidR="00DC3B53" w:rsidRPr="00062D57" w:rsidRDefault="00DC3B53" w:rsidP="003367D3">
            <w:pPr>
              <w:pStyle w:val="Source"/>
            </w:pPr>
            <w:r>
              <w:t>Depreciation</w:t>
            </w:r>
          </w:p>
        </w:tc>
        <w:tc>
          <w:tcPr>
            <w:tcW w:w="915" w:type="pct"/>
          </w:tcPr>
          <w:p w:rsidR="00DC3B53" w:rsidRPr="00062D57" w:rsidRDefault="00DC3B53" w:rsidP="003367D3">
            <w:pPr>
              <w:pStyle w:val="Source"/>
            </w:pPr>
            <w:r w:rsidRPr="002F74A2">
              <w:t>Asset cost</w:t>
            </w:r>
          </w:p>
        </w:tc>
      </w:tr>
      <w:tr w:rsidR="005A7ABB" w:rsidRPr="002F74A2" w:rsidTr="00DC3B53">
        <w:trPr>
          <w:trHeight w:val="300"/>
        </w:trPr>
        <w:tc>
          <w:tcPr>
            <w:tcW w:w="1602" w:type="pct"/>
            <w:noWrap/>
            <w:hideMark/>
          </w:tcPr>
          <w:p w:rsidR="005A7ABB" w:rsidRPr="00EE431C" w:rsidRDefault="005A7ABB" w:rsidP="003367D3">
            <w:pPr>
              <w:pStyle w:val="Source"/>
            </w:pPr>
            <w:r w:rsidRPr="00EE431C">
              <w:t>ActewAGL (ACT)</w:t>
            </w:r>
          </w:p>
        </w:tc>
        <w:tc>
          <w:tcPr>
            <w:tcW w:w="726" w:type="pct"/>
            <w:noWrap/>
          </w:tcPr>
          <w:p w:rsidR="005A7ABB" w:rsidRPr="00EE431C" w:rsidRDefault="005A7ABB" w:rsidP="003367D3">
            <w:pPr>
              <w:pStyle w:val="Source"/>
            </w:pPr>
            <w:r w:rsidRPr="001439BD">
              <w:t>73.92</w:t>
            </w:r>
          </w:p>
        </w:tc>
        <w:tc>
          <w:tcPr>
            <w:tcW w:w="845" w:type="pct"/>
            <w:noWrap/>
          </w:tcPr>
          <w:p w:rsidR="005A7ABB" w:rsidRPr="00EE431C" w:rsidRDefault="005A7ABB" w:rsidP="003367D3">
            <w:pPr>
              <w:pStyle w:val="Source"/>
            </w:pPr>
            <w:r w:rsidRPr="00EE431C">
              <w:t>764.91</w:t>
            </w:r>
          </w:p>
        </w:tc>
        <w:tc>
          <w:tcPr>
            <w:tcW w:w="912" w:type="pct"/>
          </w:tcPr>
          <w:p w:rsidR="005A7ABB" w:rsidRPr="00EE431C" w:rsidRDefault="005A7ABB" w:rsidP="003367D3">
            <w:pPr>
              <w:pStyle w:val="Source"/>
            </w:pPr>
            <w:r w:rsidRPr="002D6DC2">
              <w:t>40.14</w:t>
            </w:r>
          </w:p>
        </w:tc>
        <w:tc>
          <w:tcPr>
            <w:tcW w:w="915" w:type="pct"/>
          </w:tcPr>
          <w:p w:rsidR="005A7ABB" w:rsidRPr="00EE431C" w:rsidRDefault="005A7ABB" w:rsidP="003367D3">
            <w:pPr>
              <w:pStyle w:val="Source"/>
            </w:pPr>
            <w:r w:rsidRPr="00B546EA">
              <w:t>82.73</w:t>
            </w:r>
          </w:p>
        </w:tc>
      </w:tr>
      <w:tr w:rsidR="005A7ABB" w:rsidRPr="002F74A2" w:rsidTr="00DC3B53">
        <w:trPr>
          <w:cnfStyle w:val="000000010000" w:firstRow="0" w:lastRow="0" w:firstColumn="0" w:lastColumn="0" w:oddVBand="0" w:evenVBand="0" w:oddHBand="0" w:evenHBand="1" w:firstRowFirstColumn="0" w:firstRowLastColumn="0" w:lastRowFirstColumn="0" w:lastRowLastColumn="0"/>
          <w:trHeight w:val="300"/>
        </w:trPr>
        <w:tc>
          <w:tcPr>
            <w:tcW w:w="1602" w:type="pct"/>
            <w:noWrap/>
            <w:hideMark/>
          </w:tcPr>
          <w:p w:rsidR="005A7ABB" w:rsidRPr="00EE431C" w:rsidRDefault="005A7ABB" w:rsidP="003367D3">
            <w:pPr>
              <w:pStyle w:val="Source"/>
            </w:pPr>
            <w:r w:rsidRPr="00EE431C">
              <w:t>Ausgrid (AGD)</w:t>
            </w:r>
          </w:p>
        </w:tc>
        <w:tc>
          <w:tcPr>
            <w:tcW w:w="726" w:type="pct"/>
            <w:noWrap/>
          </w:tcPr>
          <w:p w:rsidR="005A7ABB" w:rsidRPr="00EE431C" w:rsidRDefault="005A7ABB" w:rsidP="003367D3">
            <w:pPr>
              <w:pStyle w:val="Source"/>
            </w:pPr>
            <w:r w:rsidRPr="001439BD">
              <w:t>558.69</w:t>
            </w:r>
          </w:p>
        </w:tc>
        <w:tc>
          <w:tcPr>
            <w:tcW w:w="845" w:type="pct"/>
            <w:noWrap/>
          </w:tcPr>
          <w:p w:rsidR="005A7ABB" w:rsidRPr="00EE431C" w:rsidRDefault="005A7ABB" w:rsidP="003367D3">
            <w:pPr>
              <w:pStyle w:val="Source"/>
            </w:pPr>
            <w:r w:rsidRPr="00EE431C">
              <w:t>12,202.29</w:t>
            </w:r>
          </w:p>
        </w:tc>
        <w:tc>
          <w:tcPr>
            <w:tcW w:w="912" w:type="pct"/>
          </w:tcPr>
          <w:p w:rsidR="005A7ABB" w:rsidRPr="00EE431C" w:rsidRDefault="005A7ABB" w:rsidP="003367D3">
            <w:pPr>
              <w:pStyle w:val="Source"/>
            </w:pPr>
            <w:r w:rsidRPr="002D6DC2">
              <w:t>412.88</w:t>
            </w:r>
          </w:p>
        </w:tc>
        <w:tc>
          <w:tcPr>
            <w:tcW w:w="915" w:type="pct"/>
          </w:tcPr>
          <w:p w:rsidR="005A7ABB" w:rsidRPr="00EE431C" w:rsidRDefault="005A7ABB" w:rsidP="003367D3">
            <w:pPr>
              <w:pStyle w:val="Source"/>
            </w:pPr>
            <w:r w:rsidRPr="00B546EA">
              <w:t>1092.35</w:t>
            </w:r>
          </w:p>
        </w:tc>
      </w:tr>
      <w:tr w:rsidR="005A7ABB" w:rsidRPr="002F74A2" w:rsidTr="00DC3B53">
        <w:trPr>
          <w:trHeight w:val="300"/>
        </w:trPr>
        <w:tc>
          <w:tcPr>
            <w:tcW w:w="1602" w:type="pct"/>
            <w:noWrap/>
          </w:tcPr>
          <w:p w:rsidR="005A7ABB" w:rsidRPr="00EE431C" w:rsidRDefault="005A7ABB" w:rsidP="003367D3">
            <w:pPr>
              <w:pStyle w:val="Source"/>
            </w:pPr>
            <w:r w:rsidRPr="00EE431C">
              <w:t>AusNet Services (AND)</w:t>
            </w:r>
          </w:p>
        </w:tc>
        <w:tc>
          <w:tcPr>
            <w:tcW w:w="726" w:type="pct"/>
            <w:noWrap/>
          </w:tcPr>
          <w:p w:rsidR="005A7ABB" w:rsidRPr="00EE431C" w:rsidRDefault="005A7ABB" w:rsidP="003367D3">
            <w:pPr>
              <w:pStyle w:val="Source"/>
            </w:pPr>
            <w:r w:rsidRPr="001439BD">
              <w:t>171.94</w:t>
            </w:r>
          </w:p>
        </w:tc>
        <w:tc>
          <w:tcPr>
            <w:tcW w:w="845" w:type="pct"/>
            <w:noWrap/>
          </w:tcPr>
          <w:p w:rsidR="005A7ABB" w:rsidRPr="00EE431C" w:rsidRDefault="005A7ABB" w:rsidP="003367D3">
            <w:pPr>
              <w:pStyle w:val="Source"/>
            </w:pPr>
            <w:r w:rsidRPr="00EE431C">
              <w:t>2,590.48</w:t>
            </w:r>
          </w:p>
        </w:tc>
        <w:tc>
          <w:tcPr>
            <w:tcW w:w="912" w:type="pct"/>
          </w:tcPr>
          <w:p w:rsidR="005A7ABB" w:rsidRPr="00EE431C" w:rsidRDefault="005A7ABB" w:rsidP="003367D3">
            <w:pPr>
              <w:pStyle w:val="Source"/>
            </w:pPr>
            <w:r w:rsidRPr="005A7ABB">
              <w:t>124.85</w:t>
            </w:r>
          </w:p>
        </w:tc>
        <w:tc>
          <w:tcPr>
            <w:tcW w:w="915" w:type="pct"/>
          </w:tcPr>
          <w:p w:rsidR="005A7ABB" w:rsidRPr="00EE431C" w:rsidRDefault="005A7ABB" w:rsidP="003367D3">
            <w:pPr>
              <w:pStyle w:val="Source"/>
            </w:pPr>
            <w:r w:rsidRPr="00B546EA">
              <w:t>269.10</w:t>
            </w:r>
          </w:p>
        </w:tc>
      </w:tr>
      <w:tr w:rsidR="005A7ABB" w:rsidRPr="002F74A2" w:rsidTr="00DC3B53">
        <w:trPr>
          <w:cnfStyle w:val="000000010000" w:firstRow="0" w:lastRow="0" w:firstColumn="0" w:lastColumn="0" w:oddVBand="0" w:evenVBand="0" w:oddHBand="0" w:evenHBand="1" w:firstRowFirstColumn="0" w:firstRowLastColumn="0" w:lastRowFirstColumn="0" w:lastRowLastColumn="0"/>
          <w:trHeight w:val="300"/>
        </w:trPr>
        <w:tc>
          <w:tcPr>
            <w:tcW w:w="1602" w:type="pct"/>
            <w:noWrap/>
            <w:hideMark/>
          </w:tcPr>
          <w:p w:rsidR="005A7ABB" w:rsidRPr="00EE431C" w:rsidRDefault="005A7ABB" w:rsidP="003367D3">
            <w:pPr>
              <w:pStyle w:val="Source"/>
            </w:pPr>
            <w:r w:rsidRPr="00EE431C">
              <w:t>CitiPower (CIT)</w:t>
            </w:r>
          </w:p>
        </w:tc>
        <w:tc>
          <w:tcPr>
            <w:tcW w:w="726" w:type="pct"/>
            <w:noWrap/>
          </w:tcPr>
          <w:p w:rsidR="005A7ABB" w:rsidRPr="00EE431C" w:rsidRDefault="005A7ABB" w:rsidP="003367D3">
            <w:pPr>
              <w:pStyle w:val="Source"/>
            </w:pPr>
            <w:r w:rsidRPr="001439BD">
              <w:t>53.09</w:t>
            </w:r>
          </w:p>
        </w:tc>
        <w:tc>
          <w:tcPr>
            <w:tcW w:w="845" w:type="pct"/>
            <w:noWrap/>
          </w:tcPr>
          <w:p w:rsidR="005A7ABB" w:rsidRPr="00EE431C" w:rsidRDefault="005A7ABB" w:rsidP="003367D3">
            <w:pPr>
              <w:pStyle w:val="Source"/>
            </w:pPr>
            <w:r w:rsidRPr="00EE431C">
              <w:t>1,226.32</w:t>
            </w:r>
          </w:p>
        </w:tc>
        <w:tc>
          <w:tcPr>
            <w:tcW w:w="912" w:type="pct"/>
          </w:tcPr>
          <w:p w:rsidR="005A7ABB" w:rsidRPr="00EE431C" w:rsidRDefault="005A7ABB" w:rsidP="003367D3">
            <w:pPr>
              <w:pStyle w:val="Source"/>
            </w:pPr>
            <w:r w:rsidRPr="00A823D9">
              <w:t>61.08</w:t>
            </w:r>
          </w:p>
        </w:tc>
        <w:tc>
          <w:tcPr>
            <w:tcW w:w="915" w:type="pct"/>
          </w:tcPr>
          <w:p w:rsidR="005A7ABB" w:rsidRPr="00EE431C" w:rsidRDefault="005A7ABB" w:rsidP="003367D3">
            <w:pPr>
              <w:pStyle w:val="Source"/>
            </w:pPr>
            <w:r w:rsidRPr="00B546EA">
              <w:t>129.36</w:t>
            </w:r>
          </w:p>
        </w:tc>
      </w:tr>
      <w:tr w:rsidR="005A7ABB" w:rsidRPr="002F74A2" w:rsidTr="00DC3B53">
        <w:trPr>
          <w:trHeight w:val="300"/>
        </w:trPr>
        <w:tc>
          <w:tcPr>
            <w:tcW w:w="1602" w:type="pct"/>
            <w:noWrap/>
            <w:hideMark/>
          </w:tcPr>
          <w:p w:rsidR="005A7ABB" w:rsidRPr="00EE431C" w:rsidRDefault="005A7ABB" w:rsidP="003367D3">
            <w:pPr>
              <w:pStyle w:val="Source"/>
            </w:pPr>
            <w:r w:rsidRPr="00EE431C">
              <w:t>Endeavour Energy (END)</w:t>
            </w:r>
          </w:p>
        </w:tc>
        <w:tc>
          <w:tcPr>
            <w:tcW w:w="726" w:type="pct"/>
            <w:noWrap/>
          </w:tcPr>
          <w:p w:rsidR="005A7ABB" w:rsidRPr="00EE431C" w:rsidRDefault="005A7ABB" w:rsidP="003367D3">
            <w:pPr>
              <w:pStyle w:val="Source"/>
            </w:pPr>
            <w:r w:rsidRPr="001439BD">
              <w:t>248.62</w:t>
            </w:r>
          </w:p>
        </w:tc>
        <w:tc>
          <w:tcPr>
            <w:tcW w:w="845" w:type="pct"/>
            <w:noWrap/>
          </w:tcPr>
          <w:p w:rsidR="005A7ABB" w:rsidRPr="00EE431C" w:rsidRDefault="005A7ABB" w:rsidP="003367D3">
            <w:pPr>
              <w:pStyle w:val="Source"/>
            </w:pPr>
            <w:r w:rsidRPr="00EE431C">
              <w:t>4,906.24</w:t>
            </w:r>
          </w:p>
        </w:tc>
        <w:tc>
          <w:tcPr>
            <w:tcW w:w="912" w:type="pct"/>
          </w:tcPr>
          <w:p w:rsidR="005A7ABB" w:rsidRPr="00EE431C" w:rsidRDefault="005A7ABB" w:rsidP="003367D3">
            <w:pPr>
              <w:pStyle w:val="Source"/>
            </w:pPr>
            <w:r w:rsidRPr="00A823D9">
              <w:t>241.11</w:t>
            </w:r>
          </w:p>
        </w:tc>
        <w:tc>
          <w:tcPr>
            <w:tcW w:w="915" w:type="pct"/>
          </w:tcPr>
          <w:p w:rsidR="005A7ABB" w:rsidRPr="00EE431C" w:rsidRDefault="005A7ABB" w:rsidP="003367D3">
            <w:pPr>
              <w:pStyle w:val="Source"/>
            </w:pPr>
            <w:r w:rsidRPr="00B546EA">
              <w:t>514.31</w:t>
            </w:r>
          </w:p>
        </w:tc>
      </w:tr>
      <w:tr w:rsidR="005A7ABB" w:rsidRPr="002F74A2" w:rsidTr="00DC3B53">
        <w:trPr>
          <w:cnfStyle w:val="000000010000" w:firstRow="0" w:lastRow="0" w:firstColumn="0" w:lastColumn="0" w:oddVBand="0" w:evenVBand="0" w:oddHBand="0" w:evenHBand="1" w:firstRowFirstColumn="0" w:firstRowLastColumn="0" w:lastRowFirstColumn="0" w:lastRowLastColumn="0"/>
          <w:trHeight w:val="300"/>
        </w:trPr>
        <w:tc>
          <w:tcPr>
            <w:tcW w:w="1602" w:type="pct"/>
            <w:noWrap/>
            <w:hideMark/>
          </w:tcPr>
          <w:p w:rsidR="005A7ABB" w:rsidRPr="00EE431C" w:rsidRDefault="005A7ABB" w:rsidP="003367D3">
            <w:pPr>
              <w:pStyle w:val="Source"/>
            </w:pPr>
            <w:r w:rsidRPr="00EE431C">
              <w:t>Energex (ENX)</w:t>
            </w:r>
          </w:p>
        </w:tc>
        <w:tc>
          <w:tcPr>
            <w:tcW w:w="726" w:type="pct"/>
            <w:noWrap/>
          </w:tcPr>
          <w:p w:rsidR="005A7ABB" w:rsidRPr="00EE431C" w:rsidRDefault="005A7ABB" w:rsidP="003367D3">
            <w:pPr>
              <w:pStyle w:val="Source"/>
            </w:pPr>
            <w:r w:rsidRPr="001439BD">
              <w:t>363.36</w:t>
            </w:r>
          </w:p>
        </w:tc>
        <w:tc>
          <w:tcPr>
            <w:tcW w:w="845" w:type="pct"/>
            <w:noWrap/>
          </w:tcPr>
          <w:p w:rsidR="005A7ABB" w:rsidRPr="00EE431C" w:rsidRDefault="005A7ABB" w:rsidP="003367D3">
            <w:pPr>
              <w:pStyle w:val="Source"/>
            </w:pPr>
            <w:r w:rsidRPr="00EE431C">
              <w:t>7,514.82</w:t>
            </w:r>
          </w:p>
        </w:tc>
        <w:tc>
          <w:tcPr>
            <w:tcW w:w="912" w:type="pct"/>
          </w:tcPr>
          <w:p w:rsidR="005A7ABB" w:rsidRPr="00EE431C" w:rsidRDefault="005A7ABB" w:rsidP="003367D3">
            <w:pPr>
              <w:pStyle w:val="Source"/>
            </w:pPr>
            <w:r w:rsidRPr="00A823D9">
              <w:t>318.73</w:t>
            </w:r>
          </w:p>
        </w:tc>
        <w:tc>
          <w:tcPr>
            <w:tcW w:w="915" w:type="pct"/>
          </w:tcPr>
          <w:p w:rsidR="005A7ABB" w:rsidRPr="00EE431C" w:rsidRDefault="005A7ABB" w:rsidP="003367D3">
            <w:pPr>
              <w:pStyle w:val="Source"/>
            </w:pPr>
            <w:r w:rsidRPr="00B546EA">
              <w:t>737.18</w:t>
            </w:r>
          </w:p>
        </w:tc>
      </w:tr>
      <w:tr w:rsidR="005A7ABB" w:rsidRPr="002F74A2" w:rsidTr="00DC3B53">
        <w:trPr>
          <w:trHeight w:val="300"/>
        </w:trPr>
        <w:tc>
          <w:tcPr>
            <w:tcW w:w="1602" w:type="pct"/>
            <w:noWrap/>
            <w:hideMark/>
          </w:tcPr>
          <w:p w:rsidR="005A7ABB" w:rsidRPr="00EE431C" w:rsidRDefault="005A7ABB" w:rsidP="003367D3">
            <w:pPr>
              <w:pStyle w:val="Source"/>
            </w:pPr>
            <w:r w:rsidRPr="00EE431C">
              <w:t>Ergon Energy (ERG)</w:t>
            </w:r>
          </w:p>
        </w:tc>
        <w:tc>
          <w:tcPr>
            <w:tcW w:w="726" w:type="pct"/>
            <w:noWrap/>
          </w:tcPr>
          <w:p w:rsidR="005A7ABB" w:rsidRPr="00EE431C" w:rsidRDefault="005A7ABB" w:rsidP="003367D3">
            <w:pPr>
              <w:pStyle w:val="Source"/>
            </w:pPr>
            <w:r w:rsidRPr="001439BD">
              <w:t>339.93</w:t>
            </w:r>
          </w:p>
        </w:tc>
        <w:tc>
          <w:tcPr>
            <w:tcW w:w="845" w:type="pct"/>
            <w:noWrap/>
          </w:tcPr>
          <w:p w:rsidR="005A7ABB" w:rsidRPr="00EE431C" w:rsidRDefault="005A7ABB" w:rsidP="003367D3">
            <w:pPr>
              <w:pStyle w:val="Source"/>
            </w:pPr>
            <w:r w:rsidRPr="00EE431C">
              <w:t>7,097.87</w:t>
            </w:r>
          </w:p>
        </w:tc>
        <w:tc>
          <w:tcPr>
            <w:tcW w:w="912" w:type="pct"/>
          </w:tcPr>
          <w:p w:rsidR="005A7ABB" w:rsidRPr="00EE431C" w:rsidRDefault="005A7ABB" w:rsidP="003367D3">
            <w:pPr>
              <w:pStyle w:val="Source"/>
            </w:pPr>
            <w:r w:rsidRPr="00A823D9">
              <w:t>318.59</w:t>
            </w:r>
          </w:p>
        </w:tc>
        <w:tc>
          <w:tcPr>
            <w:tcW w:w="915" w:type="pct"/>
          </w:tcPr>
          <w:p w:rsidR="005A7ABB" w:rsidRPr="00EE431C" w:rsidRDefault="005A7ABB" w:rsidP="003367D3">
            <w:pPr>
              <w:pStyle w:val="Source"/>
            </w:pPr>
            <w:r w:rsidRPr="00B546EA">
              <w:t>713.83</w:t>
            </w:r>
          </w:p>
        </w:tc>
      </w:tr>
      <w:tr w:rsidR="005A7ABB" w:rsidRPr="002F74A2" w:rsidTr="00DC3B53">
        <w:trPr>
          <w:cnfStyle w:val="000000010000" w:firstRow="0" w:lastRow="0" w:firstColumn="0" w:lastColumn="0" w:oddVBand="0" w:evenVBand="0" w:oddHBand="0" w:evenHBand="1" w:firstRowFirstColumn="0" w:firstRowLastColumn="0" w:lastRowFirstColumn="0" w:lastRowLastColumn="0"/>
          <w:trHeight w:val="300"/>
        </w:trPr>
        <w:tc>
          <w:tcPr>
            <w:tcW w:w="1602" w:type="pct"/>
            <w:noWrap/>
            <w:hideMark/>
          </w:tcPr>
          <w:p w:rsidR="005A7ABB" w:rsidRPr="00EE431C" w:rsidRDefault="005A7ABB" w:rsidP="003367D3">
            <w:pPr>
              <w:pStyle w:val="Source"/>
            </w:pPr>
            <w:r w:rsidRPr="00EE431C">
              <w:t>Essential Energy (ESS)</w:t>
            </w:r>
          </w:p>
        </w:tc>
        <w:tc>
          <w:tcPr>
            <w:tcW w:w="726" w:type="pct"/>
            <w:noWrap/>
          </w:tcPr>
          <w:p w:rsidR="005A7ABB" w:rsidRPr="00EE431C" w:rsidRDefault="005A7ABB" w:rsidP="003367D3">
            <w:pPr>
              <w:pStyle w:val="Source"/>
            </w:pPr>
            <w:r w:rsidRPr="001439BD">
              <w:t>402.59</w:t>
            </w:r>
          </w:p>
        </w:tc>
        <w:tc>
          <w:tcPr>
            <w:tcW w:w="845" w:type="pct"/>
            <w:noWrap/>
          </w:tcPr>
          <w:p w:rsidR="005A7ABB" w:rsidRPr="00EE431C" w:rsidRDefault="005A7ABB" w:rsidP="003367D3">
            <w:pPr>
              <w:pStyle w:val="Source"/>
            </w:pPr>
            <w:r w:rsidRPr="00EE431C">
              <w:t>5,959.63</w:t>
            </w:r>
          </w:p>
        </w:tc>
        <w:tc>
          <w:tcPr>
            <w:tcW w:w="912" w:type="pct"/>
          </w:tcPr>
          <w:p w:rsidR="005A7ABB" w:rsidRPr="00EE431C" w:rsidRDefault="005A7ABB" w:rsidP="003367D3">
            <w:pPr>
              <w:pStyle w:val="Source"/>
            </w:pPr>
            <w:r w:rsidRPr="00A823D9">
              <w:t>298.50</w:t>
            </w:r>
          </w:p>
        </w:tc>
        <w:tc>
          <w:tcPr>
            <w:tcW w:w="915" w:type="pct"/>
          </w:tcPr>
          <w:p w:rsidR="005A7ABB" w:rsidRPr="00EE431C" w:rsidRDefault="005A7ABB" w:rsidP="003367D3">
            <w:pPr>
              <w:pStyle w:val="Source"/>
            </w:pPr>
            <w:r w:rsidRPr="00B546EA">
              <w:t>630.36</w:t>
            </w:r>
          </w:p>
        </w:tc>
      </w:tr>
      <w:tr w:rsidR="005A7ABB" w:rsidRPr="002F74A2" w:rsidTr="00DC3B53">
        <w:trPr>
          <w:trHeight w:val="300"/>
        </w:trPr>
        <w:tc>
          <w:tcPr>
            <w:tcW w:w="1602" w:type="pct"/>
            <w:noWrap/>
            <w:hideMark/>
          </w:tcPr>
          <w:p w:rsidR="005A7ABB" w:rsidRPr="00EE431C" w:rsidRDefault="005A7ABB" w:rsidP="003367D3">
            <w:pPr>
              <w:pStyle w:val="Source"/>
            </w:pPr>
            <w:r w:rsidRPr="00EE431C">
              <w:t>Jemena (JEN)</w:t>
            </w:r>
          </w:p>
        </w:tc>
        <w:tc>
          <w:tcPr>
            <w:tcW w:w="726" w:type="pct"/>
            <w:noWrap/>
          </w:tcPr>
          <w:p w:rsidR="005A7ABB" w:rsidRPr="00EE431C" w:rsidRDefault="005A7ABB" w:rsidP="003367D3">
            <w:pPr>
              <w:pStyle w:val="Source"/>
            </w:pPr>
            <w:r w:rsidRPr="001439BD">
              <w:t>69.22</w:t>
            </w:r>
          </w:p>
        </w:tc>
        <w:tc>
          <w:tcPr>
            <w:tcW w:w="845" w:type="pct"/>
            <w:noWrap/>
          </w:tcPr>
          <w:p w:rsidR="005A7ABB" w:rsidRPr="00EE431C" w:rsidRDefault="005A7ABB" w:rsidP="003367D3">
            <w:pPr>
              <w:pStyle w:val="Source"/>
            </w:pPr>
            <w:r w:rsidRPr="00EE431C">
              <w:t>805.72</w:t>
            </w:r>
          </w:p>
        </w:tc>
        <w:tc>
          <w:tcPr>
            <w:tcW w:w="912" w:type="pct"/>
          </w:tcPr>
          <w:p w:rsidR="005A7ABB" w:rsidRPr="00EE431C" w:rsidRDefault="005A7ABB" w:rsidP="003367D3">
            <w:pPr>
              <w:pStyle w:val="Source"/>
            </w:pPr>
            <w:r w:rsidRPr="00A823D9">
              <w:t>47.94</w:t>
            </w:r>
          </w:p>
        </w:tc>
        <w:tc>
          <w:tcPr>
            <w:tcW w:w="915" w:type="pct"/>
          </w:tcPr>
          <w:p w:rsidR="005A7ABB" w:rsidRPr="00EE431C" w:rsidRDefault="005A7ABB" w:rsidP="003367D3">
            <w:pPr>
              <w:pStyle w:val="Source"/>
            </w:pPr>
            <w:r w:rsidRPr="00B546EA">
              <w:t>92.80</w:t>
            </w:r>
          </w:p>
        </w:tc>
      </w:tr>
      <w:tr w:rsidR="005A7ABB" w:rsidRPr="002F74A2" w:rsidTr="00DC3B53">
        <w:trPr>
          <w:cnfStyle w:val="000000010000" w:firstRow="0" w:lastRow="0" w:firstColumn="0" w:lastColumn="0" w:oddVBand="0" w:evenVBand="0" w:oddHBand="0" w:evenHBand="1" w:firstRowFirstColumn="0" w:firstRowLastColumn="0" w:lastRowFirstColumn="0" w:lastRowLastColumn="0"/>
          <w:trHeight w:val="300"/>
        </w:trPr>
        <w:tc>
          <w:tcPr>
            <w:tcW w:w="1602" w:type="pct"/>
            <w:noWrap/>
            <w:hideMark/>
          </w:tcPr>
          <w:p w:rsidR="005A7ABB" w:rsidRPr="00EE431C" w:rsidRDefault="005A7ABB" w:rsidP="003367D3">
            <w:pPr>
              <w:pStyle w:val="Source"/>
            </w:pPr>
            <w:r w:rsidRPr="00EE431C">
              <w:t>Powercor (PCR)</w:t>
            </w:r>
          </w:p>
        </w:tc>
        <w:tc>
          <w:tcPr>
            <w:tcW w:w="726" w:type="pct"/>
            <w:noWrap/>
          </w:tcPr>
          <w:p w:rsidR="005A7ABB" w:rsidRPr="00EE431C" w:rsidRDefault="005A7ABB" w:rsidP="003367D3">
            <w:pPr>
              <w:pStyle w:val="Source"/>
            </w:pPr>
            <w:r w:rsidRPr="001439BD">
              <w:t>169.59</w:t>
            </w:r>
          </w:p>
        </w:tc>
        <w:tc>
          <w:tcPr>
            <w:tcW w:w="845" w:type="pct"/>
            <w:noWrap/>
          </w:tcPr>
          <w:p w:rsidR="005A7ABB" w:rsidRPr="00EE431C" w:rsidRDefault="005A7ABB" w:rsidP="003367D3">
            <w:pPr>
              <w:pStyle w:val="Source"/>
            </w:pPr>
            <w:r w:rsidRPr="00EE431C">
              <w:t>2,203.42</w:t>
            </w:r>
          </w:p>
        </w:tc>
        <w:tc>
          <w:tcPr>
            <w:tcW w:w="912" w:type="pct"/>
          </w:tcPr>
          <w:p w:rsidR="005A7ABB" w:rsidRPr="00EE431C" w:rsidRDefault="005A7ABB" w:rsidP="003367D3">
            <w:pPr>
              <w:pStyle w:val="Source"/>
            </w:pPr>
            <w:r w:rsidRPr="00A823D9">
              <w:t>111.26</w:t>
            </w:r>
          </w:p>
        </w:tc>
        <w:tc>
          <w:tcPr>
            <w:tcW w:w="915" w:type="pct"/>
          </w:tcPr>
          <w:p w:rsidR="005A7ABB" w:rsidRPr="00EE431C" w:rsidRDefault="005A7ABB" w:rsidP="003367D3">
            <w:pPr>
              <w:pStyle w:val="Source"/>
            </w:pPr>
            <w:r w:rsidRPr="00B546EA">
              <w:t>233.95</w:t>
            </w:r>
          </w:p>
        </w:tc>
      </w:tr>
      <w:tr w:rsidR="005A7ABB" w:rsidRPr="002F74A2" w:rsidTr="00DC3B53">
        <w:trPr>
          <w:trHeight w:val="300"/>
        </w:trPr>
        <w:tc>
          <w:tcPr>
            <w:tcW w:w="1602" w:type="pct"/>
            <w:noWrap/>
            <w:hideMark/>
          </w:tcPr>
          <w:p w:rsidR="005A7ABB" w:rsidRPr="00EE431C" w:rsidRDefault="005A7ABB" w:rsidP="003367D3">
            <w:pPr>
              <w:pStyle w:val="Source"/>
            </w:pPr>
            <w:r w:rsidRPr="00EE431C">
              <w:t>SA Power Networks (SAP)</w:t>
            </w:r>
          </w:p>
        </w:tc>
        <w:tc>
          <w:tcPr>
            <w:tcW w:w="726" w:type="pct"/>
            <w:noWrap/>
          </w:tcPr>
          <w:p w:rsidR="005A7ABB" w:rsidRPr="00EE431C" w:rsidRDefault="005A7ABB" w:rsidP="003367D3">
            <w:pPr>
              <w:pStyle w:val="Source"/>
            </w:pPr>
            <w:r w:rsidRPr="001439BD">
              <w:t>213.10</w:t>
            </w:r>
          </w:p>
        </w:tc>
        <w:tc>
          <w:tcPr>
            <w:tcW w:w="845" w:type="pct"/>
            <w:noWrap/>
          </w:tcPr>
          <w:p w:rsidR="005A7ABB" w:rsidRPr="00EE431C" w:rsidRDefault="005A7ABB" w:rsidP="003367D3">
            <w:pPr>
              <w:pStyle w:val="Source"/>
            </w:pPr>
            <w:r w:rsidRPr="00EE431C">
              <w:t>3,228.91</w:t>
            </w:r>
          </w:p>
        </w:tc>
        <w:tc>
          <w:tcPr>
            <w:tcW w:w="912" w:type="pct"/>
          </w:tcPr>
          <w:p w:rsidR="005A7ABB" w:rsidRPr="00EE431C" w:rsidRDefault="005A7ABB" w:rsidP="003367D3">
            <w:pPr>
              <w:pStyle w:val="Source"/>
            </w:pPr>
            <w:r w:rsidRPr="00A823D9">
              <w:t>197.58</w:t>
            </w:r>
          </w:p>
        </w:tc>
        <w:tc>
          <w:tcPr>
            <w:tcW w:w="915" w:type="pct"/>
          </w:tcPr>
          <w:p w:rsidR="005A7ABB" w:rsidRPr="00EE431C" w:rsidRDefault="005A7ABB" w:rsidP="003367D3">
            <w:pPr>
              <w:pStyle w:val="Source"/>
            </w:pPr>
            <w:r w:rsidRPr="00B546EA">
              <w:t>377.37</w:t>
            </w:r>
          </w:p>
        </w:tc>
      </w:tr>
      <w:tr w:rsidR="005A7ABB" w:rsidRPr="002F74A2" w:rsidTr="00DC3B53">
        <w:trPr>
          <w:cnfStyle w:val="000000010000" w:firstRow="0" w:lastRow="0" w:firstColumn="0" w:lastColumn="0" w:oddVBand="0" w:evenVBand="0" w:oddHBand="0" w:evenHBand="1" w:firstRowFirstColumn="0" w:firstRowLastColumn="0" w:lastRowFirstColumn="0" w:lastRowLastColumn="0"/>
          <w:trHeight w:val="300"/>
        </w:trPr>
        <w:tc>
          <w:tcPr>
            <w:tcW w:w="1602" w:type="pct"/>
            <w:noWrap/>
            <w:hideMark/>
          </w:tcPr>
          <w:p w:rsidR="005A7ABB" w:rsidRPr="00EE431C" w:rsidRDefault="005A7ABB" w:rsidP="003367D3">
            <w:pPr>
              <w:pStyle w:val="Source"/>
            </w:pPr>
            <w:r w:rsidRPr="00EE431C">
              <w:t>TasNetworks (TND)</w:t>
            </w:r>
          </w:p>
        </w:tc>
        <w:tc>
          <w:tcPr>
            <w:tcW w:w="726" w:type="pct"/>
            <w:noWrap/>
          </w:tcPr>
          <w:p w:rsidR="005A7ABB" w:rsidRPr="00EE431C" w:rsidRDefault="005A7ABB" w:rsidP="003367D3">
            <w:pPr>
              <w:pStyle w:val="Source"/>
            </w:pPr>
            <w:r w:rsidRPr="001439BD">
              <w:t>81.31</w:t>
            </w:r>
          </w:p>
        </w:tc>
        <w:tc>
          <w:tcPr>
            <w:tcW w:w="845" w:type="pct"/>
            <w:noWrap/>
          </w:tcPr>
          <w:p w:rsidR="005A7ABB" w:rsidRPr="00EE431C" w:rsidRDefault="005A7ABB" w:rsidP="003367D3">
            <w:pPr>
              <w:pStyle w:val="Source"/>
            </w:pPr>
            <w:r w:rsidRPr="00EE431C">
              <w:t>1,357.12</w:t>
            </w:r>
          </w:p>
        </w:tc>
        <w:tc>
          <w:tcPr>
            <w:tcW w:w="912" w:type="pct"/>
          </w:tcPr>
          <w:p w:rsidR="005A7ABB" w:rsidRPr="00EE431C" w:rsidRDefault="005A7ABB" w:rsidP="003367D3">
            <w:pPr>
              <w:pStyle w:val="Source"/>
            </w:pPr>
            <w:r w:rsidRPr="001A28B8">
              <w:t>69.33</w:t>
            </w:r>
          </w:p>
        </w:tc>
        <w:tc>
          <w:tcPr>
            <w:tcW w:w="915" w:type="pct"/>
          </w:tcPr>
          <w:p w:rsidR="005A7ABB" w:rsidRPr="00EE431C" w:rsidRDefault="005A7ABB" w:rsidP="003367D3">
            <w:pPr>
              <w:pStyle w:val="Source"/>
            </w:pPr>
            <w:r w:rsidRPr="00B546EA">
              <w:t>144.90</w:t>
            </w:r>
          </w:p>
        </w:tc>
      </w:tr>
      <w:tr w:rsidR="005A7ABB" w:rsidRPr="002F74A2" w:rsidTr="00DC3B53">
        <w:trPr>
          <w:trHeight w:val="300"/>
        </w:trPr>
        <w:tc>
          <w:tcPr>
            <w:tcW w:w="1602" w:type="pct"/>
            <w:noWrap/>
            <w:hideMark/>
          </w:tcPr>
          <w:p w:rsidR="005A7ABB" w:rsidRPr="00EE431C" w:rsidRDefault="005A7ABB" w:rsidP="003367D3">
            <w:pPr>
              <w:pStyle w:val="Source"/>
            </w:pPr>
            <w:r w:rsidRPr="00EE431C">
              <w:t>United Energy (UED)</w:t>
            </w:r>
          </w:p>
        </w:tc>
        <w:tc>
          <w:tcPr>
            <w:tcW w:w="726" w:type="pct"/>
            <w:noWrap/>
          </w:tcPr>
          <w:p w:rsidR="005A7ABB" w:rsidRPr="00EE431C" w:rsidRDefault="005A7ABB" w:rsidP="003367D3">
            <w:pPr>
              <w:pStyle w:val="Source"/>
            </w:pPr>
            <w:r w:rsidRPr="001439BD">
              <w:t>123.11</w:t>
            </w:r>
          </w:p>
        </w:tc>
        <w:tc>
          <w:tcPr>
            <w:tcW w:w="845" w:type="pct"/>
            <w:noWrap/>
          </w:tcPr>
          <w:p w:rsidR="005A7ABB" w:rsidRPr="00EE431C" w:rsidRDefault="005A7ABB" w:rsidP="003367D3">
            <w:pPr>
              <w:pStyle w:val="Source"/>
            </w:pPr>
            <w:r w:rsidRPr="00EE431C">
              <w:t>1,613.36</w:t>
            </w:r>
          </w:p>
        </w:tc>
        <w:tc>
          <w:tcPr>
            <w:tcW w:w="912" w:type="pct"/>
          </w:tcPr>
          <w:p w:rsidR="005A7ABB" w:rsidRPr="00EE431C" w:rsidRDefault="005A7ABB" w:rsidP="003367D3">
            <w:pPr>
              <w:pStyle w:val="Source"/>
            </w:pPr>
            <w:r w:rsidRPr="001A28B8">
              <w:t>88.62</w:t>
            </w:r>
          </w:p>
        </w:tc>
        <w:tc>
          <w:tcPr>
            <w:tcW w:w="915" w:type="pct"/>
          </w:tcPr>
          <w:p w:rsidR="005A7ABB" w:rsidRPr="00EE431C" w:rsidRDefault="005A7ABB" w:rsidP="003367D3">
            <w:pPr>
              <w:pStyle w:val="Source"/>
            </w:pPr>
            <w:r w:rsidRPr="00B546EA">
              <w:t>178.46</w:t>
            </w:r>
          </w:p>
        </w:tc>
      </w:tr>
    </w:tbl>
    <w:p w:rsidR="003367D3" w:rsidRDefault="003367D3" w:rsidP="005E1BEE">
      <w:pPr>
        <w:pStyle w:val="Source"/>
        <w:ind w:left="709" w:hanging="709"/>
      </w:pPr>
      <w:r w:rsidRPr="00DC3B53">
        <w:t>Note</w:t>
      </w:r>
      <w:r w:rsidR="005E1BEE">
        <w:t>:</w:t>
      </w:r>
      <w:r w:rsidR="005E1BEE">
        <w:tab/>
        <w:t>D</w:t>
      </w:r>
      <w:r w:rsidRPr="00DC3B53">
        <w:t xml:space="preserve">ata for the Victorian distributors is for calendar years whereas the data for the other </w:t>
      </w:r>
      <w:r w:rsidR="005E1BEE">
        <w:t>DNSPs</w:t>
      </w:r>
      <w:r w:rsidRPr="00DC3B53">
        <w:t xml:space="preserve"> is for financial years. RAB values are the average of opening and closing values.</w:t>
      </w:r>
    </w:p>
    <w:p w:rsidR="00E04DD5" w:rsidRDefault="00E04DD5" w:rsidP="00DC3B53">
      <w:pPr>
        <w:pStyle w:val="Source"/>
        <w:ind w:left="709" w:hanging="709"/>
      </w:pPr>
    </w:p>
    <w:p w:rsidR="00E04DD5" w:rsidRDefault="00E04DD5" w:rsidP="00E04DD5">
      <w:pPr>
        <w:pStyle w:val="Heading7"/>
      </w:pPr>
      <w:bookmarkStart w:id="59" w:name="_Ref432665492"/>
      <w:bookmarkStart w:id="60" w:name="_Toc435712631"/>
      <w:r>
        <w:lastRenderedPageBreak/>
        <w:t>Additional PPIs</w:t>
      </w:r>
      <w:bookmarkEnd w:id="59"/>
      <w:bookmarkEnd w:id="60"/>
    </w:p>
    <w:p w:rsidR="00E04DD5" w:rsidRDefault="00E04DD5" w:rsidP="00E04DD5">
      <w:r>
        <w:t xml:space="preserve">In this appendix we present some PPIs using alternative output measures (customers, maximum demand and line length). </w:t>
      </w:r>
    </w:p>
    <w:p w:rsidR="00E04DD5" w:rsidRPr="007B16CB" w:rsidRDefault="00E04DD5" w:rsidP="00E04DD5">
      <w:r w:rsidRPr="007B16CB">
        <w:fldChar w:fldCharType="begin"/>
      </w:r>
      <w:r w:rsidRPr="007B16CB">
        <w:instrText xml:space="preserve"> REF _Ref404162620 \h </w:instrText>
      </w:r>
      <w:r w:rsidRPr="007B16CB">
        <w:fldChar w:fldCharType="separate"/>
      </w:r>
      <w:r w:rsidR="00EF5714" w:rsidRPr="00DB2FF3">
        <w:t xml:space="preserve">Figure </w:t>
      </w:r>
      <w:r w:rsidR="00EF5714">
        <w:rPr>
          <w:noProof/>
        </w:rPr>
        <w:t>14</w:t>
      </w:r>
      <w:r w:rsidRPr="007B16CB">
        <w:fldChar w:fldCharType="end"/>
      </w:r>
      <w:r w:rsidRPr="007B16CB">
        <w:t xml:space="preserve"> </w:t>
      </w:r>
      <w:r>
        <w:t xml:space="preserve">is a ‘per customer’ reliability metric. It compares the total cost per customer against unplanned </w:t>
      </w:r>
      <w:r w:rsidRPr="007B16CB">
        <w:t>minutes off supply per customer</w:t>
      </w:r>
      <w:r>
        <w:t xml:space="preserve">. In doing so, it excludes </w:t>
      </w:r>
      <w:r w:rsidRPr="00DB2FF3">
        <w:t>the effect of large, abnormal outage events</w:t>
      </w:r>
      <w:r>
        <w:t xml:space="preserve"> (known as major event days, or MEDs)</w:t>
      </w:r>
      <w:r w:rsidRPr="00DB2FF3">
        <w:t xml:space="preserve">. </w:t>
      </w:r>
      <w:r>
        <w:t>MEDs</w:t>
      </w:r>
      <w:r w:rsidRPr="00DB2FF3">
        <w:t xml:space="preserve"> can be unforeseeable, uncontrollable and may affect measured </w:t>
      </w:r>
      <w:r w:rsidRPr="007B16CB">
        <w:t>performance.</w:t>
      </w:r>
      <w:r>
        <w:t xml:space="preserve"> </w:t>
      </w:r>
    </w:p>
    <w:p w:rsidR="00E04DD5" w:rsidRPr="00DB2FF3" w:rsidRDefault="00E04DD5" w:rsidP="00E04DD5">
      <w:pPr>
        <w:pStyle w:val="Caption"/>
      </w:pPr>
      <w:bookmarkStart w:id="61" w:name="_Ref404162620"/>
      <w:r w:rsidRPr="00DB2FF3">
        <w:t xml:space="preserve">Figure </w:t>
      </w:r>
      <w:r w:rsidRPr="001D5FE6">
        <w:fldChar w:fldCharType="begin"/>
      </w:r>
      <w:r>
        <w:instrText xml:space="preserve"> SEQ Figure \* ARABIC </w:instrText>
      </w:r>
      <w:r w:rsidRPr="001D5FE6">
        <w:fldChar w:fldCharType="separate"/>
      </w:r>
      <w:r w:rsidR="00EF5714">
        <w:rPr>
          <w:noProof/>
        </w:rPr>
        <w:t>14</w:t>
      </w:r>
      <w:r w:rsidRPr="001D5FE6">
        <w:fldChar w:fldCharType="end"/>
      </w:r>
      <w:bookmarkEnd w:id="61"/>
      <w:r w:rsidRPr="00DB2FF3">
        <w:tab/>
        <w:t xml:space="preserve">Total cost per customer </w:t>
      </w:r>
      <w:r>
        <w:t xml:space="preserve">($2014) </w:t>
      </w:r>
      <w:r w:rsidRPr="00DB2FF3">
        <w:t>a</w:t>
      </w:r>
      <w:r>
        <w:t>gainst</w:t>
      </w:r>
      <w:r w:rsidRPr="00DB2FF3">
        <w:t xml:space="preserve"> </w:t>
      </w:r>
      <w:r>
        <w:t xml:space="preserve">unplanned </w:t>
      </w:r>
      <w:r w:rsidRPr="00F16D00">
        <w:t>minutes off supply per customer</w:t>
      </w:r>
      <w:r>
        <w:t xml:space="preserve"> (excluding MEDs, average 2010–14)</w:t>
      </w:r>
    </w:p>
    <w:p w:rsidR="00E04DD5" w:rsidRDefault="004B64F1" w:rsidP="009C6743">
      <w:pPr>
        <w:jc w:val="center"/>
      </w:pPr>
      <w:r>
        <w:rPr>
          <w:noProof/>
          <w:lang w:eastAsia="en-AU"/>
        </w:rPr>
        <w:drawing>
          <wp:inline distT="0" distB="0" distL="0" distR="0" wp14:anchorId="3DD73B16" wp14:editId="050299A1">
            <wp:extent cx="4226400" cy="29016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6400" cy="2901600"/>
                    </a:xfrm>
                    <a:prstGeom prst="rect">
                      <a:avLst/>
                    </a:prstGeom>
                    <a:noFill/>
                  </pic:spPr>
                </pic:pic>
              </a:graphicData>
            </a:graphic>
          </wp:inline>
        </w:drawing>
      </w:r>
    </w:p>
    <w:p w:rsidR="00E04DD5" w:rsidRPr="00C05243" w:rsidRDefault="00E04DD5" w:rsidP="00E04DD5">
      <w:r>
        <w:t>T</w:t>
      </w:r>
      <w:r w:rsidRPr="007B16CB">
        <w:t xml:space="preserve">he Victorian and South Australian </w:t>
      </w:r>
      <w:r>
        <w:t>DNSPs</w:t>
      </w:r>
      <w:r w:rsidRPr="007B16CB">
        <w:t xml:space="preserve"> </w:t>
      </w:r>
      <w:r>
        <w:t>have the lowest cost per customer on this metric</w:t>
      </w:r>
      <w:r w:rsidRPr="007B16CB">
        <w:t xml:space="preserve">. We would expect those </w:t>
      </w:r>
      <w:r>
        <w:t>DNSPs</w:t>
      </w:r>
      <w:r w:rsidRPr="007B16CB">
        <w:t xml:space="preserve"> with greater route line lengths </w:t>
      </w:r>
      <w:r>
        <w:t xml:space="preserve">(such as Essential Energy and Ergon Energy) </w:t>
      </w:r>
      <w:r w:rsidRPr="007B16CB">
        <w:t>to incur higher minutes off supply per customer, as they</w:t>
      </w:r>
      <w:r>
        <w:t xml:space="preserve"> </w:t>
      </w:r>
      <w:r w:rsidRPr="007B16CB">
        <w:t>need to travel further distances when responding to outages.</w:t>
      </w:r>
      <w:r>
        <w:t xml:space="preserve"> Ergon Energy's minutes off supply (and its costs), however, are much greater than that of its peers, including Powercor, AusNet Services and SA Power Networks, who also operate rural networks.</w:t>
      </w:r>
    </w:p>
    <w:p w:rsidR="00E04DD5" w:rsidRDefault="00E04DD5" w:rsidP="00E04DD5">
      <w:r>
        <w:fldChar w:fldCharType="begin"/>
      </w:r>
      <w:r>
        <w:instrText xml:space="preserve"> REF _Ref424223495 \h </w:instrText>
      </w:r>
      <w:r>
        <w:fldChar w:fldCharType="separate"/>
      </w:r>
      <w:r w:rsidR="00EF5714">
        <w:t xml:space="preserve">Figure </w:t>
      </w:r>
      <w:r w:rsidR="00EF5714">
        <w:rPr>
          <w:noProof/>
        </w:rPr>
        <w:t>15</w:t>
      </w:r>
      <w:r>
        <w:fldChar w:fldCharType="end"/>
      </w:r>
      <w:r>
        <w:t xml:space="preserve"> shows </w:t>
      </w:r>
      <w:r w:rsidRPr="00235329">
        <w:t xml:space="preserve">total cost </w:t>
      </w:r>
      <w:r>
        <w:t>using</w:t>
      </w:r>
      <w:r w:rsidRPr="00235329">
        <w:t xml:space="preserve"> MW of maximum demand</w:t>
      </w:r>
      <w:r>
        <w:t xml:space="preserve"> as the output measure</w:t>
      </w:r>
      <w:r w:rsidRPr="00235329">
        <w:t xml:space="preserve">. </w:t>
      </w:r>
      <w:r>
        <w:t xml:space="preserve"> Maximum demand is a driver of assets because DNSPs install assets</w:t>
      </w:r>
      <w:r w:rsidRPr="00235329">
        <w:t xml:space="preserve"> </w:t>
      </w:r>
      <w:r>
        <w:t xml:space="preserve">to maintain the demand for electricity at peak times. Maximum demand is also an indirect driver of opex because the assets installed to meet demand will ultimately require maintenance (opex). </w:t>
      </w:r>
    </w:p>
    <w:p w:rsidR="00E04DD5" w:rsidRPr="00E13C51" w:rsidRDefault="00E04DD5" w:rsidP="00E04DD5">
      <w:pPr>
        <w:pStyle w:val="Caption"/>
      </w:pPr>
      <w:bookmarkStart w:id="62" w:name="_Ref404162592"/>
      <w:bookmarkStart w:id="63" w:name="_Ref424223495"/>
      <w:r>
        <w:lastRenderedPageBreak/>
        <w:t xml:space="preserve">Figure </w:t>
      </w:r>
      <w:r w:rsidRPr="00F41A7D">
        <w:fldChar w:fldCharType="begin"/>
      </w:r>
      <w:r>
        <w:instrText xml:space="preserve"> SEQ Figure \* ARABIC </w:instrText>
      </w:r>
      <w:r w:rsidRPr="00F41A7D">
        <w:fldChar w:fldCharType="separate"/>
      </w:r>
      <w:r w:rsidR="00EF5714">
        <w:rPr>
          <w:noProof/>
        </w:rPr>
        <w:t>15</w:t>
      </w:r>
      <w:r w:rsidRPr="00F41A7D">
        <w:fldChar w:fldCharType="end"/>
      </w:r>
      <w:bookmarkEnd w:id="62"/>
      <w:bookmarkEnd w:id="63"/>
      <w:r>
        <w:tab/>
        <w:t>Total cost per MW of maximum demand ($2014) against customer density (average 2010–14)</w:t>
      </w:r>
    </w:p>
    <w:p w:rsidR="00E04DD5" w:rsidRDefault="005A7ABB" w:rsidP="009C6743">
      <w:pPr>
        <w:jc w:val="center"/>
      </w:pPr>
      <w:r>
        <w:rPr>
          <w:noProof/>
          <w:lang w:eastAsia="en-AU"/>
        </w:rPr>
        <w:drawing>
          <wp:inline distT="0" distB="0" distL="0" distR="0" wp14:anchorId="4FCC78C6" wp14:editId="7242221D">
            <wp:extent cx="4005707" cy="290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5707" cy="2901600"/>
                    </a:xfrm>
                    <a:prstGeom prst="rect">
                      <a:avLst/>
                    </a:prstGeom>
                    <a:noFill/>
                  </pic:spPr>
                </pic:pic>
              </a:graphicData>
            </a:graphic>
          </wp:inline>
        </w:drawing>
      </w:r>
    </w:p>
    <w:p w:rsidR="00E04DD5" w:rsidRDefault="00E04DD5" w:rsidP="00E04DD5">
      <w:r>
        <w:t xml:space="preserve">The spread of results on this metric is narrower than for some other metrics. For example, ActewAGL, TasNetworks, Endeavour Energy and Energex spend comparable amounts to AusNet Services and SA Power Networks. </w:t>
      </w:r>
    </w:p>
    <w:p w:rsidR="00E04DD5" w:rsidRDefault="00E04DD5" w:rsidP="00E04DD5">
      <w:r>
        <w:fldChar w:fldCharType="begin"/>
      </w:r>
      <w:r>
        <w:instrText xml:space="preserve"> REF _Ref433216981 \h </w:instrText>
      </w:r>
      <w:r>
        <w:fldChar w:fldCharType="separate"/>
      </w:r>
      <w:r w:rsidR="00EF5714" w:rsidRPr="00CB3108">
        <w:t xml:space="preserve">Figure </w:t>
      </w:r>
      <w:r w:rsidR="00EF5714">
        <w:rPr>
          <w:noProof/>
        </w:rPr>
        <w:t>16</w:t>
      </w:r>
      <w:r>
        <w:fldChar w:fldCharType="end"/>
      </w:r>
      <w:r>
        <w:t xml:space="preserve"> </w:t>
      </w:r>
      <w:r w:rsidR="003507F4">
        <w:t>presents</w:t>
      </w:r>
      <w:r w:rsidRPr="00235329">
        <w:t xml:space="preserve"> total cost per km of line length against customer density. We would expect a strong positive relationship between these two variables because both user cost per km and customer densit</w:t>
      </w:r>
      <w:r>
        <w:t>y are normalised by line length.</w:t>
      </w:r>
      <w:r w:rsidRPr="00235329">
        <w:t xml:space="preserve"> </w:t>
      </w:r>
      <w:bookmarkStart w:id="64" w:name="_Ref404157683"/>
    </w:p>
    <w:p w:rsidR="00E04DD5" w:rsidRPr="00CB3108" w:rsidRDefault="00E04DD5" w:rsidP="00E04DD5">
      <w:pPr>
        <w:pStyle w:val="Caption"/>
      </w:pPr>
      <w:bookmarkStart w:id="65" w:name="_Ref433216981"/>
      <w:r w:rsidRPr="00CB3108">
        <w:t xml:space="preserve">Figure </w:t>
      </w:r>
      <w:r w:rsidRPr="00235329">
        <w:fldChar w:fldCharType="begin"/>
      </w:r>
      <w:r>
        <w:instrText xml:space="preserve"> SEQ Figure \* ARABIC </w:instrText>
      </w:r>
      <w:r w:rsidRPr="00235329">
        <w:fldChar w:fldCharType="separate"/>
      </w:r>
      <w:r w:rsidR="00EF5714">
        <w:rPr>
          <w:noProof/>
        </w:rPr>
        <w:t>16</w:t>
      </w:r>
      <w:r w:rsidRPr="00235329">
        <w:fldChar w:fldCharType="end"/>
      </w:r>
      <w:bookmarkEnd w:id="64"/>
      <w:bookmarkEnd w:id="65"/>
      <w:r w:rsidRPr="00CB3108">
        <w:tab/>
        <w:t xml:space="preserve">Total cost per km of </w:t>
      </w:r>
      <w:r>
        <w:t xml:space="preserve">route </w:t>
      </w:r>
      <w:r w:rsidRPr="00CB3108">
        <w:t>line length</w:t>
      </w:r>
      <w:r>
        <w:t xml:space="preserve"> ($2014)</w:t>
      </w:r>
      <w:r w:rsidRPr="00CB3108">
        <w:t xml:space="preserve"> </w:t>
      </w:r>
      <w:r>
        <w:t>against customer density (average 2010–2014</w:t>
      </w:r>
      <w:r w:rsidRPr="00CB3108">
        <w:t>)</w:t>
      </w:r>
    </w:p>
    <w:p w:rsidR="00E04DD5" w:rsidRPr="00235329" w:rsidRDefault="005A7ABB" w:rsidP="009C6743">
      <w:pPr>
        <w:jc w:val="center"/>
      </w:pPr>
      <w:r>
        <w:rPr>
          <w:noProof/>
          <w:lang w:eastAsia="en-AU"/>
        </w:rPr>
        <w:drawing>
          <wp:inline distT="0" distB="0" distL="0" distR="0" wp14:anchorId="6E2398BC" wp14:editId="66A75B35">
            <wp:extent cx="4006800" cy="2901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6800" cy="2901600"/>
                    </a:xfrm>
                    <a:prstGeom prst="rect">
                      <a:avLst/>
                    </a:prstGeom>
                    <a:noFill/>
                  </pic:spPr>
                </pic:pic>
              </a:graphicData>
            </a:graphic>
          </wp:inline>
        </w:drawing>
      </w:r>
    </w:p>
    <w:p w:rsidR="00E04DD5" w:rsidRDefault="00E04DD5" w:rsidP="00E04DD5">
      <w:r>
        <w:lastRenderedPageBreak/>
        <w:fldChar w:fldCharType="begin"/>
      </w:r>
      <w:r>
        <w:instrText xml:space="preserve"> REF _Ref433216981 \h </w:instrText>
      </w:r>
      <w:r>
        <w:fldChar w:fldCharType="separate"/>
      </w:r>
      <w:r w:rsidR="00EF5714" w:rsidRPr="00CB3108">
        <w:t xml:space="preserve">Figure </w:t>
      </w:r>
      <w:r w:rsidR="00EF5714">
        <w:rPr>
          <w:noProof/>
        </w:rPr>
        <w:t>16</w:t>
      </w:r>
      <w:r>
        <w:fldChar w:fldCharType="end"/>
      </w:r>
      <w:r>
        <w:t xml:space="preserve"> shows</w:t>
      </w:r>
      <w:r w:rsidRPr="00235329">
        <w:t xml:space="preserve"> this is the case. However</w:t>
      </w:r>
      <w:r>
        <w:t>,</w:t>
      </w:r>
      <w:r w:rsidRPr="00235329">
        <w:t xml:space="preserve"> Ausgrid and ActewAGL spend more per km than </w:t>
      </w:r>
      <w:r>
        <w:t>Jemena</w:t>
      </w:r>
      <w:r w:rsidRPr="00235329">
        <w:t xml:space="preserve"> and United Energy, </w:t>
      </w:r>
      <w:r>
        <w:t xml:space="preserve">who </w:t>
      </w:r>
      <w:r w:rsidRPr="00235329">
        <w:t>both have a higher customer density.</w:t>
      </w:r>
      <w:r>
        <w:t xml:space="preserve"> Endeavour Energy and Energex have similar costs to United Energy. Similarly, Ergon Energy and Essential Energy have comparable costs per kilometre to SA Power Networks and Powercor, despite their lower customer density. We would expect each of these NSW, ACT and QLD DNSPs to have lower costs on this metric</w:t>
      </w:r>
      <w:r w:rsidR="00065C7B">
        <w:t xml:space="preserve"> than their peers with higher customer density</w:t>
      </w:r>
      <w:r>
        <w:t>.</w:t>
      </w:r>
    </w:p>
    <w:p w:rsidR="00E04DD5" w:rsidRPr="003367D3" w:rsidRDefault="00E04DD5" w:rsidP="00DC3B53">
      <w:pPr>
        <w:pStyle w:val="Source"/>
        <w:ind w:left="709" w:hanging="709"/>
      </w:pPr>
    </w:p>
    <w:p w:rsidR="008A7BEA" w:rsidRPr="00DC3B53" w:rsidRDefault="008A7BEA" w:rsidP="00DC3B53">
      <w:pPr>
        <w:pStyle w:val="Heading7"/>
      </w:pPr>
      <w:bookmarkStart w:id="66" w:name="_Ref432584540"/>
      <w:bookmarkStart w:id="67" w:name="_Toc435712632"/>
      <w:r w:rsidRPr="00DC3B53">
        <w:lastRenderedPageBreak/>
        <w:t>Map of the National Electricity Market</w:t>
      </w:r>
      <w:bookmarkEnd w:id="66"/>
      <w:bookmarkEnd w:id="67"/>
    </w:p>
    <w:p w:rsidR="00397790" w:rsidRDefault="0069742C" w:rsidP="00397790">
      <w:r w:rsidRPr="0040084D">
        <w:t xml:space="preserve">This benchmarking report </w:t>
      </w:r>
      <w:r>
        <w:t>examines</w:t>
      </w:r>
      <w:r w:rsidRPr="0040084D">
        <w:t xml:space="preserve"> the efficiency of the 13 </w:t>
      </w:r>
      <w:r w:rsidR="00397790">
        <w:t>DNSPs</w:t>
      </w:r>
      <w:r w:rsidRPr="0040084D">
        <w:t xml:space="preserve"> in the National Electricity Market (NEM). The NEM connects electricity generators and customers from Queensland through to New South Wales, the Australian Capital Territory, Victoria, South Australia and Tasmania.</w:t>
      </w:r>
      <w:r w:rsidR="00397790">
        <w:t xml:space="preserve"> </w:t>
      </w:r>
      <w:r w:rsidR="00397790" w:rsidRPr="0040084D">
        <w:fldChar w:fldCharType="begin"/>
      </w:r>
      <w:r w:rsidR="00397790" w:rsidRPr="0040084D">
        <w:instrText xml:space="preserve"> REF _Ref389494912 \h </w:instrText>
      </w:r>
      <w:r w:rsidR="00397790" w:rsidRPr="0040084D">
        <w:fldChar w:fldCharType="separate"/>
      </w:r>
      <w:r w:rsidR="00EF5714" w:rsidRPr="0040084D">
        <w:t xml:space="preserve">Figure </w:t>
      </w:r>
      <w:r w:rsidR="00EF5714">
        <w:rPr>
          <w:noProof/>
        </w:rPr>
        <w:t>17</w:t>
      </w:r>
      <w:r w:rsidR="00397790" w:rsidRPr="0040084D">
        <w:fldChar w:fldCharType="end"/>
      </w:r>
      <w:r w:rsidR="00397790" w:rsidRPr="0040084D">
        <w:t xml:space="preserve"> illustrates the network areas for which the </w:t>
      </w:r>
      <w:r w:rsidR="00397790">
        <w:t>DNSP</w:t>
      </w:r>
      <w:r w:rsidR="003A4C69">
        <w:t>s</w:t>
      </w:r>
      <w:r w:rsidR="00397790" w:rsidRPr="0040084D">
        <w:t xml:space="preserve"> are responsible. </w:t>
      </w:r>
    </w:p>
    <w:p w:rsidR="0069742C" w:rsidRPr="0040084D" w:rsidRDefault="0069742C" w:rsidP="00A75AB2">
      <w:pPr>
        <w:pStyle w:val="Caption"/>
      </w:pPr>
      <w:bookmarkStart w:id="68" w:name="_Ref389494912"/>
      <w:r w:rsidRPr="0040084D">
        <w:t xml:space="preserve">Figure </w:t>
      </w:r>
      <w:fldSimple w:instr=" SEQ Figure \* ARABIC ">
        <w:r w:rsidR="00EF5714">
          <w:rPr>
            <w:noProof/>
          </w:rPr>
          <w:t>17</w:t>
        </w:r>
      </w:fldSimple>
      <w:bookmarkEnd w:id="68"/>
      <w:r w:rsidRPr="0040084D">
        <w:tab/>
        <w:t xml:space="preserve">Electricity distribution networks within the </w:t>
      </w:r>
      <w:r w:rsidR="00B610B3">
        <w:t>NEM</w:t>
      </w:r>
    </w:p>
    <w:p w:rsidR="0069742C" w:rsidRDefault="0069742C" w:rsidP="0069742C">
      <w:r w:rsidRPr="0069742C">
        <w:rPr>
          <w:noProof/>
          <w:lang w:eastAsia="en-AU"/>
        </w:rPr>
        <w:drawing>
          <wp:inline distT="0" distB="0" distL="0" distR="0" wp14:anchorId="3D62E449" wp14:editId="15DC8ACE">
            <wp:extent cx="5462262" cy="6549656"/>
            <wp:effectExtent l="0" t="0" r="5715" b="3810"/>
            <wp:docPr id="19" name="Picture 19" descr="C:\Documents and Settings\csmith\Local Settings\Temporary Internet Files\Content.Outlook\Q4J6QZKR\AusNet Service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mith\Local Settings\Temporary Internet Files\Content.Outlook\Q4J6QZKR\AusNet Services map.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5976"/>
                    <a:stretch/>
                  </pic:blipFill>
                  <pic:spPr bwMode="auto">
                    <a:xfrm>
                      <a:off x="0" y="0"/>
                      <a:ext cx="5470720" cy="6559797"/>
                    </a:xfrm>
                    <a:prstGeom prst="rect">
                      <a:avLst/>
                    </a:prstGeom>
                    <a:noFill/>
                    <a:ln>
                      <a:noFill/>
                    </a:ln>
                    <a:extLst>
                      <a:ext uri="{53640926-AAD7-44D8-BBD7-CCE9431645EC}">
                        <a14:shadowObscured xmlns:a14="http://schemas.microsoft.com/office/drawing/2010/main"/>
                      </a:ext>
                    </a:extLst>
                  </pic:spPr>
                </pic:pic>
              </a:graphicData>
            </a:graphic>
          </wp:inline>
        </w:drawing>
      </w:r>
    </w:p>
    <w:p w:rsidR="008A7BEA" w:rsidRDefault="008A7BEA" w:rsidP="008A7BEA">
      <w:pPr>
        <w:pStyle w:val="Heading7"/>
      </w:pPr>
      <w:bookmarkStart w:id="69" w:name="_Toc435712633"/>
      <w:r>
        <w:lastRenderedPageBreak/>
        <w:t>List of submissions</w:t>
      </w:r>
      <w:bookmarkEnd w:id="69"/>
    </w:p>
    <w:p w:rsidR="0031739E" w:rsidRDefault="004930DF" w:rsidP="0069742C">
      <w:r>
        <w:t>We sought comment from DNSPs on a draft version of this report. We received submissions from:</w:t>
      </w:r>
    </w:p>
    <w:p w:rsidR="004930DF" w:rsidRDefault="004930DF" w:rsidP="004930DF">
      <w:pPr>
        <w:pStyle w:val="AERbulletlistfirststyle"/>
      </w:pPr>
      <w:r>
        <w:t>ActewAGL</w:t>
      </w:r>
    </w:p>
    <w:p w:rsidR="004930DF" w:rsidRDefault="004930DF" w:rsidP="004930DF">
      <w:pPr>
        <w:pStyle w:val="AERbulletlistfirststyle"/>
      </w:pPr>
      <w:r>
        <w:t>AusNet Services</w:t>
      </w:r>
    </w:p>
    <w:p w:rsidR="004930DF" w:rsidRDefault="004930DF" w:rsidP="004930DF">
      <w:pPr>
        <w:pStyle w:val="AERbulletlistfirststyle"/>
      </w:pPr>
      <w:r>
        <w:t>CitiPower and Powercor</w:t>
      </w:r>
    </w:p>
    <w:p w:rsidR="004930DF" w:rsidRDefault="004930DF" w:rsidP="004930DF">
      <w:pPr>
        <w:pStyle w:val="AERbulletlistfirststyle"/>
      </w:pPr>
      <w:r>
        <w:t>Energex</w:t>
      </w:r>
    </w:p>
    <w:p w:rsidR="004930DF" w:rsidRDefault="004930DF" w:rsidP="004930DF">
      <w:pPr>
        <w:pStyle w:val="AERbulletlistfirststyle"/>
      </w:pPr>
      <w:r>
        <w:t>Ergon Energy</w:t>
      </w:r>
    </w:p>
    <w:p w:rsidR="004930DF" w:rsidRDefault="004930DF" w:rsidP="004930DF">
      <w:pPr>
        <w:pStyle w:val="AERbulletlistfirststyle"/>
      </w:pPr>
      <w:r>
        <w:t>Jemena</w:t>
      </w:r>
    </w:p>
    <w:p w:rsidR="004930DF" w:rsidRDefault="004930DF" w:rsidP="004930DF">
      <w:pPr>
        <w:pStyle w:val="AERbulletlistfirststyle"/>
      </w:pPr>
      <w:r>
        <w:t>Networks NSW</w:t>
      </w:r>
    </w:p>
    <w:p w:rsidR="004930DF" w:rsidRDefault="004930DF" w:rsidP="004930DF">
      <w:pPr>
        <w:pStyle w:val="AERbulletlistfirststyle"/>
      </w:pPr>
      <w:r>
        <w:t>SA Power Networks</w:t>
      </w:r>
    </w:p>
    <w:p w:rsidR="004930DF" w:rsidRDefault="004930DF" w:rsidP="004930DF">
      <w:pPr>
        <w:pStyle w:val="AERbulletlistfirststyle"/>
      </w:pPr>
      <w:r>
        <w:t>TasNetworks.</w:t>
      </w:r>
    </w:p>
    <w:p w:rsidR="004930DF" w:rsidRPr="00036AF4" w:rsidRDefault="004930DF" w:rsidP="004930DF">
      <w:r>
        <w:t>All submissions are available on our website.</w:t>
      </w:r>
    </w:p>
    <w:bookmarkEnd w:id="5"/>
    <w:p w:rsidR="00B610B3" w:rsidRDefault="00B610B3" w:rsidP="00B610B3"/>
    <w:p w:rsidR="004D4728" w:rsidRDefault="004D4728"/>
    <w:sectPr w:rsidR="004D4728" w:rsidSect="00E056BF">
      <w:footerReference w:type="even" r:id="rId37"/>
      <w:footerReference w:type="default" r:id="rId38"/>
      <w:footerReference w:type="first" r:id="rId39"/>
      <w:pgSz w:w="11906" w:h="16838" w:code="9"/>
      <w:pgMar w:top="1440" w:right="1700" w:bottom="1582" w:left="1729" w:header="720" w:footer="0" w:gutter="0"/>
      <w:pgNumType w:start="1"/>
      <w:cols w:space="720"/>
      <w:docGrid w:linePitch="326"/>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FBD098" w15:done="0"/>
  <w15:commentEx w15:paraId="37DAE31A" w15:done="0"/>
  <w15:commentEx w15:paraId="335CB24E" w15:done="0"/>
  <w15:commentEx w15:paraId="59322F03" w15:done="0"/>
  <w15:commentEx w15:paraId="7AF70D9A" w15:done="0"/>
  <w15:commentEx w15:paraId="01872A5C" w15:done="0"/>
  <w15:commentEx w15:paraId="1B66A2AD" w15:done="0"/>
  <w15:commentEx w15:paraId="322E359A" w15:done="0"/>
  <w15:commentEx w15:paraId="7D7985DF" w15:done="0"/>
  <w15:commentEx w15:paraId="0631236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81D" w:rsidRPr="00290C63" w:rsidRDefault="00AD181D" w:rsidP="00290C63">
      <w:r>
        <w:separator/>
      </w:r>
    </w:p>
    <w:p w:rsidR="00AD181D" w:rsidRDefault="00AD181D"/>
  </w:endnote>
  <w:endnote w:type="continuationSeparator" w:id="0">
    <w:p w:rsidR="00AD181D" w:rsidRPr="00290C63" w:rsidRDefault="00AD181D" w:rsidP="00290C63">
      <w:r>
        <w:continuationSeparator/>
      </w:r>
    </w:p>
    <w:p w:rsidR="00AD181D" w:rsidRDefault="00AD18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utami">
    <w:panose1 w:val="020B0502040204020203"/>
    <w:charset w:val="00"/>
    <w:family w:val="swiss"/>
    <w:pitch w:val="variable"/>
    <w:sig w:usb0="002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81D" w:rsidRDefault="00AD181D" w:rsidP="00E056BF">
    <w:pPr>
      <w:pStyle w:val="Footer"/>
      <w:tabs>
        <w:tab w:val="clear" w:pos="9026"/>
        <w:tab w:val="right" w:pos="8505"/>
      </w:tabs>
    </w:pPr>
    <w:r>
      <w:t>2015 Annual benchmarking report (distribution)</w:t>
    </w:r>
    <w:r>
      <w:tab/>
    </w:r>
    <w:r>
      <w:tab/>
    </w:r>
    <w:sdt>
      <w:sdtPr>
        <w:id w:val="25626225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F5714">
          <w:rPr>
            <w:noProof/>
          </w:rPr>
          <w:t>v</w:t>
        </w:r>
        <w:r>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81D" w:rsidRPr="00290C63" w:rsidRDefault="00AD181D" w:rsidP="00290C63">
    <w:pPr>
      <w:rPr>
        <w:rStyle w:val="PageNumber"/>
      </w:rPr>
    </w:pPr>
    <w:r>
      <w:fldChar w:fldCharType="begin"/>
    </w:r>
    <w:r>
      <w:instrText xml:space="preserve"> PAGE   \* MERGEFORMAT </w:instrText>
    </w:r>
    <w:r>
      <w:fldChar w:fldCharType="separate"/>
    </w:r>
    <w:r w:rsidRPr="00290C63">
      <w:rPr>
        <w:rStyle w:val="PageNumber"/>
      </w:rPr>
      <w:t>2</w:t>
    </w:r>
    <w:r>
      <w:rPr>
        <w:rStyle w:val="PageNumber"/>
      </w:rPr>
      <w:fldChar w:fldCharType="end"/>
    </w:r>
    <w:r w:rsidRPr="00290C63">
      <w:rPr>
        <w:rStyle w:val="PageNumber"/>
      </w:rPr>
      <w:tab/>
      <w:t>Xxx report—month/year</w:t>
    </w:r>
  </w:p>
  <w:p w:rsidR="00AD181D" w:rsidRDefault="00AD181D"/>
  <w:p w:rsidR="00AD181D" w:rsidRDefault="00AD181D"/>
  <w:p w:rsidR="00AD181D" w:rsidRDefault="00AD181D"/>
  <w:p w:rsidR="00AD181D" w:rsidRDefault="00AD181D"/>
  <w:p w:rsidR="00AD181D" w:rsidRDefault="00AD181D"/>
  <w:p w:rsidR="00AD181D" w:rsidRDefault="00AD181D"/>
  <w:p w:rsidR="00AD181D" w:rsidRDefault="00AD181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81D" w:rsidRDefault="00AD181D" w:rsidP="002A0CD3">
    <w:pPr>
      <w:pStyle w:val="Footer"/>
      <w:tabs>
        <w:tab w:val="clear" w:pos="9026"/>
        <w:tab w:val="right" w:pos="8505"/>
      </w:tabs>
    </w:pPr>
    <w:r>
      <w:t>2015 Annual benchmarking report (distribution)</w:t>
    </w:r>
    <w:r>
      <w:tab/>
    </w:r>
    <w:r>
      <w:tab/>
    </w:r>
    <w:sdt>
      <w:sdtPr>
        <w:id w:val="31084332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F5714">
          <w:rPr>
            <w:noProof/>
          </w:rPr>
          <w:t>18</w:t>
        </w:r>
        <w:r>
          <w:rPr>
            <w:noProof/>
          </w:rPr>
          <w:fldChar w:fldCharType="end"/>
        </w:r>
      </w:sdtContent>
    </w:sdt>
  </w:p>
  <w:p w:rsidR="00AD181D" w:rsidRDefault="00AD181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81D" w:rsidRPr="00290C63" w:rsidRDefault="00AD181D" w:rsidP="00290C63">
    <w:pPr>
      <w:pStyle w:val="Footer"/>
    </w:pPr>
    <w:r>
      <w:t>Name of Report</w:t>
    </w:r>
    <w:r>
      <w:tab/>
    </w:r>
    <w:r>
      <w:tab/>
    </w:r>
    <w:r>
      <w:fldChar w:fldCharType="begin"/>
    </w:r>
    <w:r>
      <w:instrText xml:space="preserve"> PAGE   \* MERGEFORMAT </w:instrText>
    </w:r>
    <w:r>
      <w:fldChar w:fldCharType="separate"/>
    </w:r>
    <w:r w:rsidRPr="00290C63">
      <w:t>1</w:t>
    </w:r>
    <w:r>
      <w:fldChar w:fldCharType="end"/>
    </w:r>
  </w:p>
  <w:p w:rsidR="00AD181D" w:rsidRDefault="00AD181D">
    <w:pPr>
      <w:pStyle w:val="Footer"/>
    </w:pPr>
  </w:p>
  <w:p w:rsidR="00AD181D" w:rsidRDefault="00AD181D"/>
  <w:p w:rsidR="00AD181D" w:rsidRDefault="00AD181D"/>
  <w:p w:rsidR="00AD181D" w:rsidRDefault="00AD181D"/>
  <w:p w:rsidR="00AD181D" w:rsidRDefault="00AD181D"/>
  <w:p w:rsidR="00AD181D" w:rsidRDefault="00AD181D"/>
  <w:p w:rsidR="00AD181D" w:rsidRDefault="00AD181D"/>
  <w:p w:rsidR="00AD181D" w:rsidRDefault="00AD181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81D" w:rsidRDefault="00AD181D">
      <w:r>
        <w:separator/>
      </w:r>
    </w:p>
  </w:footnote>
  <w:footnote w:type="continuationSeparator" w:id="0">
    <w:p w:rsidR="00AD181D" w:rsidRDefault="00AD181D">
      <w:r>
        <w:continuationSeparator/>
      </w:r>
    </w:p>
  </w:footnote>
  <w:footnote w:type="continuationNotice" w:id="1">
    <w:p w:rsidR="00AD181D" w:rsidRDefault="00AD181D">
      <w:pPr>
        <w:spacing w:before="0" w:line="240" w:lineRule="auto"/>
      </w:pPr>
    </w:p>
  </w:footnote>
  <w:footnote w:id="2">
    <w:p w:rsidR="00AD181D" w:rsidRDefault="00AD181D" w:rsidP="00AD181D">
      <w:pPr>
        <w:pStyle w:val="FootnoteText"/>
      </w:pPr>
      <w:r>
        <w:rPr>
          <w:rStyle w:val="FootnoteReference"/>
        </w:rPr>
        <w:footnoteRef/>
      </w:r>
      <w:r>
        <w:t xml:space="preserve"> </w:t>
      </w:r>
      <w:r>
        <w:tab/>
        <w:t>This is particularly the case with opex. However, it is should be recognised that for capex, in some cases, a bottom up assessment is useful in circumstances where a discrete number of projects to be undertaken can be clearly identified.</w:t>
      </w:r>
    </w:p>
  </w:footnote>
  <w:footnote w:id="3">
    <w:p w:rsidR="00AD181D" w:rsidRDefault="00AD181D">
      <w:pPr>
        <w:pStyle w:val="FootnoteText"/>
      </w:pPr>
      <w:r>
        <w:rPr>
          <w:rStyle w:val="FootnoteReference"/>
        </w:rPr>
        <w:footnoteRef/>
      </w:r>
      <w:r>
        <w:t xml:space="preserve"> </w:t>
      </w:r>
      <w:r>
        <w:tab/>
        <w:t>Bottom up techniques are not commonly used. One example, however, is in Spain where the regulator constructs a network reference model. This model designs large scale electricity distribution networks optimally, considering all technical features imposed on the actual distribution networks. The WIK Consult report referenced in Appendix A provides more detail on the Spanish bottom up model.</w:t>
      </w:r>
    </w:p>
  </w:footnote>
  <w:footnote w:id="4">
    <w:p w:rsidR="00AD181D" w:rsidRDefault="00AD181D">
      <w:pPr>
        <w:pStyle w:val="FootnoteText"/>
      </w:pPr>
      <w:r>
        <w:rPr>
          <w:rStyle w:val="FootnoteReference"/>
        </w:rPr>
        <w:footnoteRef/>
      </w:r>
      <w:r>
        <w:t xml:space="preserve"> </w:t>
      </w:r>
      <w:r>
        <w:tab/>
        <w:t>Refer to glossary for definitions.</w:t>
      </w:r>
    </w:p>
  </w:footnote>
  <w:footnote w:id="5">
    <w:p w:rsidR="00AD181D" w:rsidRDefault="00AD181D">
      <w:pPr>
        <w:pStyle w:val="FootnoteText"/>
      </w:pPr>
      <w:r>
        <w:rPr>
          <w:rStyle w:val="FootnoteReference"/>
        </w:rPr>
        <w:footnoteRef/>
      </w:r>
      <w:r>
        <w:t xml:space="preserve"> </w:t>
      </w:r>
      <w:r>
        <w:tab/>
        <w:t xml:space="preserve">‘Ratcheted’ maximum demand is </w:t>
      </w:r>
      <w:r w:rsidRPr="004E1F45">
        <w:t xml:space="preserve">the highest value of </w:t>
      </w:r>
      <w:r>
        <w:t>maximum</w:t>
      </w:r>
      <w:r w:rsidRPr="004E1F45">
        <w:t xml:space="preserve"> demand </w:t>
      </w:r>
      <w:r>
        <w:t xml:space="preserve">for each DNSP, </w:t>
      </w:r>
      <w:r w:rsidRPr="004E1F45">
        <w:t xml:space="preserve">observed in the time period up to the year in question. It recognises capacity that has been used to satisfy demand and gives the DNSP credit for this capacity in subsequent years, even though annual </w:t>
      </w:r>
      <w:r>
        <w:t xml:space="preserve">maximum </w:t>
      </w:r>
      <w:r w:rsidRPr="004E1F45">
        <w:t>demand may be lower in subsequent years.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81D" w:rsidRDefault="00AD18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FE90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2">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3">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4">
    <w:nsid w:val="FFFFFF7F"/>
    <w:multiLevelType w:val="singleLevel"/>
    <w:tmpl w:val="C9043968"/>
    <w:lvl w:ilvl="0">
      <w:start w:val="1"/>
      <w:numFmt w:val="decimal"/>
      <w:pStyle w:val="ListNumber2"/>
      <w:lvlText w:val="%1."/>
      <w:lvlJc w:val="left"/>
      <w:pPr>
        <w:ind w:left="700" w:hanging="360"/>
      </w:pPr>
    </w:lvl>
  </w:abstractNum>
  <w:abstractNum w:abstractNumId="5">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6">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7">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8">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9">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1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3BE4FB3"/>
    <w:multiLevelType w:val="hybridMultilevel"/>
    <w:tmpl w:val="D74AD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041F530A"/>
    <w:multiLevelType w:val="multilevel"/>
    <w:tmpl w:val="4E603E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09C62EF7"/>
    <w:multiLevelType w:val="hybridMultilevel"/>
    <w:tmpl w:val="C6868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5">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Gautami"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Gautami"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Gautami" w:hint="default"/>
      </w:rPr>
    </w:lvl>
    <w:lvl w:ilvl="8" w:tplc="2DD24F62" w:tentative="1">
      <w:start w:val="1"/>
      <w:numFmt w:val="bullet"/>
      <w:lvlText w:val=""/>
      <w:lvlJc w:val="left"/>
      <w:pPr>
        <w:ind w:left="7560" w:hanging="360"/>
      </w:pPr>
      <w:rPr>
        <w:rFonts w:ascii="Wingdings" w:hAnsi="Wingdings" w:hint="default"/>
      </w:rPr>
    </w:lvl>
  </w:abstractNum>
  <w:abstractNum w:abstractNumId="17">
    <w:nsid w:val="16503FF3"/>
    <w:multiLevelType w:val="hybridMultilevel"/>
    <w:tmpl w:val="2C901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9">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1073EF4"/>
    <w:multiLevelType w:val="hybridMultilevel"/>
    <w:tmpl w:val="9042A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281977C0"/>
    <w:multiLevelType w:val="multilevel"/>
    <w:tmpl w:val="950A1C52"/>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3">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4">
    <w:nsid w:val="2C3F2E77"/>
    <w:multiLevelType w:val="hybridMultilevel"/>
    <w:tmpl w:val="9CD8B8A0"/>
    <w:lvl w:ilvl="0" w:tplc="0C090003">
      <w:start w:val="1"/>
      <w:numFmt w:val="bullet"/>
      <w:lvlText w:val="o"/>
      <w:lvlJc w:val="left"/>
      <w:pPr>
        <w:ind w:left="720" w:hanging="360"/>
      </w:pPr>
      <w:rPr>
        <w:rFonts w:ascii="Courier New" w:hAnsi="Courier New" w:cs="Aria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D000636"/>
    <w:multiLevelType w:val="hybridMultilevel"/>
    <w:tmpl w:val="22427E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7"/>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7">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36D84DD4"/>
    <w:multiLevelType w:val="hybridMultilevel"/>
    <w:tmpl w:val="C6787DDA"/>
    <w:lvl w:ilvl="0" w:tplc="96C6B4C6">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Gautam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Gautam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Gautami"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BE638BA"/>
    <w:multiLevelType w:val="hybridMultilevel"/>
    <w:tmpl w:val="22B877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27365F5"/>
    <w:multiLevelType w:val="hybridMultilevel"/>
    <w:tmpl w:val="5C28C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33">
    <w:nsid w:val="44C451BD"/>
    <w:multiLevelType w:val="multilevel"/>
    <w:tmpl w:val="39D4CB02"/>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49881C01"/>
    <w:multiLevelType w:val="hybridMultilevel"/>
    <w:tmpl w:val="201E9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Gautami"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Gautami"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Gautami" w:hint="default"/>
      </w:rPr>
    </w:lvl>
    <w:lvl w:ilvl="8" w:tplc="0C090005" w:tentative="1">
      <w:start w:val="1"/>
      <w:numFmt w:val="bullet"/>
      <w:lvlText w:val=""/>
      <w:lvlJc w:val="left"/>
      <w:pPr>
        <w:ind w:left="6800" w:hanging="360"/>
      </w:pPr>
      <w:rPr>
        <w:rFonts w:ascii="Wingdings" w:hAnsi="Wingdings" w:hint="default"/>
      </w:rPr>
    </w:lvl>
  </w:abstractNum>
  <w:abstractNum w:abstractNumId="38">
    <w:nsid w:val="50CA0C2C"/>
    <w:multiLevelType w:val="hybridMultilevel"/>
    <w:tmpl w:val="6806502C"/>
    <w:lvl w:ilvl="0" w:tplc="5518F1B8">
      <w:start w:val="1"/>
      <w:numFmt w:val="bullet"/>
      <w:lvlText w:val=""/>
      <w:lvlJc w:val="left"/>
      <w:pPr>
        <w:tabs>
          <w:tab w:val="num" w:pos="1701"/>
        </w:tabs>
        <w:ind w:left="1701" w:hanging="567"/>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52486784"/>
    <w:multiLevelType w:val="hybridMultilevel"/>
    <w:tmpl w:val="F278A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63C0F33"/>
    <w:multiLevelType w:val="multilevel"/>
    <w:tmpl w:val="D74ADE0E"/>
    <w:lvl w:ilvl="0">
      <w:start w:val="1"/>
      <w:numFmt w:val="bullet"/>
      <w:lvlText w:val=""/>
      <w:lvlJc w:val="left"/>
      <w:pPr>
        <w:ind w:left="360" w:hanging="360"/>
      </w:pPr>
      <w:rPr>
        <w:rFonts w:ascii="Symbol" w:hAnsi="Symbol"/>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nsid w:val="589C12B5"/>
    <w:multiLevelType w:val="hybridMultilevel"/>
    <w:tmpl w:val="DDDAA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44">
    <w:nsid w:val="5E8F5966"/>
    <w:multiLevelType w:val="hybridMultilevel"/>
    <w:tmpl w:val="B80E7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5ECE4384"/>
    <w:multiLevelType w:val="multilevel"/>
    <w:tmpl w:val="EC5E840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nsid w:val="5F8E0DDE"/>
    <w:multiLevelType w:val="hybridMultilevel"/>
    <w:tmpl w:val="5CDCE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662F6FB8"/>
    <w:multiLevelType w:val="hybridMultilevel"/>
    <w:tmpl w:val="576E7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Gautami" w:hint="default"/>
      </w:rPr>
    </w:lvl>
    <w:lvl w:ilvl="1" w:tplc="0C090019" w:tentative="1">
      <w:start w:val="1"/>
      <w:numFmt w:val="bullet"/>
      <w:lvlText w:val="o"/>
      <w:lvlJc w:val="left"/>
      <w:pPr>
        <w:ind w:left="1801" w:hanging="360"/>
      </w:pPr>
      <w:rPr>
        <w:rFonts w:ascii="Courier New" w:hAnsi="Courier New" w:cs="Gautami"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Gautami"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Gautami" w:hint="default"/>
      </w:rPr>
    </w:lvl>
    <w:lvl w:ilvl="8" w:tplc="0C09001B" w:tentative="1">
      <w:start w:val="1"/>
      <w:numFmt w:val="bullet"/>
      <w:lvlText w:val=""/>
      <w:lvlJc w:val="left"/>
      <w:pPr>
        <w:ind w:left="6841" w:hanging="360"/>
      </w:pPr>
      <w:rPr>
        <w:rFonts w:ascii="Wingdings" w:hAnsi="Wingdings" w:hint="default"/>
      </w:rPr>
    </w:lvl>
  </w:abstractNum>
  <w:abstractNum w:abstractNumId="49">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71551D99"/>
    <w:multiLevelType w:val="hybridMultilevel"/>
    <w:tmpl w:val="6AA84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6"/>
  </w:num>
  <w:num w:numId="2">
    <w:abstractNumId w:val="51"/>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48"/>
  </w:num>
  <w:num w:numId="13">
    <w:abstractNumId w:val="29"/>
  </w:num>
  <w:num w:numId="14">
    <w:abstractNumId w:val="15"/>
  </w:num>
  <w:num w:numId="15">
    <w:abstractNumId w:val="18"/>
  </w:num>
  <w:num w:numId="16">
    <w:abstractNumId w:val="35"/>
  </w:num>
  <w:num w:numId="17">
    <w:abstractNumId w:val="14"/>
  </w:num>
  <w:num w:numId="18">
    <w:abstractNumId w:val="23"/>
  </w:num>
  <w:num w:numId="19">
    <w:abstractNumId w:val="36"/>
  </w:num>
  <w:num w:numId="20">
    <w:abstractNumId w:val="49"/>
  </w:num>
  <w:num w:numId="21">
    <w:abstractNumId w:val="43"/>
  </w:num>
  <w:num w:numId="22">
    <w:abstractNumId w:val="37"/>
  </w:num>
  <w:num w:numId="23">
    <w:abstractNumId w:val="26"/>
  </w:num>
  <w:num w:numId="24">
    <w:abstractNumId w:val="39"/>
  </w:num>
  <w:num w:numId="25">
    <w:abstractNumId w:val="45"/>
  </w:num>
  <w:num w:numId="26">
    <w:abstractNumId w:val="27"/>
  </w:num>
  <w:num w:numId="27">
    <w:abstractNumId w:val="21"/>
  </w:num>
  <w:num w:numId="28">
    <w:abstractNumId w:val="9"/>
    <w:lvlOverride w:ilvl="0">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num>
  <w:num w:numId="32">
    <w:abstractNumId w:val="9"/>
    <w:lvlOverride w:ilvl="0">
      <w:startOverride w:val="1"/>
    </w:lvlOverride>
  </w:num>
  <w:num w:numId="33">
    <w:abstractNumId w:val="9"/>
    <w:lvlOverride w:ilvl="0">
      <w:startOverride w:val="1"/>
    </w:lvlOverride>
  </w:num>
  <w:num w:numId="34">
    <w:abstractNumId w:val="9"/>
    <w:lvlOverride w:ilvl="0">
      <w:startOverride w:val="1"/>
    </w:lvlOverride>
  </w:num>
  <w:num w:numId="35">
    <w:abstractNumId w:val="9"/>
    <w:lvlOverride w:ilvl="0">
      <w:startOverride w:val="1"/>
    </w:lvlOverride>
  </w:num>
  <w:num w:numId="36">
    <w:abstractNumId w:val="9"/>
    <w:lvlOverride w:ilvl="0">
      <w:startOverride w:val="1"/>
    </w:lvlOverride>
  </w:num>
  <w:num w:numId="37">
    <w:abstractNumId w:val="9"/>
    <w:lvlOverride w:ilvl="0">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num>
  <w:num w:numId="40">
    <w:abstractNumId w:val="38"/>
  </w:num>
  <w:num w:numId="41">
    <w:abstractNumId w:val="30"/>
  </w:num>
  <w:num w:numId="42">
    <w:abstractNumId w:val="24"/>
  </w:num>
  <w:num w:numId="43">
    <w:abstractNumId w:val="33"/>
  </w:num>
  <w:num w:numId="44">
    <w:abstractNumId w:val="42"/>
  </w:num>
  <w:num w:numId="45">
    <w:abstractNumId w:val="31"/>
  </w:num>
  <w:num w:numId="46">
    <w:abstractNumId w:val="28"/>
  </w:num>
  <w:num w:numId="47">
    <w:abstractNumId w:val="0"/>
  </w:num>
  <w:num w:numId="48">
    <w:abstractNumId w:val="10"/>
  </w:num>
  <w:num w:numId="49">
    <w:abstractNumId w:val="13"/>
  </w:num>
  <w:num w:numId="50">
    <w:abstractNumId w:val="19"/>
  </w:num>
  <w:num w:numId="51">
    <w:abstractNumId w:val="3"/>
    <w:lvlOverride w:ilvl="0">
      <w:startOverride w:val="1"/>
    </w:lvlOverride>
  </w:num>
  <w:num w:numId="52">
    <w:abstractNumId w:val="23"/>
    <w:lvlOverride w:ilvl="0">
      <w:startOverride w:val="1"/>
    </w:lvlOverride>
  </w:num>
  <w:num w:numId="53">
    <w:abstractNumId w:val="34"/>
  </w:num>
  <w:num w:numId="54">
    <w:abstractNumId w:val="11"/>
  </w:num>
  <w:num w:numId="55">
    <w:abstractNumId w:val="18"/>
  </w:num>
  <w:num w:numId="56">
    <w:abstractNumId w:val="12"/>
  </w:num>
  <w:num w:numId="57">
    <w:abstractNumId w:val="41"/>
  </w:num>
  <w:num w:numId="58">
    <w:abstractNumId w:val="32"/>
  </w:num>
  <w:num w:numId="59">
    <w:abstractNumId w:val="32"/>
    <w:lvlOverride w:ilvl="0">
      <w:startOverride w:val="1"/>
    </w:lvlOverride>
  </w:num>
  <w:num w:numId="60">
    <w:abstractNumId w:val="51"/>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1">
    <w:abstractNumId w:val="22"/>
  </w:num>
  <w:num w:numId="62">
    <w:abstractNumId w:val="51"/>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3">
    <w:abstractNumId w:val="51"/>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4">
    <w:abstractNumId w:val="20"/>
  </w:num>
  <w:num w:numId="65">
    <w:abstractNumId w:val="50"/>
  </w:num>
  <w:num w:numId="66">
    <w:abstractNumId w:val="47"/>
  </w:num>
  <w:num w:numId="67">
    <w:abstractNumId w:val="25"/>
  </w:num>
  <w:num w:numId="68">
    <w:abstractNumId w:val="17"/>
  </w:num>
  <w:num w:numId="69">
    <w:abstractNumId w:val="40"/>
  </w:num>
  <w:num w:numId="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6"/>
  </w:num>
  <w:num w:numId="72">
    <w:abstractNumId w:val="4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activeWritingStyle w:appName="MSWord" w:lang="en-AU" w:vendorID="64" w:dllVersion="131078" w:nlCheck="1" w:checkStyle="0"/>
  <w:activeWritingStyle w:appName="MSWord" w:lang="en-US" w:vendorID="64" w:dllVersion="131078" w:nlCheck="1" w:checkStyle="1"/>
  <w:activeWritingStyle w:appName="MSWord" w:lang="en-AU" w:vendorID="2" w:dllVersion="6" w:checkStyle="0"/>
  <w:doNotTrackMoves/>
  <w:documentProtection w:formatting="1" w:enforcement="0"/>
  <w:defaultTabStop w:val="340"/>
  <w:characterSpacingControl w:val="doNotCompress"/>
  <w:hdrShapeDefaults>
    <o:shapedefaults v:ext="edit" spidmax="16385"/>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tps://www.aer.gov.au/system/files/Distribution network service providers 2015 benchmarking report.DOCX"/>
  </w:docVars>
  <w:rsids>
    <w:rsidRoot w:val="00961A4A"/>
    <w:rsid w:val="0000000D"/>
    <w:rsid w:val="000004B3"/>
    <w:rsid w:val="000014D9"/>
    <w:rsid w:val="0000292D"/>
    <w:rsid w:val="00002A41"/>
    <w:rsid w:val="00003300"/>
    <w:rsid w:val="000033A6"/>
    <w:rsid w:val="000037EB"/>
    <w:rsid w:val="00007FE2"/>
    <w:rsid w:val="0001044E"/>
    <w:rsid w:val="00011292"/>
    <w:rsid w:val="00012150"/>
    <w:rsid w:val="0001344A"/>
    <w:rsid w:val="00013D04"/>
    <w:rsid w:val="00014995"/>
    <w:rsid w:val="000164A2"/>
    <w:rsid w:val="00016930"/>
    <w:rsid w:val="00020B8D"/>
    <w:rsid w:val="00020BC3"/>
    <w:rsid w:val="00021202"/>
    <w:rsid w:val="00024181"/>
    <w:rsid w:val="00024FA6"/>
    <w:rsid w:val="00025124"/>
    <w:rsid w:val="0002517F"/>
    <w:rsid w:val="000255F0"/>
    <w:rsid w:val="0002578C"/>
    <w:rsid w:val="00025FDD"/>
    <w:rsid w:val="00027848"/>
    <w:rsid w:val="00031488"/>
    <w:rsid w:val="0003240E"/>
    <w:rsid w:val="000326E4"/>
    <w:rsid w:val="00034653"/>
    <w:rsid w:val="00034A7E"/>
    <w:rsid w:val="0003578C"/>
    <w:rsid w:val="00040102"/>
    <w:rsid w:val="00040977"/>
    <w:rsid w:val="00040DD1"/>
    <w:rsid w:val="000411E6"/>
    <w:rsid w:val="0004177A"/>
    <w:rsid w:val="000418AD"/>
    <w:rsid w:val="00044EA7"/>
    <w:rsid w:val="00045CE6"/>
    <w:rsid w:val="00046968"/>
    <w:rsid w:val="000478FE"/>
    <w:rsid w:val="00050855"/>
    <w:rsid w:val="000533D1"/>
    <w:rsid w:val="000537B7"/>
    <w:rsid w:val="000537C6"/>
    <w:rsid w:val="000546F7"/>
    <w:rsid w:val="0005488B"/>
    <w:rsid w:val="000548C4"/>
    <w:rsid w:val="00057140"/>
    <w:rsid w:val="00057982"/>
    <w:rsid w:val="000606F7"/>
    <w:rsid w:val="00060A04"/>
    <w:rsid w:val="00061021"/>
    <w:rsid w:val="00063247"/>
    <w:rsid w:val="00065C7B"/>
    <w:rsid w:val="0006753B"/>
    <w:rsid w:val="00070F9F"/>
    <w:rsid w:val="0007137B"/>
    <w:rsid w:val="00071685"/>
    <w:rsid w:val="00071ACB"/>
    <w:rsid w:val="00075F50"/>
    <w:rsid w:val="000763B5"/>
    <w:rsid w:val="00076D10"/>
    <w:rsid w:val="0008099A"/>
    <w:rsid w:val="00081C9B"/>
    <w:rsid w:val="00082FBF"/>
    <w:rsid w:val="000848BC"/>
    <w:rsid w:val="00085663"/>
    <w:rsid w:val="00085EBF"/>
    <w:rsid w:val="00085F4E"/>
    <w:rsid w:val="00086105"/>
    <w:rsid w:val="00086847"/>
    <w:rsid w:val="00087604"/>
    <w:rsid w:val="00091C4F"/>
    <w:rsid w:val="000922AA"/>
    <w:rsid w:val="000938E9"/>
    <w:rsid w:val="000947D6"/>
    <w:rsid w:val="000A09AF"/>
    <w:rsid w:val="000A1D2B"/>
    <w:rsid w:val="000A1F11"/>
    <w:rsid w:val="000A2F08"/>
    <w:rsid w:val="000A3020"/>
    <w:rsid w:val="000A4626"/>
    <w:rsid w:val="000A4860"/>
    <w:rsid w:val="000A6C7B"/>
    <w:rsid w:val="000A6D1B"/>
    <w:rsid w:val="000A77A7"/>
    <w:rsid w:val="000A7944"/>
    <w:rsid w:val="000B0AA3"/>
    <w:rsid w:val="000B13A7"/>
    <w:rsid w:val="000B424B"/>
    <w:rsid w:val="000B4BEF"/>
    <w:rsid w:val="000B63BE"/>
    <w:rsid w:val="000C226A"/>
    <w:rsid w:val="000C6042"/>
    <w:rsid w:val="000D122C"/>
    <w:rsid w:val="000D15AF"/>
    <w:rsid w:val="000D3214"/>
    <w:rsid w:val="000D42D0"/>
    <w:rsid w:val="000D5800"/>
    <w:rsid w:val="000D5F47"/>
    <w:rsid w:val="000D6317"/>
    <w:rsid w:val="000E1819"/>
    <w:rsid w:val="000E1CEF"/>
    <w:rsid w:val="000E2016"/>
    <w:rsid w:val="000E2019"/>
    <w:rsid w:val="000E2360"/>
    <w:rsid w:val="000E4821"/>
    <w:rsid w:val="000E5D52"/>
    <w:rsid w:val="000E6C72"/>
    <w:rsid w:val="000E760A"/>
    <w:rsid w:val="000F0E99"/>
    <w:rsid w:val="000F1510"/>
    <w:rsid w:val="000F7D66"/>
    <w:rsid w:val="001000D2"/>
    <w:rsid w:val="001014FD"/>
    <w:rsid w:val="00101EE9"/>
    <w:rsid w:val="00107770"/>
    <w:rsid w:val="00107EAB"/>
    <w:rsid w:val="001115A9"/>
    <w:rsid w:val="00114079"/>
    <w:rsid w:val="00114665"/>
    <w:rsid w:val="0011506B"/>
    <w:rsid w:val="00116492"/>
    <w:rsid w:val="00116EB2"/>
    <w:rsid w:val="001172B1"/>
    <w:rsid w:val="00117D70"/>
    <w:rsid w:val="00117FC4"/>
    <w:rsid w:val="001201F1"/>
    <w:rsid w:val="00121633"/>
    <w:rsid w:val="0012282C"/>
    <w:rsid w:val="00124609"/>
    <w:rsid w:val="001266A4"/>
    <w:rsid w:val="00126A4C"/>
    <w:rsid w:val="00131652"/>
    <w:rsid w:val="001336A5"/>
    <w:rsid w:val="00133828"/>
    <w:rsid w:val="0013482E"/>
    <w:rsid w:val="00135522"/>
    <w:rsid w:val="00137D70"/>
    <w:rsid w:val="00140650"/>
    <w:rsid w:val="001407E5"/>
    <w:rsid w:val="00141993"/>
    <w:rsid w:val="001436D1"/>
    <w:rsid w:val="00144313"/>
    <w:rsid w:val="00144E1C"/>
    <w:rsid w:val="0014573B"/>
    <w:rsid w:val="00145B97"/>
    <w:rsid w:val="00146DA1"/>
    <w:rsid w:val="00146E1E"/>
    <w:rsid w:val="00146F94"/>
    <w:rsid w:val="001471FD"/>
    <w:rsid w:val="00151162"/>
    <w:rsid w:val="00151B47"/>
    <w:rsid w:val="0015482A"/>
    <w:rsid w:val="001573E4"/>
    <w:rsid w:val="001578D9"/>
    <w:rsid w:val="00160756"/>
    <w:rsid w:val="00160810"/>
    <w:rsid w:val="00164191"/>
    <w:rsid w:val="00167835"/>
    <w:rsid w:val="00170307"/>
    <w:rsid w:val="0017232E"/>
    <w:rsid w:val="00172AFB"/>
    <w:rsid w:val="00173934"/>
    <w:rsid w:val="00173B0B"/>
    <w:rsid w:val="00173F4A"/>
    <w:rsid w:val="00174102"/>
    <w:rsid w:val="00174AE7"/>
    <w:rsid w:val="00175AC9"/>
    <w:rsid w:val="00180157"/>
    <w:rsid w:val="00180180"/>
    <w:rsid w:val="0018026F"/>
    <w:rsid w:val="0018081A"/>
    <w:rsid w:val="001809D7"/>
    <w:rsid w:val="00180EF3"/>
    <w:rsid w:val="00181F45"/>
    <w:rsid w:val="00182E7A"/>
    <w:rsid w:val="0018596C"/>
    <w:rsid w:val="00185CB9"/>
    <w:rsid w:val="00185ED6"/>
    <w:rsid w:val="00186F77"/>
    <w:rsid w:val="001873A2"/>
    <w:rsid w:val="00187EC3"/>
    <w:rsid w:val="001913E9"/>
    <w:rsid w:val="00191BDA"/>
    <w:rsid w:val="001926A4"/>
    <w:rsid w:val="00192AD5"/>
    <w:rsid w:val="00194FA1"/>
    <w:rsid w:val="00196038"/>
    <w:rsid w:val="0019623A"/>
    <w:rsid w:val="001A12E2"/>
    <w:rsid w:val="001A59E3"/>
    <w:rsid w:val="001A64FA"/>
    <w:rsid w:val="001B0D42"/>
    <w:rsid w:val="001B1946"/>
    <w:rsid w:val="001B21B3"/>
    <w:rsid w:val="001B33CF"/>
    <w:rsid w:val="001B3C22"/>
    <w:rsid w:val="001B3ECD"/>
    <w:rsid w:val="001B4149"/>
    <w:rsid w:val="001B45A0"/>
    <w:rsid w:val="001B4D92"/>
    <w:rsid w:val="001B70F9"/>
    <w:rsid w:val="001C0D1B"/>
    <w:rsid w:val="001C12E3"/>
    <w:rsid w:val="001C1DD6"/>
    <w:rsid w:val="001C5E48"/>
    <w:rsid w:val="001C5F85"/>
    <w:rsid w:val="001C69D4"/>
    <w:rsid w:val="001D055E"/>
    <w:rsid w:val="001D1779"/>
    <w:rsid w:val="001D1C9F"/>
    <w:rsid w:val="001D2F61"/>
    <w:rsid w:val="001D4892"/>
    <w:rsid w:val="001D5D56"/>
    <w:rsid w:val="001D684E"/>
    <w:rsid w:val="001D7455"/>
    <w:rsid w:val="001E09BA"/>
    <w:rsid w:val="001E1D4E"/>
    <w:rsid w:val="001E4EEA"/>
    <w:rsid w:val="001E7CEC"/>
    <w:rsid w:val="001F492E"/>
    <w:rsid w:val="001F5976"/>
    <w:rsid w:val="001F6CC4"/>
    <w:rsid w:val="001F6DA3"/>
    <w:rsid w:val="00200E6A"/>
    <w:rsid w:val="002010BC"/>
    <w:rsid w:val="002024BA"/>
    <w:rsid w:val="00202E03"/>
    <w:rsid w:val="00203317"/>
    <w:rsid w:val="00204194"/>
    <w:rsid w:val="00204532"/>
    <w:rsid w:val="0020492C"/>
    <w:rsid w:val="00204AEE"/>
    <w:rsid w:val="002059C8"/>
    <w:rsid w:val="00206EC1"/>
    <w:rsid w:val="00207437"/>
    <w:rsid w:val="002119EC"/>
    <w:rsid w:val="00212EEA"/>
    <w:rsid w:val="00212EEE"/>
    <w:rsid w:val="002149DD"/>
    <w:rsid w:val="00214C23"/>
    <w:rsid w:val="002153E5"/>
    <w:rsid w:val="00215F5A"/>
    <w:rsid w:val="00217DFB"/>
    <w:rsid w:val="00220364"/>
    <w:rsid w:val="0022322A"/>
    <w:rsid w:val="00224DB9"/>
    <w:rsid w:val="00226748"/>
    <w:rsid w:val="00230668"/>
    <w:rsid w:val="00230CD0"/>
    <w:rsid w:val="0023343B"/>
    <w:rsid w:val="00233775"/>
    <w:rsid w:val="00234FC3"/>
    <w:rsid w:val="00236513"/>
    <w:rsid w:val="0023696F"/>
    <w:rsid w:val="00242368"/>
    <w:rsid w:val="002424DB"/>
    <w:rsid w:val="00242F0D"/>
    <w:rsid w:val="00247E0E"/>
    <w:rsid w:val="00250800"/>
    <w:rsid w:val="00251745"/>
    <w:rsid w:val="002526C1"/>
    <w:rsid w:val="00253256"/>
    <w:rsid w:val="00254AE9"/>
    <w:rsid w:val="002558A7"/>
    <w:rsid w:val="00257AA6"/>
    <w:rsid w:val="00257CEE"/>
    <w:rsid w:val="00260A44"/>
    <w:rsid w:val="00261DDF"/>
    <w:rsid w:val="00263AC0"/>
    <w:rsid w:val="00264264"/>
    <w:rsid w:val="002657D4"/>
    <w:rsid w:val="00266D51"/>
    <w:rsid w:val="0026772D"/>
    <w:rsid w:val="002707DC"/>
    <w:rsid w:val="00271154"/>
    <w:rsid w:val="002717F6"/>
    <w:rsid w:val="002717FA"/>
    <w:rsid w:val="00271A7D"/>
    <w:rsid w:val="00272BE0"/>
    <w:rsid w:val="00272DDF"/>
    <w:rsid w:val="00273A4B"/>
    <w:rsid w:val="00274754"/>
    <w:rsid w:val="00274E50"/>
    <w:rsid w:val="00275172"/>
    <w:rsid w:val="00275C64"/>
    <w:rsid w:val="00276219"/>
    <w:rsid w:val="00276353"/>
    <w:rsid w:val="00276FDB"/>
    <w:rsid w:val="0027740D"/>
    <w:rsid w:val="00277678"/>
    <w:rsid w:val="00277F28"/>
    <w:rsid w:val="00282B88"/>
    <w:rsid w:val="002856CC"/>
    <w:rsid w:val="00286462"/>
    <w:rsid w:val="00286874"/>
    <w:rsid w:val="00290C63"/>
    <w:rsid w:val="00290F00"/>
    <w:rsid w:val="00292057"/>
    <w:rsid w:val="00293FD1"/>
    <w:rsid w:val="0029423D"/>
    <w:rsid w:val="00296385"/>
    <w:rsid w:val="00296B65"/>
    <w:rsid w:val="00297F30"/>
    <w:rsid w:val="002A078A"/>
    <w:rsid w:val="002A0CD3"/>
    <w:rsid w:val="002A1329"/>
    <w:rsid w:val="002A4C32"/>
    <w:rsid w:val="002A6374"/>
    <w:rsid w:val="002A789A"/>
    <w:rsid w:val="002A7DEF"/>
    <w:rsid w:val="002A7DF4"/>
    <w:rsid w:val="002B0CC0"/>
    <w:rsid w:val="002B163A"/>
    <w:rsid w:val="002B2061"/>
    <w:rsid w:val="002B4C5E"/>
    <w:rsid w:val="002B77B5"/>
    <w:rsid w:val="002C1466"/>
    <w:rsid w:val="002C2A46"/>
    <w:rsid w:val="002C361A"/>
    <w:rsid w:val="002C46D8"/>
    <w:rsid w:val="002C540B"/>
    <w:rsid w:val="002C554A"/>
    <w:rsid w:val="002D06B8"/>
    <w:rsid w:val="002D1D9A"/>
    <w:rsid w:val="002D2064"/>
    <w:rsid w:val="002D34FE"/>
    <w:rsid w:val="002D571A"/>
    <w:rsid w:val="002D64CE"/>
    <w:rsid w:val="002D684D"/>
    <w:rsid w:val="002E3336"/>
    <w:rsid w:val="002E3AC1"/>
    <w:rsid w:val="002E4567"/>
    <w:rsid w:val="002E5B48"/>
    <w:rsid w:val="002E63D3"/>
    <w:rsid w:val="002E7B22"/>
    <w:rsid w:val="002F0580"/>
    <w:rsid w:val="002F1DAE"/>
    <w:rsid w:val="002F4F21"/>
    <w:rsid w:val="002F730C"/>
    <w:rsid w:val="002F7986"/>
    <w:rsid w:val="0030043D"/>
    <w:rsid w:val="00301B40"/>
    <w:rsid w:val="00301EBA"/>
    <w:rsid w:val="003029EE"/>
    <w:rsid w:val="00304F46"/>
    <w:rsid w:val="00305470"/>
    <w:rsid w:val="00305495"/>
    <w:rsid w:val="00305CC8"/>
    <w:rsid w:val="00306D77"/>
    <w:rsid w:val="00306EE7"/>
    <w:rsid w:val="00307F6D"/>
    <w:rsid w:val="00310322"/>
    <w:rsid w:val="003106D8"/>
    <w:rsid w:val="00310AF6"/>
    <w:rsid w:val="00315207"/>
    <w:rsid w:val="00317045"/>
    <w:rsid w:val="0031739E"/>
    <w:rsid w:val="003177A2"/>
    <w:rsid w:val="00322E9E"/>
    <w:rsid w:val="003230C9"/>
    <w:rsid w:val="003271B5"/>
    <w:rsid w:val="00327A1E"/>
    <w:rsid w:val="00327EC1"/>
    <w:rsid w:val="003300F7"/>
    <w:rsid w:val="00330DBA"/>
    <w:rsid w:val="00331264"/>
    <w:rsid w:val="00333B7E"/>
    <w:rsid w:val="00333BD7"/>
    <w:rsid w:val="00333F8D"/>
    <w:rsid w:val="00334ACD"/>
    <w:rsid w:val="00334C8D"/>
    <w:rsid w:val="003367D3"/>
    <w:rsid w:val="0034022A"/>
    <w:rsid w:val="00341258"/>
    <w:rsid w:val="00343A18"/>
    <w:rsid w:val="00344D64"/>
    <w:rsid w:val="00345593"/>
    <w:rsid w:val="00345F86"/>
    <w:rsid w:val="003470B1"/>
    <w:rsid w:val="0034785B"/>
    <w:rsid w:val="003507F4"/>
    <w:rsid w:val="003518B3"/>
    <w:rsid w:val="0035220A"/>
    <w:rsid w:val="003558E6"/>
    <w:rsid w:val="00362E6F"/>
    <w:rsid w:val="00363611"/>
    <w:rsid w:val="003643AC"/>
    <w:rsid w:val="00364CCC"/>
    <w:rsid w:val="00364CE7"/>
    <w:rsid w:val="00365EBB"/>
    <w:rsid w:val="00366171"/>
    <w:rsid w:val="003661CC"/>
    <w:rsid w:val="00374210"/>
    <w:rsid w:val="00376334"/>
    <w:rsid w:val="0037710B"/>
    <w:rsid w:val="003808D0"/>
    <w:rsid w:val="003846F1"/>
    <w:rsid w:val="003865E2"/>
    <w:rsid w:val="00386904"/>
    <w:rsid w:val="0039126A"/>
    <w:rsid w:val="003929B2"/>
    <w:rsid w:val="00393620"/>
    <w:rsid w:val="00393F2B"/>
    <w:rsid w:val="003942E1"/>
    <w:rsid w:val="003974EB"/>
    <w:rsid w:val="00397790"/>
    <w:rsid w:val="003A0C3F"/>
    <w:rsid w:val="003A0D7A"/>
    <w:rsid w:val="003A0FCC"/>
    <w:rsid w:val="003A2E32"/>
    <w:rsid w:val="003A4C69"/>
    <w:rsid w:val="003A58FF"/>
    <w:rsid w:val="003B11FF"/>
    <w:rsid w:val="003B484F"/>
    <w:rsid w:val="003B5243"/>
    <w:rsid w:val="003B779D"/>
    <w:rsid w:val="003C0FAC"/>
    <w:rsid w:val="003C278F"/>
    <w:rsid w:val="003C2C18"/>
    <w:rsid w:val="003C3F3D"/>
    <w:rsid w:val="003C40AB"/>
    <w:rsid w:val="003C54D2"/>
    <w:rsid w:val="003D15DD"/>
    <w:rsid w:val="003D3C46"/>
    <w:rsid w:val="003D5838"/>
    <w:rsid w:val="003D7525"/>
    <w:rsid w:val="003E1B10"/>
    <w:rsid w:val="003E2578"/>
    <w:rsid w:val="003E3ED0"/>
    <w:rsid w:val="003E6B06"/>
    <w:rsid w:val="003F0D05"/>
    <w:rsid w:val="003F174D"/>
    <w:rsid w:val="003F1E12"/>
    <w:rsid w:val="003F49AB"/>
    <w:rsid w:val="003F5B2F"/>
    <w:rsid w:val="003F5E72"/>
    <w:rsid w:val="00400718"/>
    <w:rsid w:val="00402108"/>
    <w:rsid w:val="00404AF0"/>
    <w:rsid w:val="004050C3"/>
    <w:rsid w:val="004076E6"/>
    <w:rsid w:val="00410D80"/>
    <w:rsid w:val="00411619"/>
    <w:rsid w:val="0041261D"/>
    <w:rsid w:val="0041354D"/>
    <w:rsid w:val="00413BFF"/>
    <w:rsid w:val="00414126"/>
    <w:rsid w:val="004153C6"/>
    <w:rsid w:val="004162DB"/>
    <w:rsid w:val="00416FB6"/>
    <w:rsid w:val="0041700E"/>
    <w:rsid w:val="00420234"/>
    <w:rsid w:val="00421025"/>
    <w:rsid w:val="00425260"/>
    <w:rsid w:val="00435BE8"/>
    <w:rsid w:val="00441341"/>
    <w:rsid w:val="0044191B"/>
    <w:rsid w:val="0045350F"/>
    <w:rsid w:val="004561EC"/>
    <w:rsid w:val="00456A61"/>
    <w:rsid w:val="0045777E"/>
    <w:rsid w:val="00464A58"/>
    <w:rsid w:val="00464B92"/>
    <w:rsid w:val="00467161"/>
    <w:rsid w:val="00471757"/>
    <w:rsid w:val="00471F29"/>
    <w:rsid w:val="00474A8C"/>
    <w:rsid w:val="00475ADE"/>
    <w:rsid w:val="004774F8"/>
    <w:rsid w:val="00480104"/>
    <w:rsid w:val="00480B4B"/>
    <w:rsid w:val="00480DF5"/>
    <w:rsid w:val="00481B27"/>
    <w:rsid w:val="00483361"/>
    <w:rsid w:val="00483ED7"/>
    <w:rsid w:val="00484DA5"/>
    <w:rsid w:val="00485DC4"/>
    <w:rsid w:val="004905B0"/>
    <w:rsid w:val="00490BA4"/>
    <w:rsid w:val="00492AC4"/>
    <w:rsid w:val="00492BF5"/>
    <w:rsid w:val="004930DF"/>
    <w:rsid w:val="00493795"/>
    <w:rsid w:val="0049564D"/>
    <w:rsid w:val="00496469"/>
    <w:rsid w:val="004A1DA9"/>
    <w:rsid w:val="004A3DB6"/>
    <w:rsid w:val="004A43D1"/>
    <w:rsid w:val="004A4CB7"/>
    <w:rsid w:val="004A507E"/>
    <w:rsid w:val="004A643F"/>
    <w:rsid w:val="004A7936"/>
    <w:rsid w:val="004B134B"/>
    <w:rsid w:val="004B1ABD"/>
    <w:rsid w:val="004B2113"/>
    <w:rsid w:val="004B3198"/>
    <w:rsid w:val="004B405A"/>
    <w:rsid w:val="004B4412"/>
    <w:rsid w:val="004B4B91"/>
    <w:rsid w:val="004B64F1"/>
    <w:rsid w:val="004B6F86"/>
    <w:rsid w:val="004C067F"/>
    <w:rsid w:val="004C0A76"/>
    <w:rsid w:val="004C2B76"/>
    <w:rsid w:val="004C317D"/>
    <w:rsid w:val="004C336C"/>
    <w:rsid w:val="004C348C"/>
    <w:rsid w:val="004C54E1"/>
    <w:rsid w:val="004C6057"/>
    <w:rsid w:val="004C69FD"/>
    <w:rsid w:val="004D0083"/>
    <w:rsid w:val="004D4728"/>
    <w:rsid w:val="004D55BA"/>
    <w:rsid w:val="004D5922"/>
    <w:rsid w:val="004E0513"/>
    <w:rsid w:val="004E1F45"/>
    <w:rsid w:val="004E22EC"/>
    <w:rsid w:val="004E267B"/>
    <w:rsid w:val="004E2E3C"/>
    <w:rsid w:val="004E36FB"/>
    <w:rsid w:val="004E5004"/>
    <w:rsid w:val="004E7D11"/>
    <w:rsid w:val="004F2A6A"/>
    <w:rsid w:val="004F64F3"/>
    <w:rsid w:val="00502370"/>
    <w:rsid w:val="005027B6"/>
    <w:rsid w:val="00502F90"/>
    <w:rsid w:val="00507307"/>
    <w:rsid w:val="00507FAB"/>
    <w:rsid w:val="00510327"/>
    <w:rsid w:val="00510492"/>
    <w:rsid w:val="0051210C"/>
    <w:rsid w:val="00513AA2"/>
    <w:rsid w:val="00515E31"/>
    <w:rsid w:val="0051793E"/>
    <w:rsid w:val="00517EBA"/>
    <w:rsid w:val="005206C3"/>
    <w:rsid w:val="0052183F"/>
    <w:rsid w:val="0052335D"/>
    <w:rsid w:val="0052394F"/>
    <w:rsid w:val="00524406"/>
    <w:rsid w:val="005245AD"/>
    <w:rsid w:val="00525AD9"/>
    <w:rsid w:val="00525F53"/>
    <w:rsid w:val="005270FC"/>
    <w:rsid w:val="0052775E"/>
    <w:rsid w:val="00530128"/>
    <w:rsid w:val="00530741"/>
    <w:rsid w:val="00530B7D"/>
    <w:rsid w:val="0053116E"/>
    <w:rsid w:val="00531FDF"/>
    <w:rsid w:val="00532467"/>
    <w:rsid w:val="00532EF5"/>
    <w:rsid w:val="00533698"/>
    <w:rsid w:val="00533755"/>
    <w:rsid w:val="00533B74"/>
    <w:rsid w:val="00536112"/>
    <w:rsid w:val="005367C4"/>
    <w:rsid w:val="00536CEB"/>
    <w:rsid w:val="00537907"/>
    <w:rsid w:val="00541E95"/>
    <w:rsid w:val="005442E6"/>
    <w:rsid w:val="00544B49"/>
    <w:rsid w:val="00544C6C"/>
    <w:rsid w:val="005476A6"/>
    <w:rsid w:val="00550693"/>
    <w:rsid w:val="00550989"/>
    <w:rsid w:val="00552127"/>
    <w:rsid w:val="005538FA"/>
    <w:rsid w:val="00555055"/>
    <w:rsid w:val="00555237"/>
    <w:rsid w:val="005554D3"/>
    <w:rsid w:val="00555B6F"/>
    <w:rsid w:val="00555D3A"/>
    <w:rsid w:val="00556156"/>
    <w:rsid w:val="005646C5"/>
    <w:rsid w:val="00564A4D"/>
    <w:rsid w:val="00564C35"/>
    <w:rsid w:val="00566F63"/>
    <w:rsid w:val="00566F80"/>
    <w:rsid w:val="005678E5"/>
    <w:rsid w:val="00567AEF"/>
    <w:rsid w:val="00567BA5"/>
    <w:rsid w:val="00571B35"/>
    <w:rsid w:val="00571D57"/>
    <w:rsid w:val="005743FD"/>
    <w:rsid w:val="00577A09"/>
    <w:rsid w:val="005804C0"/>
    <w:rsid w:val="00581556"/>
    <w:rsid w:val="005825C0"/>
    <w:rsid w:val="005829C2"/>
    <w:rsid w:val="00584D8F"/>
    <w:rsid w:val="005858E2"/>
    <w:rsid w:val="00585A85"/>
    <w:rsid w:val="0058616B"/>
    <w:rsid w:val="005864A9"/>
    <w:rsid w:val="00586620"/>
    <w:rsid w:val="00591614"/>
    <w:rsid w:val="00592F97"/>
    <w:rsid w:val="005945B8"/>
    <w:rsid w:val="00594BAF"/>
    <w:rsid w:val="00594D3B"/>
    <w:rsid w:val="00596D16"/>
    <w:rsid w:val="00596FCE"/>
    <w:rsid w:val="00597A5F"/>
    <w:rsid w:val="005A028D"/>
    <w:rsid w:val="005A37D8"/>
    <w:rsid w:val="005A3E25"/>
    <w:rsid w:val="005A404D"/>
    <w:rsid w:val="005A502E"/>
    <w:rsid w:val="005A5356"/>
    <w:rsid w:val="005A53E2"/>
    <w:rsid w:val="005A6360"/>
    <w:rsid w:val="005A778D"/>
    <w:rsid w:val="005A7ABB"/>
    <w:rsid w:val="005A7C8A"/>
    <w:rsid w:val="005B041C"/>
    <w:rsid w:val="005B1E3C"/>
    <w:rsid w:val="005B240A"/>
    <w:rsid w:val="005B3A1D"/>
    <w:rsid w:val="005B3E13"/>
    <w:rsid w:val="005B6424"/>
    <w:rsid w:val="005B7C5F"/>
    <w:rsid w:val="005C0462"/>
    <w:rsid w:val="005C26CC"/>
    <w:rsid w:val="005C275D"/>
    <w:rsid w:val="005C287C"/>
    <w:rsid w:val="005C2F3F"/>
    <w:rsid w:val="005C696B"/>
    <w:rsid w:val="005C734B"/>
    <w:rsid w:val="005C7F51"/>
    <w:rsid w:val="005D2347"/>
    <w:rsid w:val="005D25FB"/>
    <w:rsid w:val="005D4EB5"/>
    <w:rsid w:val="005D5345"/>
    <w:rsid w:val="005D7BA2"/>
    <w:rsid w:val="005D7CDE"/>
    <w:rsid w:val="005E1BEE"/>
    <w:rsid w:val="005E359B"/>
    <w:rsid w:val="005E35EF"/>
    <w:rsid w:val="005E369D"/>
    <w:rsid w:val="005E36C2"/>
    <w:rsid w:val="005F2233"/>
    <w:rsid w:val="005F41DD"/>
    <w:rsid w:val="005F6F96"/>
    <w:rsid w:val="00600CCA"/>
    <w:rsid w:val="00600F5D"/>
    <w:rsid w:val="00603EC1"/>
    <w:rsid w:val="00606A5E"/>
    <w:rsid w:val="00610BC9"/>
    <w:rsid w:val="006117FE"/>
    <w:rsid w:val="006121A6"/>
    <w:rsid w:val="00612588"/>
    <w:rsid w:val="00612A99"/>
    <w:rsid w:val="00613468"/>
    <w:rsid w:val="00615208"/>
    <w:rsid w:val="00615C6B"/>
    <w:rsid w:val="006160F2"/>
    <w:rsid w:val="00617695"/>
    <w:rsid w:val="00617786"/>
    <w:rsid w:val="00617894"/>
    <w:rsid w:val="00621DCE"/>
    <w:rsid w:val="00622764"/>
    <w:rsid w:val="00622D07"/>
    <w:rsid w:val="006240C4"/>
    <w:rsid w:val="00632D6D"/>
    <w:rsid w:val="0063404B"/>
    <w:rsid w:val="00634590"/>
    <w:rsid w:val="006352DB"/>
    <w:rsid w:val="00637ACD"/>
    <w:rsid w:val="00640222"/>
    <w:rsid w:val="00642679"/>
    <w:rsid w:val="006428BE"/>
    <w:rsid w:val="00642C3E"/>
    <w:rsid w:val="00642EF0"/>
    <w:rsid w:val="00643128"/>
    <w:rsid w:val="006446E2"/>
    <w:rsid w:val="00646655"/>
    <w:rsid w:val="00647CD0"/>
    <w:rsid w:val="0065021F"/>
    <w:rsid w:val="0065055E"/>
    <w:rsid w:val="00650967"/>
    <w:rsid w:val="0065112F"/>
    <w:rsid w:val="00651A91"/>
    <w:rsid w:val="00651ABF"/>
    <w:rsid w:val="00651FA9"/>
    <w:rsid w:val="006527E9"/>
    <w:rsid w:val="0066104A"/>
    <w:rsid w:val="0066109C"/>
    <w:rsid w:val="006624DC"/>
    <w:rsid w:val="00663B60"/>
    <w:rsid w:val="00663DAD"/>
    <w:rsid w:val="0066445F"/>
    <w:rsid w:val="00664651"/>
    <w:rsid w:val="00664984"/>
    <w:rsid w:val="00666064"/>
    <w:rsid w:val="00667DBF"/>
    <w:rsid w:val="00672CD5"/>
    <w:rsid w:val="00672DD4"/>
    <w:rsid w:val="00675E20"/>
    <w:rsid w:val="00676679"/>
    <w:rsid w:val="00680CF1"/>
    <w:rsid w:val="00681CBC"/>
    <w:rsid w:val="00683C89"/>
    <w:rsid w:val="00683CEA"/>
    <w:rsid w:val="0068456D"/>
    <w:rsid w:val="00690141"/>
    <w:rsid w:val="00690541"/>
    <w:rsid w:val="00690CDC"/>
    <w:rsid w:val="0069352B"/>
    <w:rsid w:val="0069477C"/>
    <w:rsid w:val="00695268"/>
    <w:rsid w:val="006959E3"/>
    <w:rsid w:val="0069742C"/>
    <w:rsid w:val="006A08A8"/>
    <w:rsid w:val="006A09F2"/>
    <w:rsid w:val="006A1288"/>
    <w:rsid w:val="006A19EF"/>
    <w:rsid w:val="006A4D99"/>
    <w:rsid w:val="006B1FBA"/>
    <w:rsid w:val="006B2395"/>
    <w:rsid w:val="006B4CF9"/>
    <w:rsid w:val="006B5C25"/>
    <w:rsid w:val="006B7AC8"/>
    <w:rsid w:val="006C1A88"/>
    <w:rsid w:val="006C2744"/>
    <w:rsid w:val="006C7A56"/>
    <w:rsid w:val="006D181E"/>
    <w:rsid w:val="006D1F7D"/>
    <w:rsid w:val="006D24A6"/>
    <w:rsid w:val="006D46DE"/>
    <w:rsid w:val="006D550F"/>
    <w:rsid w:val="006D5513"/>
    <w:rsid w:val="006D6AF1"/>
    <w:rsid w:val="006D74A7"/>
    <w:rsid w:val="006E0F4E"/>
    <w:rsid w:val="006E300A"/>
    <w:rsid w:val="006F352A"/>
    <w:rsid w:val="006F35D3"/>
    <w:rsid w:val="006F3AC3"/>
    <w:rsid w:val="006F452B"/>
    <w:rsid w:val="006F52A7"/>
    <w:rsid w:val="006F6A37"/>
    <w:rsid w:val="00701CAB"/>
    <w:rsid w:val="007038F7"/>
    <w:rsid w:val="00704961"/>
    <w:rsid w:val="00705AC4"/>
    <w:rsid w:val="00705E8A"/>
    <w:rsid w:val="00707563"/>
    <w:rsid w:val="00707B72"/>
    <w:rsid w:val="0071280F"/>
    <w:rsid w:val="00712F21"/>
    <w:rsid w:val="007131CC"/>
    <w:rsid w:val="007204CC"/>
    <w:rsid w:val="0072348C"/>
    <w:rsid w:val="0072499E"/>
    <w:rsid w:val="00724A37"/>
    <w:rsid w:val="00725DFC"/>
    <w:rsid w:val="0072648B"/>
    <w:rsid w:val="00727AE5"/>
    <w:rsid w:val="00727AF8"/>
    <w:rsid w:val="00727B5D"/>
    <w:rsid w:val="007303C3"/>
    <w:rsid w:val="0073080D"/>
    <w:rsid w:val="007310E4"/>
    <w:rsid w:val="00732DEB"/>
    <w:rsid w:val="007344B8"/>
    <w:rsid w:val="00734A51"/>
    <w:rsid w:val="00734F42"/>
    <w:rsid w:val="007363BB"/>
    <w:rsid w:val="00736AC1"/>
    <w:rsid w:val="00737166"/>
    <w:rsid w:val="007429BE"/>
    <w:rsid w:val="00743138"/>
    <w:rsid w:val="00743223"/>
    <w:rsid w:val="0074450E"/>
    <w:rsid w:val="00744CD7"/>
    <w:rsid w:val="00746692"/>
    <w:rsid w:val="00746E01"/>
    <w:rsid w:val="007510DF"/>
    <w:rsid w:val="0075213C"/>
    <w:rsid w:val="00752242"/>
    <w:rsid w:val="00752602"/>
    <w:rsid w:val="007535CA"/>
    <w:rsid w:val="00756B25"/>
    <w:rsid w:val="00757BDF"/>
    <w:rsid w:val="00760E10"/>
    <w:rsid w:val="00761301"/>
    <w:rsid w:val="00762344"/>
    <w:rsid w:val="007630B7"/>
    <w:rsid w:val="00763E5D"/>
    <w:rsid w:val="007640CC"/>
    <w:rsid w:val="00767740"/>
    <w:rsid w:val="00773185"/>
    <w:rsid w:val="00773D99"/>
    <w:rsid w:val="007745ED"/>
    <w:rsid w:val="00775976"/>
    <w:rsid w:val="007776D8"/>
    <w:rsid w:val="00777EE6"/>
    <w:rsid w:val="00780D6F"/>
    <w:rsid w:val="00782EEA"/>
    <w:rsid w:val="00782FE1"/>
    <w:rsid w:val="00783A81"/>
    <w:rsid w:val="007909DB"/>
    <w:rsid w:val="00792302"/>
    <w:rsid w:val="0079278B"/>
    <w:rsid w:val="007929B7"/>
    <w:rsid w:val="00793485"/>
    <w:rsid w:val="00794176"/>
    <w:rsid w:val="00795137"/>
    <w:rsid w:val="007954EA"/>
    <w:rsid w:val="00795DCE"/>
    <w:rsid w:val="00796E00"/>
    <w:rsid w:val="007A0C08"/>
    <w:rsid w:val="007A28EC"/>
    <w:rsid w:val="007A3EB7"/>
    <w:rsid w:val="007A41A5"/>
    <w:rsid w:val="007A461C"/>
    <w:rsid w:val="007A4B9E"/>
    <w:rsid w:val="007A67BA"/>
    <w:rsid w:val="007A7ED8"/>
    <w:rsid w:val="007B0B9A"/>
    <w:rsid w:val="007B17B3"/>
    <w:rsid w:val="007B1F1B"/>
    <w:rsid w:val="007B2C72"/>
    <w:rsid w:val="007B5AB1"/>
    <w:rsid w:val="007B61CE"/>
    <w:rsid w:val="007B6658"/>
    <w:rsid w:val="007B6FF6"/>
    <w:rsid w:val="007B7619"/>
    <w:rsid w:val="007C12CD"/>
    <w:rsid w:val="007C1C53"/>
    <w:rsid w:val="007C1FE9"/>
    <w:rsid w:val="007C3ABE"/>
    <w:rsid w:val="007C4066"/>
    <w:rsid w:val="007C42ED"/>
    <w:rsid w:val="007C4DAC"/>
    <w:rsid w:val="007C74BB"/>
    <w:rsid w:val="007C7615"/>
    <w:rsid w:val="007C78C7"/>
    <w:rsid w:val="007D0D21"/>
    <w:rsid w:val="007D183C"/>
    <w:rsid w:val="007D1A44"/>
    <w:rsid w:val="007D2A82"/>
    <w:rsid w:val="007D5722"/>
    <w:rsid w:val="007D6B63"/>
    <w:rsid w:val="007D76E8"/>
    <w:rsid w:val="007D7B82"/>
    <w:rsid w:val="007E1B5B"/>
    <w:rsid w:val="007E2DAE"/>
    <w:rsid w:val="007E335E"/>
    <w:rsid w:val="007E386C"/>
    <w:rsid w:val="007E4904"/>
    <w:rsid w:val="007E49D2"/>
    <w:rsid w:val="007E4CB5"/>
    <w:rsid w:val="007E5CED"/>
    <w:rsid w:val="007E6BD3"/>
    <w:rsid w:val="007F066B"/>
    <w:rsid w:val="007F48BC"/>
    <w:rsid w:val="00801D6D"/>
    <w:rsid w:val="00802565"/>
    <w:rsid w:val="008033C4"/>
    <w:rsid w:val="00804B01"/>
    <w:rsid w:val="00805238"/>
    <w:rsid w:val="00805C81"/>
    <w:rsid w:val="00806805"/>
    <w:rsid w:val="00806C88"/>
    <w:rsid w:val="008077BF"/>
    <w:rsid w:val="0081034E"/>
    <w:rsid w:val="00810A0E"/>
    <w:rsid w:val="00811339"/>
    <w:rsid w:val="008124E9"/>
    <w:rsid w:val="00814CCD"/>
    <w:rsid w:val="00817D1A"/>
    <w:rsid w:val="00825CDD"/>
    <w:rsid w:val="0083005C"/>
    <w:rsid w:val="00830CED"/>
    <w:rsid w:val="008317E2"/>
    <w:rsid w:val="00831B6E"/>
    <w:rsid w:val="008336D5"/>
    <w:rsid w:val="00834383"/>
    <w:rsid w:val="008344F6"/>
    <w:rsid w:val="0083510F"/>
    <w:rsid w:val="008351C7"/>
    <w:rsid w:val="0083642B"/>
    <w:rsid w:val="008377AF"/>
    <w:rsid w:val="00840021"/>
    <w:rsid w:val="0084136F"/>
    <w:rsid w:val="00842917"/>
    <w:rsid w:val="00843CD0"/>
    <w:rsid w:val="00845EB3"/>
    <w:rsid w:val="00850B9A"/>
    <w:rsid w:val="00851209"/>
    <w:rsid w:val="0085404B"/>
    <w:rsid w:val="00854ECE"/>
    <w:rsid w:val="00855914"/>
    <w:rsid w:val="008561E0"/>
    <w:rsid w:val="008678F5"/>
    <w:rsid w:val="00867F92"/>
    <w:rsid w:val="00874F52"/>
    <w:rsid w:val="00877A35"/>
    <w:rsid w:val="00881266"/>
    <w:rsid w:val="00882FD5"/>
    <w:rsid w:val="008837AC"/>
    <w:rsid w:val="00884167"/>
    <w:rsid w:val="008858D3"/>
    <w:rsid w:val="0088717F"/>
    <w:rsid w:val="008948A1"/>
    <w:rsid w:val="00895EB7"/>
    <w:rsid w:val="008978A1"/>
    <w:rsid w:val="008A1874"/>
    <w:rsid w:val="008A1E15"/>
    <w:rsid w:val="008A2557"/>
    <w:rsid w:val="008A48E7"/>
    <w:rsid w:val="008A4ABC"/>
    <w:rsid w:val="008A5816"/>
    <w:rsid w:val="008A587D"/>
    <w:rsid w:val="008A7BEA"/>
    <w:rsid w:val="008A7CA1"/>
    <w:rsid w:val="008B1E3F"/>
    <w:rsid w:val="008B2AE2"/>
    <w:rsid w:val="008B35CD"/>
    <w:rsid w:val="008B519B"/>
    <w:rsid w:val="008B5760"/>
    <w:rsid w:val="008B5FCC"/>
    <w:rsid w:val="008B6364"/>
    <w:rsid w:val="008C09FA"/>
    <w:rsid w:val="008C1412"/>
    <w:rsid w:val="008C36D0"/>
    <w:rsid w:val="008C4827"/>
    <w:rsid w:val="008C5486"/>
    <w:rsid w:val="008C6EE2"/>
    <w:rsid w:val="008C7403"/>
    <w:rsid w:val="008C7A59"/>
    <w:rsid w:val="008D051B"/>
    <w:rsid w:val="008D1661"/>
    <w:rsid w:val="008D16A8"/>
    <w:rsid w:val="008D2B48"/>
    <w:rsid w:val="008D32E1"/>
    <w:rsid w:val="008D3C1B"/>
    <w:rsid w:val="008D688D"/>
    <w:rsid w:val="008E0221"/>
    <w:rsid w:val="008E1BD8"/>
    <w:rsid w:val="008E2579"/>
    <w:rsid w:val="008E279B"/>
    <w:rsid w:val="008E30DF"/>
    <w:rsid w:val="008E34DD"/>
    <w:rsid w:val="008E5A10"/>
    <w:rsid w:val="008E7031"/>
    <w:rsid w:val="008E77DE"/>
    <w:rsid w:val="008E7895"/>
    <w:rsid w:val="008E79C4"/>
    <w:rsid w:val="008F0294"/>
    <w:rsid w:val="008F07A3"/>
    <w:rsid w:val="008F3C69"/>
    <w:rsid w:val="008F3E5C"/>
    <w:rsid w:val="008F7227"/>
    <w:rsid w:val="008F77CF"/>
    <w:rsid w:val="00900E1B"/>
    <w:rsid w:val="00902E4F"/>
    <w:rsid w:val="0090408E"/>
    <w:rsid w:val="009053AF"/>
    <w:rsid w:val="00912242"/>
    <w:rsid w:val="00913904"/>
    <w:rsid w:val="00913A34"/>
    <w:rsid w:val="00914998"/>
    <w:rsid w:val="00915F35"/>
    <w:rsid w:val="00917494"/>
    <w:rsid w:val="00922046"/>
    <w:rsid w:val="009228B9"/>
    <w:rsid w:val="009233EE"/>
    <w:rsid w:val="00923E14"/>
    <w:rsid w:val="00925B68"/>
    <w:rsid w:val="009276CE"/>
    <w:rsid w:val="00927E0C"/>
    <w:rsid w:val="009334BC"/>
    <w:rsid w:val="00934580"/>
    <w:rsid w:val="009360D6"/>
    <w:rsid w:val="00936B1F"/>
    <w:rsid w:val="00940AA7"/>
    <w:rsid w:val="00941F92"/>
    <w:rsid w:val="009460AA"/>
    <w:rsid w:val="0095151E"/>
    <w:rsid w:val="00951978"/>
    <w:rsid w:val="00951B17"/>
    <w:rsid w:val="009543F9"/>
    <w:rsid w:val="00954EBF"/>
    <w:rsid w:val="009560C5"/>
    <w:rsid w:val="00957164"/>
    <w:rsid w:val="00957FD5"/>
    <w:rsid w:val="00960402"/>
    <w:rsid w:val="0096189F"/>
    <w:rsid w:val="00961A4A"/>
    <w:rsid w:val="009661DE"/>
    <w:rsid w:val="0097127C"/>
    <w:rsid w:val="00972FCB"/>
    <w:rsid w:val="00973BAA"/>
    <w:rsid w:val="0097508E"/>
    <w:rsid w:val="0097548B"/>
    <w:rsid w:val="00975B90"/>
    <w:rsid w:val="00976229"/>
    <w:rsid w:val="009816A8"/>
    <w:rsid w:val="0098265D"/>
    <w:rsid w:val="00983C25"/>
    <w:rsid w:val="00984633"/>
    <w:rsid w:val="009856B7"/>
    <w:rsid w:val="00985C86"/>
    <w:rsid w:val="009876C5"/>
    <w:rsid w:val="00987C9B"/>
    <w:rsid w:val="009909FB"/>
    <w:rsid w:val="00991B0A"/>
    <w:rsid w:val="00991C20"/>
    <w:rsid w:val="009925E3"/>
    <w:rsid w:val="00995491"/>
    <w:rsid w:val="00995512"/>
    <w:rsid w:val="00995E1E"/>
    <w:rsid w:val="009A2E83"/>
    <w:rsid w:val="009A42DE"/>
    <w:rsid w:val="009A5FC3"/>
    <w:rsid w:val="009A7069"/>
    <w:rsid w:val="009A70F1"/>
    <w:rsid w:val="009B4B5D"/>
    <w:rsid w:val="009B5636"/>
    <w:rsid w:val="009B74B0"/>
    <w:rsid w:val="009C6743"/>
    <w:rsid w:val="009C6C91"/>
    <w:rsid w:val="009D1727"/>
    <w:rsid w:val="009D2A35"/>
    <w:rsid w:val="009D4C77"/>
    <w:rsid w:val="009D584C"/>
    <w:rsid w:val="009D5F50"/>
    <w:rsid w:val="009D68E2"/>
    <w:rsid w:val="009D6A03"/>
    <w:rsid w:val="009D6B46"/>
    <w:rsid w:val="009E0276"/>
    <w:rsid w:val="009E058F"/>
    <w:rsid w:val="009E3FFC"/>
    <w:rsid w:val="009E4CF9"/>
    <w:rsid w:val="009E7C6C"/>
    <w:rsid w:val="009F278C"/>
    <w:rsid w:val="009F4940"/>
    <w:rsid w:val="009F5BA1"/>
    <w:rsid w:val="009F6BA6"/>
    <w:rsid w:val="009F7612"/>
    <w:rsid w:val="00A0180F"/>
    <w:rsid w:val="00A01951"/>
    <w:rsid w:val="00A02A88"/>
    <w:rsid w:val="00A037EC"/>
    <w:rsid w:val="00A0390C"/>
    <w:rsid w:val="00A04ACF"/>
    <w:rsid w:val="00A04BA9"/>
    <w:rsid w:val="00A0562E"/>
    <w:rsid w:val="00A0726D"/>
    <w:rsid w:val="00A1010A"/>
    <w:rsid w:val="00A10470"/>
    <w:rsid w:val="00A137F8"/>
    <w:rsid w:val="00A14DE7"/>
    <w:rsid w:val="00A1594A"/>
    <w:rsid w:val="00A170FA"/>
    <w:rsid w:val="00A20280"/>
    <w:rsid w:val="00A215CD"/>
    <w:rsid w:val="00A21A46"/>
    <w:rsid w:val="00A23288"/>
    <w:rsid w:val="00A26030"/>
    <w:rsid w:val="00A26B66"/>
    <w:rsid w:val="00A30190"/>
    <w:rsid w:val="00A302E8"/>
    <w:rsid w:val="00A312AE"/>
    <w:rsid w:val="00A3147E"/>
    <w:rsid w:val="00A317E1"/>
    <w:rsid w:val="00A3255E"/>
    <w:rsid w:val="00A32FBB"/>
    <w:rsid w:val="00A332DE"/>
    <w:rsid w:val="00A33A41"/>
    <w:rsid w:val="00A34B41"/>
    <w:rsid w:val="00A35205"/>
    <w:rsid w:val="00A3663D"/>
    <w:rsid w:val="00A37ACB"/>
    <w:rsid w:val="00A37CEA"/>
    <w:rsid w:val="00A40F93"/>
    <w:rsid w:val="00A42658"/>
    <w:rsid w:val="00A428EE"/>
    <w:rsid w:val="00A4293B"/>
    <w:rsid w:val="00A44474"/>
    <w:rsid w:val="00A4478A"/>
    <w:rsid w:val="00A44852"/>
    <w:rsid w:val="00A45A25"/>
    <w:rsid w:val="00A45AE8"/>
    <w:rsid w:val="00A47A35"/>
    <w:rsid w:val="00A543D5"/>
    <w:rsid w:val="00A56C94"/>
    <w:rsid w:val="00A5713B"/>
    <w:rsid w:val="00A57D04"/>
    <w:rsid w:val="00A60A26"/>
    <w:rsid w:val="00A60C88"/>
    <w:rsid w:val="00A61598"/>
    <w:rsid w:val="00A6178E"/>
    <w:rsid w:val="00A63151"/>
    <w:rsid w:val="00A631A0"/>
    <w:rsid w:val="00A637F3"/>
    <w:rsid w:val="00A653D7"/>
    <w:rsid w:val="00A671DE"/>
    <w:rsid w:val="00A7030F"/>
    <w:rsid w:val="00A70D4A"/>
    <w:rsid w:val="00A74591"/>
    <w:rsid w:val="00A75AB2"/>
    <w:rsid w:val="00A760DB"/>
    <w:rsid w:val="00A77980"/>
    <w:rsid w:val="00A83533"/>
    <w:rsid w:val="00A83711"/>
    <w:rsid w:val="00A841EB"/>
    <w:rsid w:val="00A842D2"/>
    <w:rsid w:val="00A84A99"/>
    <w:rsid w:val="00A84F46"/>
    <w:rsid w:val="00A86E86"/>
    <w:rsid w:val="00A871F4"/>
    <w:rsid w:val="00A92C5C"/>
    <w:rsid w:val="00A94098"/>
    <w:rsid w:val="00A9554A"/>
    <w:rsid w:val="00A95B3D"/>
    <w:rsid w:val="00A95E59"/>
    <w:rsid w:val="00A9620B"/>
    <w:rsid w:val="00A97A0E"/>
    <w:rsid w:val="00AA0988"/>
    <w:rsid w:val="00AA220A"/>
    <w:rsid w:val="00AA26CC"/>
    <w:rsid w:val="00AA32F6"/>
    <w:rsid w:val="00AA43CD"/>
    <w:rsid w:val="00AA6A91"/>
    <w:rsid w:val="00AA7AFE"/>
    <w:rsid w:val="00AB04D0"/>
    <w:rsid w:val="00AB1550"/>
    <w:rsid w:val="00AB4909"/>
    <w:rsid w:val="00AB4FE0"/>
    <w:rsid w:val="00AB5278"/>
    <w:rsid w:val="00AB55E8"/>
    <w:rsid w:val="00AB5B5E"/>
    <w:rsid w:val="00AB68FE"/>
    <w:rsid w:val="00AB72C0"/>
    <w:rsid w:val="00AC1B2C"/>
    <w:rsid w:val="00AC2A9F"/>
    <w:rsid w:val="00AC3022"/>
    <w:rsid w:val="00AC3264"/>
    <w:rsid w:val="00AC4413"/>
    <w:rsid w:val="00AC633E"/>
    <w:rsid w:val="00AD12A3"/>
    <w:rsid w:val="00AD13D0"/>
    <w:rsid w:val="00AD1554"/>
    <w:rsid w:val="00AD181D"/>
    <w:rsid w:val="00AD3CBF"/>
    <w:rsid w:val="00AD48E2"/>
    <w:rsid w:val="00AD4A70"/>
    <w:rsid w:val="00AD5FA9"/>
    <w:rsid w:val="00AE0CBD"/>
    <w:rsid w:val="00AE1743"/>
    <w:rsid w:val="00AE1B33"/>
    <w:rsid w:val="00AE1BF1"/>
    <w:rsid w:val="00AE2A2B"/>
    <w:rsid w:val="00AE5F06"/>
    <w:rsid w:val="00AE61ED"/>
    <w:rsid w:val="00AE6399"/>
    <w:rsid w:val="00AF04FB"/>
    <w:rsid w:val="00AF0DD2"/>
    <w:rsid w:val="00AF1974"/>
    <w:rsid w:val="00AF1EA8"/>
    <w:rsid w:val="00B009CB"/>
    <w:rsid w:val="00B026D2"/>
    <w:rsid w:val="00B0416F"/>
    <w:rsid w:val="00B04275"/>
    <w:rsid w:val="00B117EF"/>
    <w:rsid w:val="00B13048"/>
    <w:rsid w:val="00B132D5"/>
    <w:rsid w:val="00B1716D"/>
    <w:rsid w:val="00B17A1D"/>
    <w:rsid w:val="00B207A0"/>
    <w:rsid w:val="00B21D92"/>
    <w:rsid w:val="00B23D60"/>
    <w:rsid w:val="00B23E39"/>
    <w:rsid w:val="00B243AA"/>
    <w:rsid w:val="00B2490E"/>
    <w:rsid w:val="00B254AE"/>
    <w:rsid w:val="00B25620"/>
    <w:rsid w:val="00B27446"/>
    <w:rsid w:val="00B324E8"/>
    <w:rsid w:val="00B32AD3"/>
    <w:rsid w:val="00B33875"/>
    <w:rsid w:val="00B3397F"/>
    <w:rsid w:val="00B33AD5"/>
    <w:rsid w:val="00B34050"/>
    <w:rsid w:val="00B35629"/>
    <w:rsid w:val="00B356CB"/>
    <w:rsid w:val="00B36A6C"/>
    <w:rsid w:val="00B4048A"/>
    <w:rsid w:val="00B404C9"/>
    <w:rsid w:val="00B41C99"/>
    <w:rsid w:val="00B424AC"/>
    <w:rsid w:val="00B43C4C"/>
    <w:rsid w:val="00B44119"/>
    <w:rsid w:val="00B45BF3"/>
    <w:rsid w:val="00B466EC"/>
    <w:rsid w:val="00B47EE4"/>
    <w:rsid w:val="00B509ED"/>
    <w:rsid w:val="00B50F4B"/>
    <w:rsid w:val="00B512FD"/>
    <w:rsid w:val="00B514DD"/>
    <w:rsid w:val="00B528C7"/>
    <w:rsid w:val="00B52AF0"/>
    <w:rsid w:val="00B54CB5"/>
    <w:rsid w:val="00B55D35"/>
    <w:rsid w:val="00B561BD"/>
    <w:rsid w:val="00B56E03"/>
    <w:rsid w:val="00B610B3"/>
    <w:rsid w:val="00B64B69"/>
    <w:rsid w:val="00B65DDA"/>
    <w:rsid w:val="00B7053F"/>
    <w:rsid w:val="00B705DE"/>
    <w:rsid w:val="00B7333E"/>
    <w:rsid w:val="00B750BE"/>
    <w:rsid w:val="00B75190"/>
    <w:rsid w:val="00B8080B"/>
    <w:rsid w:val="00B80AD6"/>
    <w:rsid w:val="00B82D1A"/>
    <w:rsid w:val="00B830DB"/>
    <w:rsid w:val="00B85798"/>
    <w:rsid w:val="00B86024"/>
    <w:rsid w:val="00B86F75"/>
    <w:rsid w:val="00B872DA"/>
    <w:rsid w:val="00B87BA5"/>
    <w:rsid w:val="00B87C39"/>
    <w:rsid w:val="00B87FCA"/>
    <w:rsid w:val="00B936C7"/>
    <w:rsid w:val="00B95851"/>
    <w:rsid w:val="00B9617D"/>
    <w:rsid w:val="00B97779"/>
    <w:rsid w:val="00BA1DE2"/>
    <w:rsid w:val="00BA2790"/>
    <w:rsid w:val="00BA4665"/>
    <w:rsid w:val="00BA4D25"/>
    <w:rsid w:val="00BA70E6"/>
    <w:rsid w:val="00BA7D70"/>
    <w:rsid w:val="00BB0667"/>
    <w:rsid w:val="00BB0949"/>
    <w:rsid w:val="00BB2FB2"/>
    <w:rsid w:val="00BB3304"/>
    <w:rsid w:val="00BB3F11"/>
    <w:rsid w:val="00BB4DF9"/>
    <w:rsid w:val="00BC3025"/>
    <w:rsid w:val="00BC49ED"/>
    <w:rsid w:val="00BC4BA0"/>
    <w:rsid w:val="00BC7CF1"/>
    <w:rsid w:val="00BC7D10"/>
    <w:rsid w:val="00BD0578"/>
    <w:rsid w:val="00BD33B4"/>
    <w:rsid w:val="00BD3446"/>
    <w:rsid w:val="00BD468F"/>
    <w:rsid w:val="00BD50B1"/>
    <w:rsid w:val="00BD524F"/>
    <w:rsid w:val="00BE1F1B"/>
    <w:rsid w:val="00BE3A86"/>
    <w:rsid w:val="00BE3D94"/>
    <w:rsid w:val="00BE47B5"/>
    <w:rsid w:val="00BE5FB4"/>
    <w:rsid w:val="00BE65AD"/>
    <w:rsid w:val="00BE6E64"/>
    <w:rsid w:val="00BF0DF2"/>
    <w:rsid w:val="00BF278D"/>
    <w:rsid w:val="00BF396C"/>
    <w:rsid w:val="00BF5574"/>
    <w:rsid w:val="00BF73D0"/>
    <w:rsid w:val="00BF7651"/>
    <w:rsid w:val="00BF7B99"/>
    <w:rsid w:val="00C00029"/>
    <w:rsid w:val="00C0120C"/>
    <w:rsid w:val="00C024FD"/>
    <w:rsid w:val="00C0321D"/>
    <w:rsid w:val="00C0369D"/>
    <w:rsid w:val="00C03F58"/>
    <w:rsid w:val="00C04325"/>
    <w:rsid w:val="00C05243"/>
    <w:rsid w:val="00C10167"/>
    <w:rsid w:val="00C10C12"/>
    <w:rsid w:val="00C13D25"/>
    <w:rsid w:val="00C13F9E"/>
    <w:rsid w:val="00C15D7C"/>
    <w:rsid w:val="00C16309"/>
    <w:rsid w:val="00C2078E"/>
    <w:rsid w:val="00C20C8D"/>
    <w:rsid w:val="00C20D33"/>
    <w:rsid w:val="00C229D9"/>
    <w:rsid w:val="00C23AC0"/>
    <w:rsid w:val="00C23ACB"/>
    <w:rsid w:val="00C2440E"/>
    <w:rsid w:val="00C253DD"/>
    <w:rsid w:val="00C25FA6"/>
    <w:rsid w:val="00C265FB"/>
    <w:rsid w:val="00C34FCD"/>
    <w:rsid w:val="00C3515F"/>
    <w:rsid w:val="00C37DAE"/>
    <w:rsid w:val="00C40B5A"/>
    <w:rsid w:val="00C420B3"/>
    <w:rsid w:val="00C429E0"/>
    <w:rsid w:val="00C4389D"/>
    <w:rsid w:val="00C47FA5"/>
    <w:rsid w:val="00C518B1"/>
    <w:rsid w:val="00C538A9"/>
    <w:rsid w:val="00C53B5A"/>
    <w:rsid w:val="00C54F5A"/>
    <w:rsid w:val="00C5617A"/>
    <w:rsid w:val="00C569B4"/>
    <w:rsid w:val="00C6152D"/>
    <w:rsid w:val="00C63801"/>
    <w:rsid w:val="00C64006"/>
    <w:rsid w:val="00C64A32"/>
    <w:rsid w:val="00C6507F"/>
    <w:rsid w:val="00C678D2"/>
    <w:rsid w:val="00C67A92"/>
    <w:rsid w:val="00C67D22"/>
    <w:rsid w:val="00C7303A"/>
    <w:rsid w:val="00C730DB"/>
    <w:rsid w:val="00C75529"/>
    <w:rsid w:val="00C75DDD"/>
    <w:rsid w:val="00C76291"/>
    <w:rsid w:val="00C774B6"/>
    <w:rsid w:val="00C777F8"/>
    <w:rsid w:val="00C81C25"/>
    <w:rsid w:val="00C862C2"/>
    <w:rsid w:val="00C86679"/>
    <w:rsid w:val="00C8689D"/>
    <w:rsid w:val="00C9006E"/>
    <w:rsid w:val="00C90133"/>
    <w:rsid w:val="00C9140E"/>
    <w:rsid w:val="00C91B9E"/>
    <w:rsid w:val="00C9312E"/>
    <w:rsid w:val="00C942F5"/>
    <w:rsid w:val="00C94549"/>
    <w:rsid w:val="00C95575"/>
    <w:rsid w:val="00C9579D"/>
    <w:rsid w:val="00C97753"/>
    <w:rsid w:val="00CA0098"/>
    <w:rsid w:val="00CA0DC8"/>
    <w:rsid w:val="00CA3230"/>
    <w:rsid w:val="00CA42C6"/>
    <w:rsid w:val="00CA457F"/>
    <w:rsid w:val="00CA489E"/>
    <w:rsid w:val="00CA6379"/>
    <w:rsid w:val="00CB0279"/>
    <w:rsid w:val="00CB0F15"/>
    <w:rsid w:val="00CB10BE"/>
    <w:rsid w:val="00CB1E73"/>
    <w:rsid w:val="00CB1F6B"/>
    <w:rsid w:val="00CB2575"/>
    <w:rsid w:val="00CB3E17"/>
    <w:rsid w:val="00CB4006"/>
    <w:rsid w:val="00CB4AE4"/>
    <w:rsid w:val="00CB666B"/>
    <w:rsid w:val="00CB6CA5"/>
    <w:rsid w:val="00CB7CEE"/>
    <w:rsid w:val="00CC05D9"/>
    <w:rsid w:val="00CC0DA8"/>
    <w:rsid w:val="00CC1B70"/>
    <w:rsid w:val="00CC4B03"/>
    <w:rsid w:val="00CC4F28"/>
    <w:rsid w:val="00CC790E"/>
    <w:rsid w:val="00CC7F1D"/>
    <w:rsid w:val="00CD0A5D"/>
    <w:rsid w:val="00CD1BF5"/>
    <w:rsid w:val="00CD3466"/>
    <w:rsid w:val="00CD4A85"/>
    <w:rsid w:val="00CD4D26"/>
    <w:rsid w:val="00CD5F12"/>
    <w:rsid w:val="00CD62A6"/>
    <w:rsid w:val="00CD648D"/>
    <w:rsid w:val="00CD7136"/>
    <w:rsid w:val="00CE0290"/>
    <w:rsid w:val="00CE0C94"/>
    <w:rsid w:val="00CE2D53"/>
    <w:rsid w:val="00CE2F06"/>
    <w:rsid w:val="00CE423F"/>
    <w:rsid w:val="00CF0013"/>
    <w:rsid w:val="00CF168B"/>
    <w:rsid w:val="00CF2EED"/>
    <w:rsid w:val="00CF46FB"/>
    <w:rsid w:val="00D006AE"/>
    <w:rsid w:val="00D0087E"/>
    <w:rsid w:val="00D01CF0"/>
    <w:rsid w:val="00D023FD"/>
    <w:rsid w:val="00D0442A"/>
    <w:rsid w:val="00D04DCC"/>
    <w:rsid w:val="00D050A0"/>
    <w:rsid w:val="00D05E1A"/>
    <w:rsid w:val="00D06B3E"/>
    <w:rsid w:val="00D105E1"/>
    <w:rsid w:val="00D11CD9"/>
    <w:rsid w:val="00D1253A"/>
    <w:rsid w:val="00D136CD"/>
    <w:rsid w:val="00D20296"/>
    <w:rsid w:val="00D20517"/>
    <w:rsid w:val="00D2100B"/>
    <w:rsid w:val="00D21A56"/>
    <w:rsid w:val="00D2224F"/>
    <w:rsid w:val="00D22642"/>
    <w:rsid w:val="00D2709E"/>
    <w:rsid w:val="00D2716D"/>
    <w:rsid w:val="00D32022"/>
    <w:rsid w:val="00D3243E"/>
    <w:rsid w:val="00D346AC"/>
    <w:rsid w:val="00D35E16"/>
    <w:rsid w:val="00D379C9"/>
    <w:rsid w:val="00D40549"/>
    <w:rsid w:val="00D408E3"/>
    <w:rsid w:val="00D4201B"/>
    <w:rsid w:val="00D44F0F"/>
    <w:rsid w:val="00D46148"/>
    <w:rsid w:val="00D4729B"/>
    <w:rsid w:val="00D47FAF"/>
    <w:rsid w:val="00D515C3"/>
    <w:rsid w:val="00D56DF3"/>
    <w:rsid w:val="00D57050"/>
    <w:rsid w:val="00D5771A"/>
    <w:rsid w:val="00D57D83"/>
    <w:rsid w:val="00D609CE"/>
    <w:rsid w:val="00D61388"/>
    <w:rsid w:val="00D61A54"/>
    <w:rsid w:val="00D645FC"/>
    <w:rsid w:val="00D64DEA"/>
    <w:rsid w:val="00D65718"/>
    <w:rsid w:val="00D70FA2"/>
    <w:rsid w:val="00D7168E"/>
    <w:rsid w:val="00D71E57"/>
    <w:rsid w:val="00D732A7"/>
    <w:rsid w:val="00D7577D"/>
    <w:rsid w:val="00D76465"/>
    <w:rsid w:val="00D76DD7"/>
    <w:rsid w:val="00D8066D"/>
    <w:rsid w:val="00D80893"/>
    <w:rsid w:val="00D81C31"/>
    <w:rsid w:val="00D83535"/>
    <w:rsid w:val="00D844A8"/>
    <w:rsid w:val="00D84854"/>
    <w:rsid w:val="00D86094"/>
    <w:rsid w:val="00D8647A"/>
    <w:rsid w:val="00D86677"/>
    <w:rsid w:val="00D906A4"/>
    <w:rsid w:val="00D90B38"/>
    <w:rsid w:val="00D92840"/>
    <w:rsid w:val="00D92CF1"/>
    <w:rsid w:val="00D92D38"/>
    <w:rsid w:val="00D94A16"/>
    <w:rsid w:val="00D950F5"/>
    <w:rsid w:val="00D95C59"/>
    <w:rsid w:val="00DA2202"/>
    <w:rsid w:val="00DA28CC"/>
    <w:rsid w:val="00DA2CB1"/>
    <w:rsid w:val="00DA34A8"/>
    <w:rsid w:val="00DA4752"/>
    <w:rsid w:val="00DA5A76"/>
    <w:rsid w:val="00DA61F3"/>
    <w:rsid w:val="00DA7D3F"/>
    <w:rsid w:val="00DB0F93"/>
    <w:rsid w:val="00DB133E"/>
    <w:rsid w:val="00DB1A67"/>
    <w:rsid w:val="00DB297C"/>
    <w:rsid w:val="00DB2A82"/>
    <w:rsid w:val="00DB3AA4"/>
    <w:rsid w:val="00DB4995"/>
    <w:rsid w:val="00DB5074"/>
    <w:rsid w:val="00DB5356"/>
    <w:rsid w:val="00DB6396"/>
    <w:rsid w:val="00DB6949"/>
    <w:rsid w:val="00DB6E40"/>
    <w:rsid w:val="00DC3B53"/>
    <w:rsid w:val="00DC7981"/>
    <w:rsid w:val="00DD069D"/>
    <w:rsid w:val="00DD1E25"/>
    <w:rsid w:val="00DD414A"/>
    <w:rsid w:val="00DD499B"/>
    <w:rsid w:val="00DD7734"/>
    <w:rsid w:val="00DE0FDA"/>
    <w:rsid w:val="00DE1093"/>
    <w:rsid w:val="00DE126C"/>
    <w:rsid w:val="00DE45E9"/>
    <w:rsid w:val="00DE4EFA"/>
    <w:rsid w:val="00DE5520"/>
    <w:rsid w:val="00DE563D"/>
    <w:rsid w:val="00DF1DBC"/>
    <w:rsid w:val="00DF44EF"/>
    <w:rsid w:val="00DF61DF"/>
    <w:rsid w:val="00DF689D"/>
    <w:rsid w:val="00E00AF0"/>
    <w:rsid w:val="00E04818"/>
    <w:rsid w:val="00E04DD5"/>
    <w:rsid w:val="00E056BF"/>
    <w:rsid w:val="00E058BA"/>
    <w:rsid w:val="00E06442"/>
    <w:rsid w:val="00E06850"/>
    <w:rsid w:val="00E06FC9"/>
    <w:rsid w:val="00E102C8"/>
    <w:rsid w:val="00E1114C"/>
    <w:rsid w:val="00E13793"/>
    <w:rsid w:val="00E14351"/>
    <w:rsid w:val="00E15172"/>
    <w:rsid w:val="00E1520A"/>
    <w:rsid w:val="00E15834"/>
    <w:rsid w:val="00E15BE7"/>
    <w:rsid w:val="00E213E0"/>
    <w:rsid w:val="00E23993"/>
    <w:rsid w:val="00E2489E"/>
    <w:rsid w:val="00E25B8C"/>
    <w:rsid w:val="00E269DC"/>
    <w:rsid w:val="00E27628"/>
    <w:rsid w:val="00E27853"/>
    <w:rsid w:val="00E31B06"/>
    <w:rsid w:val="00E32612"/>
    <w:rsid w:val="00E32AC7"/>
    <w:rsid w:val="00E407CB"/>
    <w:rsid w:val="00E44868"/>
    <w:rsid w:val="00E45D51"/>
    <w:rsid w:val="00E533BC"/>
    <w:rsid w:val="00E54983"/>
    <w:rsid w:val="00E5565D"/>
    <w:rsid w:val="00E558C5"/>
    <w:rsid w:val="00E55B11"/>
    <w:rsid w:val="00E5683B"/>
    <w:rsid w:val="00E57429"/>
    <w:rsid w:val="00E615D0"/>
    <w:rsid w:val="00E61830"/>
    <w:rsid w:val="00E630E5"/>
    <w:rsid w:val="00E634B7"/>
    <w:rsid w:val="00E63EFB"/>
    <w:rsid w:val="00E647E3"/>
    <w:rsid w:val="00E64F71"/>
    <w:rsid w:val="00E65C85"/>
    <w:rsid w:val="00E66199"/>
    <w:rsid w:val="00E70395"/>
    <w:rsid w:val="00E726C3"/>
    <w:rsid w:val="00E73E86"/>
    <w:rsid w:val="00E73F6D"/>
    <w:rsid w:val="00E755EC"/>
    <w:rsid w:val="00E75CE2"/>
    <w:rsid w:val="00E7624D"/>
    <w:rsid w:val="00E77055"/>
    <w:rsid w:val="00E813CB"/>
    <w:rsid w:val="00E82AAC"/>
    <w:rsid w:val="00E82DC2"/>
    <w:rsid w:val="00E83ABD"/>
    <w:rsid w:val="00E84C2E"/>
    <w:rsid w:val="00E91251"/>
    <w:rsid w:val="00E93E99"/>
    <w:rsid w:val="00E9500F"/>
    <w:rsid w:val="00E9692D"/>
    <w:rsid w:val="00E97A59"/>
    <w:rsid w:val="00EA1787"/>
    <w:rsid w:val="00EA288C"/>
    <w:rsid w:val="00EA38C6"/>
    <w:rsid w:val="00EA39BD"/>
    <w:rsid w:val="00EA3D42"/>
    <w:rsid w:val="00EA4329"/>
    <w:rsid w:val="00EA58D0"/>
    <w:rsid w:val="00EA6B1B"/>
    <w:rsid w:val="00EB0550"/>
    <w:rsid w:val="00EB136D"/>
    <w:rsid w:val="00EB276A"/>
    <w:rsid w:val="00EB2D94"/>
    <w:rsid w:val="00EB32F5"/>
    <w:rsid w:val="00EB5D8B"/>
    <w:rsid w:val="00EB6DAC"/>
    <w:rsid w:val="00EC001C"/>
    <w:rsid w:val="00EC0C0D"/>
    <w:rsid w:val="00EC2AA4"/>
    <w:rsid w:val="00EC3FEA"/>
    <w:rsid w:val="00EC5C47"/>
    <w:rsid w:val="00EC671E"/>
    <w:rsid w:val="00EC7451"/>
    <w:rsid w:val="00ED0284"/>
    <w:rsid w:val="00ED0F63"/>
    <w:rsid w:val="00ED168C"/>
    <w:rsid w:val="00ED1B7B"/>
    <w:rsid w:val="00ED33CF"/>
    <w:rsid w:val="00ED4A31"/>
    <w:rsid w:val="00ED50CF"/>
    <w:rsid w:val="00ED7323"/>
    <w:rsid w:val="00ED7AF4"/>
    <w:rsid w:val="00EE1365"/>
    <w:rsid w:val="00EE1F8B"/>
    <w:rsid w:val="00EE22B1"/>
    <w:rsid w:val="00EE28F3"/>
    <w:rsid w:val="00EE36DB"/>
    <w:rsid w:val="00EE3747"/>
    <w:rsid w:val="00EE3C43"/>
    <w:rsid w:val="00EE57F7"/>
    <w:rsid w:val="00EF0935"/>
    <w:rsid w:val="00EF1DE8"/>
    <w:rsid w:val="00EF246D"/>
    <w:rsid w:val="00EF3C1F"/>
    <w:rsid w:val="00EF5110"/>
    <w:rsid w:val="00EF5714"/>
    <w:rsid w:val="00EF71B0"/>
    <w:rsid w:val="00EF77DA"/>
    <w:rsid w:val="00F01ED9"/>
    <w:rsid w:val="00F0420A"/>
    <w:rsid w:val="00F059DA"/>
    <w:rsid w:val="00F05C4B"/>
    <w:rsid w:val="00F064E5"/>
    <w:rsid w:val="00F10411"/>
    <w:rsid w:val="00F12D7B"/>
    <w:rsid w:val="00F15882"/>
    <w:rsid w:val="00F171E0"/>
    <w:rsid w:val="00F20BD3"/>
    <w:rsid w:val="00F242F1"/>
    <w:rsid w:val="00F250B7"/>
    <w:rsid w:val="00F250EA"/>
    <w:rsid w:val="00F26C77"/>
    <w:rsid w:val="00F31AAF"/>
    <w:rsid w:val="00F3488D"/>
    <w:rsid w:val="00F3540A"/>
    <w:rsid w:val="00F373A5"/>
    <w:rsid w:val="00F40166"/>
    <w:rsid w:val="00F40268"/>
    <w:rsid w:val="00F41A7D"/>
    <w:rsid w:val="00F45A10"/>
    <w:rsid w:val="00F461A0"/>
    <w:rsid w:val="00F47559"/>
    <w:rsid w:val="00F53377"/>
    <w:rsid w:val="00F53C9E"/>
    <w:rsid w:val="00F5407B"/>
    <w:rsid w:val="00F54C16"/>
    <w:rsid w:val="00F573C1"/>
    <w:rsid w:val="00F61990"/>
    <w:rsid w:val="00F64C7B"/>
    <w:rsid w:val="00F65E5D"/>
    <w:rsid w:val="00F676DD"/>
    <w:rsid w:val="00F708F1"/>
    <w:rsid w:val="00F72AC3"/>
    <w:rsid w:val="00F75A26"/>
    <w:rsid w:val="00F75B0A"/>
    <w:rsid w:val="00F76706"/>
    <w:rsid w:val="00F82FF3"/>
    <w:rsid w:val="00F83650"/>
    <w:rsid w:val="00F83FAD"/>
    <w:rsid w:val="00F84A43"/>
    <w:rsid w:val="00F84AC8"/>
    <w:rsid w:val="00F853FD"/>
    <w:rsid w:val="00F861EE"/>
    <w:rsid w:val="00F866A1"/>
    <w:rsid w:val="00F87A3A"/>
    <w:rsid w:val="00F9041A"/>
    <w:rsid w:val="00F91E22"/>
    <w:rsid w:val="00F92035"/>
    <w:rsid w:val="00F952A0"/>
    <w:rsid w:val="00F97CDE"/>
    <w:rsid w:val="00FA056E"/>
    <w:rsid w:val="00FA09FC"/>
    <w:rsid w:val="00FA149E"/>
    <w:rsid w:val="00FA29CE"/>
    <w:rsid w:val="00FA2FCE"/>
    <w:rsid w:val="00FA33EA"/>
    <w:rsid w:val="00FA345A"/>
    <w:rsid w:val="00FA3C7F"/>
    <w:rsid w:val="00FA5032"/>
    <w:rsid w:val="00FA5805"/>
    <w:rsid w:val="00FA6DE4"/>
    <w:rsid w:val="00FA72B7"/>
    <w:rsid w:val="00FB007C"/>
    <w:rsid w:val="00FB010A"/>
    <w:rsid w:val="00FB056C"/>
    <w:rsid w:val="00FB139B"/>
    <w:rsid w:val="00FB7367"/>
    <w:rsid w:val="00FB74E2"/>
    <w:rsid w:val="00FC022A"/>
    <w:rsid w:val="00FC10C4"/>
    <w:rsid w:val="00FC20AC"/>
    <w:rsid w:val="00FC23A8"/>
    <w:rsid w:val="00FD070E"/>
    <w:rsid w:val="00FD0D0C"/>
    <w:rsid w:val="00FD1100"/>
    <w:rsid w:val="00FD419E"/>
    <w:rsid w:val="00FD5614"/>
    <w:rsid w:val="00FD79A7"/>
    <w:rsid w:val="00FD7D86"/>
    <w:rsid w:val="00FE0BE1"/>
    <w:rsid w:val="00FE1DE9"/>
    <w:rsid w:val="00FE36AF"/>
    <w:rsid w:val="00FE39C2"/>
    <w:rsid w:val="00FE3C32"/>
    <w:rsid w:val="00FE3C95"/>
    <w:rsid w:val="00FE64AE"/>
    <w:rsid w:val="00FE6EAC"/>
    <w:rsid w:val="00FE7BB3"/>
    <w:rsid w:val="00FF0A67"/>
    <w:rsid w:val="00FF18F3"/>
    <w:rsid w:val="00FF1EB4"/>
    <w:rsid w:val="00FF55E0"/>
    <w:rsid w:val="00FF77D9"/>
    <w:rsid w:val="00FF7D68"/>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2" w:unhideWhenUsed="0" w:qFormat="1"/>
    <w:lsdException w:name="heading 6" w:semiHidden="0" w:uiPriority="2" w:unhideWhenUsed="0"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1"/>
    <w:lsdException w:name="footnote text" w:qFormat="1"/>
    <w:lsdException w:name="header" w:uiPriority="99" w:qFormat="1"/>
    <w:lsdException w:name="footer" w:uiPriority="99" w:qFormat="1"/>
    <w:lsdException w:name="index heading" w:uiPriority="99"/>
    <w:lsdException w:name="caption" w:uiPriority="35" w:qFormat="1"/>
    <w:lsdException w:name="table of figures" w:uiPriority="99"/>
    <w:lsdException w:name="envelope address" w:uiPriority="99"/>
    <w:lsdException w:name="envelope return" w:uiPriority="99"/>
    <w:lsdException w:name="footnote reference" w:qFormat="1"/>
    <w:lsdException w:name="annotation reference" w:uiPriority="99"/>
    <w:lsdException w:name="line number" w:uiPriority="99"/>
    <w:lsdException w:name="endnote reference" w:uiPriority="99"/>
    <w:lsdException w:name="endnote text" w:uiPriority="99"/>
    <w:lsdException w:name="List" w:uiPriority="99" w:qFormat="1"/>
    <w:lsdException w:name="List Bullet" w:uiPriority="99"/>
    <w:lsdException w:name="List Number" w:semiHidden="0" w:uiPriority="99" w:unhideWhenUsed="0" w:qFormat="1"/>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lsdException w:name="Closing" w:uiPriority="99"/>
    <w:lsdException w:name="Signature" w:uiPriority="99"/>
    <w:lsdException w:name="Body Text Indent" w:uiPriority="99"/>
    <w:lsdException w:name="List Continue" w:uiPriority="99" w:qFormat="1"/>
    <w:lsdException w:name="List Continue 2" w:uiPriority="99"/>
    <w:lsdException w:name="List Continue 3" w:uiPriority="99"/>
    <w:lsdException w:name="List Continue 4" w:uiPriority="99"/>
    <w:lsdException w:name="List Continue 5" w:uiPriority="99"/>
    <w:lsdException w:name="Subtitle" w:semiHidden="0" w:uiPriority="11" w:unhideWhenUsed="0"/>
    <w:lsdException w:name="Salutation" w:uiPriority="99"/>
    <w:lsdException w:name="Date" w:uiPriority="99"/>
    <w:lsdException w:name="Body Text First Indent" w:uiPriority="99"/>
    <w:lsdException w:name="Body Text First Indent 2" w:uiPriority="99"/>
    <w:lsdException w:name="Body Text 2" w:uiPriority="99"/>
    <w:lsdException w:name="Body Text 3" w:uiPriority="99"/>
    <w:lsdException w:name="Hyperlink" w:uiPriority="99" w:qFormat="1"/>
    <w:lsdException w:name="FollowedHyperlink" w:uiPriority="99"/>
    <w:lsdException w:name="Strong" w:semiHidden="0" w:uiPriority="22" w:unhideWhenUsed="0" w:qFormat="1"/>
    <w:lsdException w:name="Emphasis" w:semiHidden="0" w:uiPriority="20" w:unhideWhenUsed="0" w:qFormat="1"/>
    <w:lsdException w:name="Document Map" w:uiPriority="99"/>
    <w:lsdException w:name="E-mail Signature" w:uiPriority="99"/>
    <w:lsdException w:name="annotation subject" w:uiPriority="99"/>
    <w:lsdException w:name="No List" w:uiPriority="99"/>
    <w:lsdException w:name="Balloon Text" w:uiPriority="99"/>
    <w:lsdException w:name="Table Grid" w:semiHidden="0" w:uiPriority="59" w:unhideWhenUsed="0"/>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FA72B7"/>
    <w:pPr>
      <w:pageBreakBefore/>
      <w:numPr>
        <w:numId w:val="25"/>
      </w:numPr>
      <w:tabs>
        <w:tab w:val="left" w:pos="680"/>
      </w:tabs>
      <w:spacing w:before="240"/>
      <w:outlineLvl w:val="0"/>
    </w:pPr>
    <w:rPr>
      <w:rFonts w:eastAsiaTheme="majorEastAsia" w:cstheme="majorBidi"/>
      <w:b/>
      <w:bCs/>
      <w:color w:val="076A92" w:themeColor="text1"/>
      <w:sz w:val="36"/>
      <w:szCs w:val="28"/>
    </w:rPr>
  </w:style>
  <w:style w:type="paragraph" w:styleId="Heading2">
    <w:name w:val="heading 2"/>
    <w:next w:val="Normal"/>
    <w:link w:val="Heading2Char"/>
    <w:uiPriority w:val="9"/>
    <w:qFormat/>
    <w:rsid w:val="00FA72B7"/>
    <w:pPr>
      <w:numPr>
        <w:ilvl w:val="1"/>
        <w:numId w:val="25"/>
      </w:numPr>
      <w:tabs>
        <w:tab w:val="left" w:pos="680"/>
      </w:tabs>
      <w:spacing w:line="240" w:lineRule="atLeast"/>
      <w:outlineLvl w:val="1"/>
    </w:pPr>
    <w:rPr>
      <w:rFonts w:ascii="Arial" w:eastAsiaTheme="majorEastAsia" w:hAnsi="Arial" w:cstheme="majorBidi"/>
      <w:b/>
      <w:bCs/>
      <w:color w:val="076A92" w:themeColor="text1"/>
      <w:sz w:val="32"/>
      <w:szCs w:val="26"/>
    </w:rPr>
  </w:style>
  <w:style w:type="paragraph" w:styleId="Heading3">
    <w:name w:val="heading 3"/>
    <w:basedOn w:val="Normal"/>
    <w:next w:val="Normal"/>
    <w:link w:val="Heading3Char"/>
    <w:uiPriority w:val="9"/>
    <w:qFormat/>
    <w:rsid w:val="00FA72B7"/>
    <w:pPr>
      <w:numPr>
        <w:ilvl w:val="2"/>
        <w:numId w:val="25"/>
      </w:numPr>
      <w:tabs>
        <w:tab w:val="left" w:pos="1021"/>
      </w:tabs>
      <w:spacing w:before="240"/>
      <w:outlineLvl w:val="2"/>
    </w:pPr>
    <w:rPr>
      <w:rFonts w:eastAsiaTheme="majorEastAsia" w:cstheme="majorBidi"/>
      <w:b/>
      <w:bCs/>
      <w:color w:val="076A92" w:themeColor="text1"/>
      <w:sz w:val="28"/>
    </w:rPr>
  </w:style>
  <w:style w:type="paragraph" w:styleId="Heading4">
    <w:name w:val="heading 4"/>
    <w:basedOn w:val="Normal"/>
    <w:next w:val="Normal"/>
    <w:link w:val="Heading4Char"/>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2"/>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72B7"/>
    <w:rPr>
      <w:rFonts w:ascii="Arial" w:eastAsiaTheme="majorEastAsia" w:hAnsi="Arial" w:cstheme="majorBidi"/>
      <w:b/>
      <w:bCs/>
      <w:color w:val="076A92" w:themeColor="text1"/>
      <w:sz w:val="36"/>
      <w:szCs w:val="28"/>
    </w:rPr>
  </w:style>
  <w:style w:type="character" w:customStyle="1" w:styleId="Heading2Char">
    <w:name w:val="Heading 2 Char"/>
    <w:basedOn w:val="DefaultParagraphFont"/>
    <w:link w:val="Heading2"/>
    <w:uiPriority w:val="9"/>
    <w:rsid w:val="00FA72B7"/>
    <w:rPr>
      <w:rFonts w:ascii="Arial" w:eastAsiaTheme="majorEastAsia" w:hAnsi="Arial" w:cstheme="majorBidi"/>
      <w:b/>
      <w:bCs/>
      <w:color w:val="076A92" w:themeColor="text1"/>
      <w:sz w:val="32"/>
      <w:szCs w:val="26"/>
    </w:rPr>
  </w:style>
  <w:style w:type="character" w:customStyle="1" w:styleId="Heading3Char">
    <w:name w:val="Heading 3 Char"/>
    <w:basedOn w:val="DefaultParagraphFont"/>
    <w:link w:val="Heading3"/>
    <w:uiPriority w:val="9"/>
    <w:rsid w:val="00FA72B7"/>
    <w:rPr>
      <w:rFonts w:ascii="Arial" w:eastAsiaTheme="majorEastAsia" w:hAnsi="Arial" w:cstheme="majorBidi"/>
      <w:b/>
      <w:bCs/>
      <w:color w:val="076A92" w:themeColor="text1"/>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qFormat/>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Autospacing="0" w:afterLines="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Autospacing="0" w:afterLines="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Autospacing="0" w:afterLines="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Autospacing="0" w:afterLines="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D7BA2"/>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qFormat/>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qFormat/>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qFormat/>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Autospacing="0" w:afterLines="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Autospacing="0" w:afterLines="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A75AB2"/>
    <w:pPr>
      <w:keepNext/>
      <w:spacing w:before="240" w:after="120"/>
      <w:ind w:left="1418" w:hanging="1418"/>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iPriority w:val="99"/>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qFormat/>
    <w:rsid w:val="00567BA5"/>
    <w:pPr>
      <w:tabs>
        <w:tab w:val="left" w:pos="680"/>
      </w:tabs>
      <w:spacing w:before="120"/>
      <w:ind w:left="680"/>
    </w:pPr>
  </w:style>
  <w:style w:type="paragraph" w:styleId="ListContinue3">
    <w:name w:val="List Continue 3"/>
    <w:aliases w:val="AER body text (indent 3)"/>
    <w:basedOn w:val="Normal"/>
    <w:uiPriority w:val="99"/>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Autospacing="0" w:afterLines="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uiPriority w:val="99"/>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uiPriority w:val="99"/>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BodyText">
    <w:name w:val="Body Text"/>
    <w:basedOn w:val="Normal"/>
    <w:link w:val="BodyTextChar"/>
    <w:uiPriority w:val="99"/>
    <w:unhideWhenUsed/>
    <w:rsid w:val="000B13A7"/>
    <w:pPr>
      <w:spacing w:after="120"/>
    </w:pPr>
  </w:style>
  <w:style w:type="character" w:customStyle="1" w:styleId="BodyTextChar">
    <w:name w:val="Body Text Char"/>
    <w:basedOn w:val="DefaultParagraphFont"/>
    <w:link w:val="BodyText"/>
    <w:uiPriority w:val="99"/>
    <w:rsid w:val="000B13A7"/>
    <w:rPr>
      <w:rFonts w:ascii="Arial" w:hAnsi="Arial"/>
    </w:rPr>
  </w:style>
  <w:style w:type="paragraph" w:styleId="NormalWeb">
    <w:name w:val="Normal (Web)"/>
    <w:basedOn w:val="Normal"/>
    <w:uiPriority w:val="99"/>
    <w:semiHidden/>
    <w:unhideWhenUsed/>
    <w:rsid w:val="00BD0578"/>
    <w:pPr>
      <w:spacing w:before="0" w:after="240" w:line="288" w:lineRule="auto"/>
      <w:jc w:val="both"/>
    </w:pPr>
    <w:rPr>
      <w:rFonts w:ascii="Times New Roman" w:eastAsia="Calibri" w:hAnsi="Times New Roman" w:cs="Times New Roman"/>
      <w:sz w:val="24"/>
      <w:szCs w:val="24"/>
    </w:rPr>
  </w:style>
  <w:style w:type="paragraph" w:styleId="BlockText">
    <w:name w:val="Block Text"/>
    <w:basedOn w:val="Normal"/>
    <w:uiPriority w:val="99"/>
    <w:unhideWhenUsed/>
    <w:rsid w:val="00BD0578"/>
    <w:pPr>
      <w:pBdr>
        <w:top w:val="single" w:sz="2" w:space="10" w:color="2F002F" w:themeColor="accent1" w:shadow="1" w:frame="1"/>
        <w:left w:val="single" w:sz="2" w:space="10" w:color="2F002F" w:themeColor="accent1" w:shadow="1" w:frame="1"/>
        <w:bottom w:val="single" w:sz="2" w:space="10" w:color="2F002F" w:themeColor="accent1" w:shadow="1" w:frame="1"/>
        <w:right w:val="single" w:sz="2" w:space="10" w:color="2F002F" w:themeColor="accent1" w:shadow="1" w:frame="1"/>
      </w:pBdr>
      <w:ind w:left="1152" w:right="1152"/>
    </w:pPr>
    <w:rPr>
      <w:rFonts w:asciiTheme="minorHAnsi" w:eastAsiaTheme="minorEastAsia" w:hAnsiTheme="minorHAnsi"/>
      <w:i/>
      <w:iCs/>
      <w:color w:val="2F002F"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2" w:unhideWhenUsed="0" w:qFormat="1"/>
    <w:lsdException w:name="heading 6" w:semiHidden="0" w:uiPriority="2" w:unhideWhenUsed="0"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1"/>
    <w:lsdException w:name="footnote text" w:qFormat="1"/>
    <w:lsdException w:name="header" w:uiPriority="99" w:qFormat="1"/>
    <w:lsdException w:name="footer" w:uiPriority="99" w:qFormat="1"/>
    <w:lsdException w:name="index heading" w:uiPriority="99"/>
    <w:lsdException w:name="caption" w:uiPriority="35" w:qFormat="1"/>
    <w:lsdException w:name="table of figures" w:uiPriority="99"/>
    <w:lsdException w:name="envelope address" w:uiPriority="99"/>
    <w:lsdException w:name="envelope return" w:uiPriority="99"/>
    <w:lsdException w:name="footnote reference" w:qFormat="1"/>
    <w:lsdException w:name="annotation reference" w:uiPriority="99"/>
    <w:lsdException w:name="line number" w:uiPriority="99"/>
    <w:lsdException w:name="endnote reference" w:uiPriority="99"/>
    <w:lsdException w:name="endnote text" w:uiPriority="99"/>
    <w:lsdException w:name="List" w:uiPriority="99" w:qFormat="1"/>
    <w:lsdException w:name="List Bullet" w:uiPriority="99"/>
    <w:lsdException w:name="List Number" w:semiHidden="0" w:uiPriority="99" w:unhideWhenUsed="0" w:qFormat="1"/>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lsdException w:name="Closing" w:uiPriority="99"/>
    <w:lsdException w:name="Signature" w:uiPriority="99"/>
    <w:lsdException w:name="Body Text Indent" w:uiPriority="99"/>
    <w:lsdException w:name="List Continue" w:uiPriority="99" w:qFormat="1"/>
    <w:lsdException w:name="List Continue 2" w:uiPriority="99"/>
    <w:lsdException w:name="List Continue 3" w:uiPriority="99"/>
    <w:lsdException w:name="List Continue 4" w:uiPriority="99"/>
    <w:lsdException w:name="List Continue 5" w:uiPriority="99"/>
    <w:lsdException w:name="Subtitle" w:semiHidden="0" w:uiPriority="11" w:unhideWhenUsed="0"/>
    <w:lsdException w:name="Salutation" w:uiPriority="99"/>
    <w:lsdException w:name="Date" w:uiPriority="99"/>
    <w:lsdException w:name="Body Text First Indent" w:uiPriority="99"/>
    <w:lsdException w:name="Body Text First Indent 2" w:uiPriority="99"/>
    <w:lsdException w:name="Body Text 2" w:uiPriority="99"/>
    <w:lsdException w:name="Body Text 3" w:uiPriority="99"/>
    <w:lsdException w:name="Hyperlink" w:uiPriority="99" w:qFormat="1"/>
    <w:lsdException w:name="FollowedHyperlink" w:uiPriority="99"/>
    <w:lsdException w:name="Strong" w:semiHidden="0" w:uiPriority="22" w:unhideWhenUsed="0" w:qFormat="1"/>
    <w:lsdException w:name="Emphasis" w:semiHidden="0" w:uiPriority="20" w:unhideWhenUsed="0" w:qFormat="1"/>
    <w:lsdException w:name="Document Map" w:uiPriority="99"/>
    <w:lsdException w:name="E-mail Signature" w:uiPriority="99"/>
    <w:lsdException w:name="annotation subject" w:uiPriority="99"/>
    <w:lsdException w:name="No List" w:uiPriority="99"/>
    <w:lsdException w:name="Balloon Text" w:uiPriority="99"/>
    <w:lsdException w:name="Table Grid" w:semiHidden="0" w:uiPriority="59" w:unhideWhenUsed="0"/>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FA72B7"/>
    <w:pPr>
      <w:pageBreakBefore/>
      <w:numPr>
        <w:numId w:val="25"/>
      </w:numPr>
      <w:tabs>
        <w:tab w:val="left" w:pos="680"/>
      </w:tabs>
      <w:spacing w:before="240"/>
      <w:outlineLvl w:val="0"/>
    </w:pPr>
    <w:rPr>
      <w:rFonts w:eastAsiaTheme="majorEastAsia" w:cstheme="majorBidi"/>
      <w:b/>
      <w:bCs/>
      <w:color w:val="076A92" w:themeColor="text1"/>
      <w:sz w:val="36"/>
      <w:szCs w:val="28"/>
    </w:rPr>
  </w:style>
  <w:style w:type="paragraph" w:styleId="Heading2">
    <w:name w:val="heading 2"/>
    <w:next w:val="Normal"/>
    <w:link w:val="Heading2Char"/>
    <w:uiPriority w:val="9"/>
    <w:qFormat/>
    <w:rsid w:val="00FA72B7"/>
    <w:pPr>
      <w:numPr>
        <w:ilvl w:val="1"/>
        <w:numId w:val="25"/>
      </w:numPr>
      <w:tabs>
        <w:tab w:val="left" w:pos="680"/>
      </w:tabs>
      <w:spacing w:line="240" w:lineRule="atLeast"/>
      <w:outlineLvl w:val="1"/>
    </w:pPr>
    <w:rPr>
      <w:rFonts w:ascii="Arial" w:eastAsiaTheme="majorEastAsia" w:hAnsi="Arial" w:cstheme="majorBidi"/>
      <w:b/>
      <w:bCs/>
      <w:color w:val="076A92" w:themeColor="text1"/>
      <w:sz w:val="32"/>
      <w:szCs w:val="26"/>
    </w:rPr>
  </w:style>
  <w:style w:type="paragraph" w:styleId="Heading3">
    <w:name w:val="heading 3"/>
    <w:basedOn w:val="Normal"/>
    <w:next w:val="Normal"/>
    <w:link w:val="Heading3Char"/>
    <w:uiPriority w:val="9"/>
    <w:qFormat/>
    <w:rsid w:val="00FA72B7"/>
    <w:pPr>
      <w:numPr>
        <w:ilvl w:val="2"/>
        <w:numId w:val="25"/>
      </w:numPr>
      <w:tabs>
        <w:tab w:val="left" w:pos="1021"/>
      </w:tabs>
      <w:spacing w:before="240"/>
      <w:outlineLvl w:val="2"/>
    </w:pPr>
    <w:rPr>
      <w:rFonts w:eastAsiaTheme="majorEastAsia" w:cstheme="majorBidi"/>
      <w:b/>
      <w:bCs/>
      <w:color w:val="076A92" w:themeColor="text1"/>
      <w:sz w:val="28"/>
    </w:rPr>
  </w:style>
  <w:style w:type="paragraph" w:styleId="Heading4">
    <w:name w:val="heading 4"/>
    <w:basedOn w:val="Normal"/>
    <w:next w:val="Normal"/>
    <w:link w:val="Heading4Char"/>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2"/>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72B7"/>
    <w:rPr>
      <w:rFonts w:ascii="Arial" w:eastAsiaTheme="majorEastAsia" w:hAnsi="Arial" w:cstheme="majorBidi"/>
      <w:b/>
      <w:bCs/>
      <w:color w:val="076A92" w:themeColor="text1"/>
      <w:sz w:val="36"/>
      <w:szCs w:val="28"/>
    </w:rPr>
  </w:style>
  <w:style w:type="character" w:customStyle="1" w:styleId="Heading2Char">
    <w:name w:val="Heading 2 Char"/>
    <w:basedOn w:val="DefaultParagraphFont"/>
    <w:link w:val="Heading2"/>
    <w:uiPriority w:val="9"/>
    <w:rsid w:val="00FA72B7"/>
    <w:rPr>
      <w:rFonts w:ascii="Arial" w:eastAsiaTheme="majorEastAsia" w:hAnsi="Arial" w:cstheme="majorBidi"/>
      <w:b/>
      <w:bCs/>
      <w:color w:val="076A92" w:themeColor="text1"/>
      <w:sz w:val="32"/>
      <w:szCs w:val="26"/>
    </w:rPr>
  </w:style>
  <w:style w:type="character" w:customStyle="1" w:styleId="Heading3Char">
    <w:name w:val="Heading 3 Char"/>
    <w:basedOn w:val="DefaultParagraphFont"/>
    <w:link w:val="Heading3"/>
    <w:uiPriority w:val="9"/>
    <w:rsid w:val="00FA72B7"/>
    <w:rPr>
      <w:rFonts w:ascii="Arial" w:eastAsiaTheme="majorEastAsia" w:hAnsi="Arial" w:cstheme="majorBidi"/>
      <w:b/>
      <w:bCs/>
      <w:color w:val="076A92" w:themeColor="text1"/>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qFormat/>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Autospacing="0" w:afterLines="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Autospacing="0" w:afterLines="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Autospacing="0" w:afterLines="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Autospacing="0" w:afterLines="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D7BA2"/>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qFormat/>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qFormat/>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qFormat/>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Autospacing="0" w:afterLines="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Autospacing="0" w:afterLines="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A75AB2"/>
    <w:pPr>
      <w:keepNext/>
      <w:spacing w:before="240" w:after="120"/>
      <w:ind w:left="1418" w:hanging="1418"/>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iPriority w:val="99"/>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qFormat/>
    <w:rsid w:val="00567BA5"/>
    <w:pPr>
      <w:tabs>
        <w:tab w:val="left" w:pos="680"/>
      </w:tabs>
      <w:spacing w:before="120"/>
      <w:ind w:left="680"/>
    </w:pPr>
  </w:style>
  <w:style w:type="paragraph" w:styleId="ListContinue3">
    <w:name w:val="List Continue 3"/>
    <w:aliases w:val="AER body text (indent 3)"/>
    <w:basedOn w:val="Normal"/>
    <w:uiPriority w:val="99"/>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Autospacing="0" w:afterLines="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uiPriority w:val="99"/>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uiPriority w:val="99"/>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BodyText">
    <w:name w:val="Body Text"/>
    <w:basedOn w:val="Normal"/>
    <w:link w:val="BodyTextChar"/>
    <w:uiPriority w:val="99"/>
    <w:unhideWhenUsed/>
    <w:rsid w:val="000B13A7"/>
    <w:pPr>
      <w:spacing w:after="120"/>
    </w:pPr>
  </w:style>
  <w:style w:type="character" w:customStyle="1" w:styleId="BodyTextChar">
    <w:name w:val="Body Text Char"/>
    <w:basedOn w:val="DefaultParagraphFont"/>
    <w:link w:val="BodyText"/>
    <w:uiPriority w:val="99"/>
    <w:rsid w:val="000B13A7"/>
    <w:rPr>
      <w:rFonts w:ascii="Arial" w:hAnsi="Arial"/>
    </w:rPr>
  </w:style>
  <w:style w:type="paragraph" w:styleId="NormalWeb">
    <w:name w:val="Normal (Web)"/>
    <w:basedOn w:val="Normal"/>
    <w:uiPriority w:val="99"/>
    <w:semiHidden/>
    <w:unhideWhenUsed/>
    <w:rsid w:val="00BD0578"/>
    <w:pPr>
      <w:spacing w:before="0" w:after="240" w:line="288" w:lineRule="auto"/>
      <w:jc w:val="both"/>
    </w:pPr>
    <w:rPr>
      <w:rFonts w:ascii="Times New Roman" w:eastAsia="Calibri" w:hAnsi="Times New Roman" w:cs="Times New Roman"/>
      <w:sz w:val="24"/>
      <w:szCs w:val="24"/>
    </w:rPr>
  </w:style>
  <w:style w:type="paragraph" w:styleId="BlockText">
    <w:name w:val="Block Text"/>
    <w:basedOn w:val="Normal"/>
    <w:uiPriority w:val="99"/>
    <w:unhideWhenUsed/>
    <w:rsid w:val="00BD0578"/>
    <w:pPr>
      <w:pBdr>
        <w:top w:val="single" w:sz="2" w:space="10" w:color="2F002F" w:themeColor="accent1" w:shadow="1" w:frame="1"/>
        <w:left w:val="single" w:sz="2" w:space="10" w:color="2F002F" w:themeColor="accent1" w:shadow="1" w:frame="1"/>
        <w:bottom w:val="single" w:sz="2" w:space="10" w:color="2F002F" w:themeColor="accent1" w:shadow="1" w:frame="1"/>
        <w:right w:val="single" w:sz="2" w:space="10" w:color="2F002F" w:themeColor="accent1" w:shadow="1" w:frame="1"/>
      </w:pBdr>
      <w:ind w:left="1152" w:right="1152"/>
    </w:pPr>
    <w:rPr>
      <w:rFonts w:asciiTheme="minorHAnsi" w:eastAsiaTheme="minorEastAsia" w:hAnsiTheme="minorHAnsi"/>
      <w:i/>
      <w:iCs/>
      <w:color w:val="2F002F"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980574">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1060451">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649023601">
      <w:bodyDiv w:val="1"/>
      <w:marLeft w:val="0"/>
      <w:marRight w:val="0"/>
      <w:marTop w:val="0"/>
      <w:marBottom w:val="0"/>
      <w:divBdr>
        <w:top w:val="none" w:sz="0" w:space="0" w:color="auto"/>
        <w:left w:val="none" w:sz="0" w:space="0" w:color="auto"/>
        <w:bottom w:val="none" w:sz="0" w:space="0" w:color="auto"/>
        <w:right w:val="none" w:sz="0" w:space="0" w:color="auto"/>
      </w:divBdr>
    </w:div>
    <w:div w:id="773207770">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7266711">
      <w:bodyDiv w:val="1"/>
      <w:marLeft w:val="0"/>
      <w:marRight w:val="0"/>
      <w:marTop w:val="0"/>
      <w:marBottom w:val="0"/>
      <w:divBdr>
        <w:top w:val="none" w:sz="0" w:space="0" w:color="auto"/>
        <w:left w:val="none" w:sz="0" w:space="0" w:color="auto"/>
        <w:bottom w:val="none" w:sz="0" w:space="0" w:color="auto"/>
        <w:right w:val="none" w:sz="0" w:space="0" w:color="auto"/>
      </w:divBdr>
    </w:div>
    <w:div w:id="1321692313">
      <w:bodyDiv w:val="1"/>
      <w:marLeft w:val="0"/>
      <w:marRight w:val="0"/>
      <w:marTop w:val="0"/>
      <w:marBottom w:val="0"/>
      <w:divBdr>
        <w:top w:val="none" w:sz="0" w:space="0" w:color="auto"/>
        <w:left w:val="none" w:sz="0" w:space="0" w:color="auto"/>
        <w:bottom w:val="none" w:sz="0" w:space="0" w:color="auto"/>
        <w:right w:val="none" w:sz="0" w:space="0" w:color="auto"/>
      </w:divBdr>
    </w:div>
    <w:div w:id="1512798962">
      <w:bodyDiv w:val="1"/>
      <w:marLeft w:val="0"/>
      <w:marRight w:val="0"/>
      <w:marTop w:val="0"/>
      <w:marBottom w:val="0"/>
      <w:divBdr>
        <w:top w:val="none" w:sz="0" w:space="0" w:color="auto"/>
        <w:left w:val="none" w:sz="0" w:space="0" w:color="auto"/>
        <w:bottom w:val="none" w:sz="0" w:space="0" w:color="auto"/>
        <w:right w:val="none" w:sz="0" w:space="0" w:color="auto"/>
      </w:divBdr>
    </w:div>
    <w:div w:id="1600215425">
      <w:bodyDiv w:val="1"/>
      <w:marLeft w:val="0"/>
      <w:marRight w:val="0"/>
      <w:marTop w:val="0"/>
      <w:marBottom w:val="0"/>
      <w:divBdr>
        <w:top w:val="none" w:sz="0" w:space="0" w:color="auto"/>
        <w:left w:val="none" w:sz="0" w:space="0" w:color="auto"/>
        <w:bottom w:val="none" w:sz="0" w:space="0" w:color="auto"/>
        <w:right w:val="none" w:sz="0" w:space="0" w:color="auto"/>
      </w:divBdr>
    </w:div>
    <w:div w:id="1673140006">
      <w:bodyDiv w:val="1"/>
      <w:marLeft w:val="0"/>
      <w:marRight w:val="0"/>
      <w:marTop w:val="0"/>
      <w:marBottom w:val="0"/>
      <w:divBdr>
        <w:top w:val="none" w:sz="0" w:space="0" w:color="auto"/>
        <w:left w:val="none" w:sz="0" w:space="0" w:color="auto"/>
        <w:bottom w:val="none" w:sz="0" w:space="0" w:color="auto"/>
        <w:right w:val="none" w:sz="0" w:space="0" w:color="auto"/>
      </w:divBdr>
    </w:div>
    <w:div w:id="1686592940">
      <w:bodyDiv w:val="1"/>
      <w:marLeft w:val="0"/>
      <w:marRight w:val="0"/>
      <w:marTop w:val="0"/>
      <w:marBottom w:val="0"/>
      <w:divBdr>
        <w:top w:val="none" w:sz="0" w:space="0" w:color="auto"/>
        <w:left w:val="none" w:sz="0" w:space="0" w:color="auto"/>
        <w:bottom w:val="none" w:sz="0" w:space="0" w:color="auto"/>
        <w:right w:val="none" w:sz="0" w:space="0" w:color="auto"/>
      </w:divBdr>
    </w:div>
    <w:div w:id="192914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hyperlink" Target="https://www.aer.gov.au/system/files/AER%20-%20Preliminary%20decision%20Energex%20distribution%20determination%20-%20Attachment%207%20-%20Opex%20-%20April%202015.pdf" TargetMode="Externa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accc.gov.au/system/files/Working%20paper%20no.%206%20%20-%20Benchmarking%20energy%20networks.pdf" TargetMode="External"/><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hyperlink" Target="https://www.aer.gov.au/system/files/AER%20%E2%80%93%20Draft%20decision%20Endeavour%20Energy%20distribution%20determination%20%E2%80%93%20Attachment%207%20%E2%80%93%20%20Operating%20expenditure%20%E2%80%93%20November%202014.pdf" TargetMode="External"/><Relationship Id="rId33" Type="http://schemas.openxmlformats.org/officeDocument/2006/relationships/image" Target="media/image13.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www.aer.gov.au/system/files/Economic%20Insights%20-%20Response%20to%20consultants%20%20reports%20on%20AER%20economic%20benchmarking%20-%20April%202015_1.PDF" TargetMode="External"/><Relationship Id="rId29" Type="http://schemas.openxmlformats.org/officeDocument/2006/relationships/image" Target="media/image9.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ERInquiry@aer.gov.au" TargetMode="External"/><Relationship Id="rId24" Type="http://schemas.openxmlformats.org/officeDocument/2006/relationships/hyperlink" Target="https://www.aer.gov.au/system/files/AER%20-%20Final%20decision%20Endeavour%20Energy%20distribution%20determination%20-%20Attachment%207%20-%20Operating%20expenditure%20-%20April%202015.pdf" TargetMode="External"/><Relationship Id="rId32" Type="http://schemas.openxmlformats.org/officeDocument/2006/relationships/image" Target="media/image12.emf"/><Relationship Id="rId37" Type="http://schemas.openxmlformats.org/officeDocument/2006/relationships/footer" Target="footer2.xml"/><Relationship Id="rId40" Type="http://schemas.openxmlformats.org/officeDocument/2006/relationships/fontTable" Target="fontTable.xml"/><Relationship Id="rId45"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s://www.accc.gov.au/system/files/Cost%20benchmarking%20in%20energy%20regulation%20in%20European%20countries%20-%20WIK-Consult.pdf" TargetMode="External"/><Relationship Id="rId28" Type="http://schemas.openxmlformats.org/officeDocument/2006/relationships/image" Target="media/image8.emf"/><Relationship Id="rId36"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hyperlink" Target="https://www.aer.gov.au/system/files/Economic%20Insights%20%E2%80%93%20%20Economic%20benchmarking%20assessment%20of%20operating%20expenditure%20for%20NSW%20and%20ACT%20Electricity%20DNSPs%20%E2%80%93%2017%20November%202014_1.PDF" TargetMode="Externa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s://www.accc.gov.au/system/files/Regulatory%20practices%20in%20other%20countries%20-%20Benchmarking%20opex%20and%20capex%20in%20energy%20networks.pdf" TargetMode="External"/><Relationship Id="rId27" Type="http://schemas.openxmlformats.org/officeDocument/2006/relationships/hyperlink" Target="https://www.aer.gov.au/system/files/AER%20-%20Preliminary%20decision%20Ergon%20Energy%20-%20Attachment%207%20-%20Opex%20-%20April%202015_0.pdf" TargetMode="External"/><Relationship Id="rId30" Type="http://schemas.openxmlformats.org/officeDocument/2006/relationships/image" Target="media/image10.emf"/><Relationship Id="rId35" Type="http://schemas.openxmlformats.org/officeDocument/2006/relationships/image" Target="media/image15.png"/></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05361-20FE-46A5-A46F-639C1878F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5A8E763D</Template>
  <TotalTime>0</TotalTime>
  <Pages>37</Pages>
  <Words>8305</Words>
  <Characters>47341</Characters>
  <Application>Microsoft Office Word</Application>
  <DocSecurity>4</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2015-12-01T05:07:00Z</dcterms:created>
  <dcterms:modified xsi:type="dcterms:W3CDTF">2015-12-01T05:07:00Z</dcterms:modified>
</cp:coreProperties>
</file>