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25538598"/>
        <w:docPartObj>
          <w:docPartGallery w:val="Cover Pages"/>
          <w:docPartUnique/>
        </w:docPartObj>
      </w:sdtPr>
      <w:sdtEndPr>
        <w:rPr>
          <w:noProof/>
          <w:lang w:eastAsia="en-AU"/>
        </w:rPr>
      </w:sdtEndPr>
      <w:sdtContent>
        <w:p w14:paraId="11739B29" w14:textId="77777777" w:rsidR="008F7448" w:rsidRPr="00FA042E" w:rsidRDefault="008F7448" w:rsidP="008F7448">
          <w:r w:rsidRPr="00FA042E">
            <w:rPr>
              <w:noProof/>
              <w:lang w:eastAsia="en-AU"/>
            </w:rPr>
            <w:drawing>
              <wp:anchor distT="0" distB="0" distL="114300" distR="114300" simplePos="0" relativeHeight="251659264" behindDoc="1" locked="0" layoutInCell="1" allowOverlap="1" wp14:anchorId="56EA0C6D" wp14:editId="28862386">
                <wp:simplePos x="0" y="0"/>
                <wp:positionH relativeFrom="column">
                  <wp:posOffset>-1133857</wp:posOffset>
                </wp:positionH>
                <wp:positionV relativeFrom="paragraph">
                  <wp:posOffset>-1044346</wp:posOffset>
                </wp:positionV>
                <wp:extent cx="7798003" cy="107019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9180" cy="10703560"/>
                        </a:xfrm>
                        <a:prstGeom prst="rect">
                          <a:avLst/>
                        </a:prstGeom>
                        <a:noFill/>
                      </pic:spPr>
                    </pic:pic>
                  </a:graphicData>
                </a:graphic>
                <wp14:sizeRelH relativeFrom="page">
                  <wp14:pctWidth>0</wp14:pctWidth>
                </wp14:sizeRelH>
                <wp14:sizeRelV relativeFrom="page">
                  <wp14:pctHeight>0</wp14:pctHeight>
                </wp14:sizeRelV>
              </wp:anchor>
            </w:drawing>
          </w:r>
        </w:p>
        <w:p w14:paraId="1B141BFC" w14:textId="77777777" w:rsidR="008F7448" w:rsidRPr="00FA042E" w:rsidRDefault="008F7448" w:rsidP="008F7448"/>
        <w:p w14:paraId="6D824CD7" w14:textId="77777777" w:rsidR="008F7448" w:rsidRPr="00FA042E" w:rsidRDefault="008F7448" w:rsidP="008F7448"/>
        <w:p w14:paraId="3ACABA15" w14:textId="77777777" w:rsidR="008F7448" w:rsidRPr="00FA042E" w:rsidRDefault="008F7448" w:rsidP="008F7448"/>
        <w:p w14:paraId="0E5199B7" w14:textId="77777777" w:rsidR="008F7448" w:rsidRPr="00FA042E" w:rsidRDefault="008F7448" w:rsidP="008F7448"/>
        <w:p w14:paraId="6B82AC0A" w14:textId="77777777" w:rsidR="008F7448" w:rsidRPr="00FA042E" w:rsidRDefault="008F7448" w:rsidP="008F7448"/>
        <w:p w14:paraId="0F0EDC12" w14:textId="77777777" w:rsidR="008F7448" w:rsidRPr="00FA042E" w:rsidRDefault="008F7448" w:rsidP="008F7448"/>
        <w:p w14:paraId="481D4953" w14:textId="77777777" w:rsidR="008F7448" w:rsidRPr="00FA042E" w:rsidRDefault="008F7448" w:rsidP="008F7448"/>
        <w:p w14:paraId="2692C421" w14:textId="77777777" w:rsidR="008F7448" w:rsidRPr="00FA042E" w:rsidRDefault="008F7448" w:rsidP="008F7448"/>
        <w:p w14:paraId="677AEAB2" w14:textId="641C3A81" w:rsidR="008F7448" w:rsidRPr="00FA042E" w:rsidRDefault="008F7448" w:rsidP="008F7448">
          <w:pPr>
            <w:pStyle w:val="ReportTitle"/>
          </w:pPr>
          <w:r>
            <w:t>Financial Reporting Guideline for Non-Scheme Pipelines</w:t>
          </w:r>
        </w:p>
        <w:p w14:paraId="718A9E28" w14:textId="77777777" w:rsidR="008F7448" w:rsidRPr="00FA042E" w:rsidRDefault="008F7448" w:rsidP="008F7448">
          <w:pPr>
            <w:pStyle w:val="ReportDate"/>
          </w:pPr>
          <w:r>
            <w:t>December</w:t>
          </w:r>
          <w:r w:rsidRPr="00FA042E">
            <w:t xml:space="preserve"> 201</w:t>
          </w:r>
          <w:r>
            <w:t>7</w:t>
          </w:r>
        </w:p>
        <w:p w14:paraId="6DE24928" w14:textId="77777777" w:rsidR="008F7448" w:rsidRPr="00FA042E" w:rsidRDefault="008F7448" w:rsidP="008F7448">
          <w:r w:rsidRPr="00FA042E">
            <w:br w:type="page"/>
          </w:r>
        </w:p>
        <w:p w14:paraId="2595716E" w14:textId="2B3A41A9" w:rsidR="00F17C79" w:rsidRDefault="00F17C79">
          <w:pPr>
            <w:spacing w:line="240" w:lineRule="auto"/>
            <w:rPr>
              <w:noProof/>
              <w:lang w:eastAsia="en-AU"/>
            </w:rPr>
          </w:pPr>
          <w:r>
            <w:rPr>
              <w:noProof/>
              <w:lang w:eastAsia="en-AU"/>
            </w:rPr>
            <w:lastRenderedPageBreak/>
            <w:br w:type="page"/>
          </w:r>
        </w:p>
      </w:sdtContent>
    </w:sdt>
    <w:p w14:paraId="61D6126A" w14:textId="77777777" w:rsidR="008F7448" w:rsidRDefault="008F7448" w:rsidP="008F7448">
      <w:pPr>
        <w:pStyle w:val="Copyright"/>
      </w:pPr>
      <w:r>
        <w:lastRenderedPageBreak/>
        <w:t>© Commonwealth of Australia 2017</w:t>
      </w:r>
    </w:p>
    <w:p w14:paraId="6C8D527C" w14:textId="77777777" w:rsidR="008F7448" w:rsidRDefault="008F7448" w:rsidP="008F7448">
      <w:pPr>
        <w:pStyle w:val="Copyright"/>
      </w:pPr>
      <w:r>
        <w:t>This work is copyright. In addition to any use permitted under the Copyright Act 1968, all material contained within this work is provided under a Creative Commons Attributions 3.0 Australia licence, with the exception of:</w:t>
      </w:r>
    </w:p>
    <w:p w14:paraId="04A2410F" w14:textId="77777777" w:rsidR="008F7448" w:rsidRDefault="008F7448" w:rsidP="00685983">
      <w:pPr>
        <w:pStyle w:val="StyleCopyrightBefore0pt"/>
        <w:numPr>
          <w:ilvl w:val="0"/>
          <w:numId w:val="30"/>
        </w:numPr>
      </w:pPr>
      <w:r>
        <w:t>the Commonwealth Coat of Arms</w:t>
      </w:r>
    </w:p>
    <w:p w14:paraId="5FA6800A" w14:textId="77777777" w:rsidR="008F7448" w:rsidRDefault="008F7448" w:rsidP="00685983">
      <w:pPr>
        <w:pStyle w:val="StyleCopyrightBefore0pt"/>
        <w:numPr>
          <w:ilvl w:val="0"/>
          <w:numId w:val="30"/>
        </w:numPr>
      </w:pPr>
      <w:r>
        <w:t>the ACCC and AER logos</w:t>
      </w:r>
    </w:p>
    <w:p w14:paraId="118AE431" w14:textId="77777777" w:rsidR="008F7448" w:rsidRPr="00B927D8" w:rsidRDefault="008F7448" w:rsidP="00685983">
      <w:pPr>
        <w:pStyle w:val="ListBullet"/>
        <w:numPr>
          <w:ilvl w:val="0"/>
          <w:numId w:val="30"/>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1860D623" w14:textId="77777777" w:rsidR="008F7448" w:rsidRDefault="008F7448" w:rsidP="008F7448">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3131, </w:t>
      </w:r>
      <w:r>
        <w:br/>
        <w:t xml:space="preserve">Canberra ACT 2601 </w:t>
      </w:r>
      <w:r>
        <w:br/>
        <w:t>or publishing.unit@accc.gov.au.</w:t>
      </w:r>
    </w:p>
    <w:p w14:paraId="5603C83E" w14:textId="77777777" w:rsidR="008F7448" w:rsidRDefault="008F7448" w:rsidP="008F7448">
      <w:pPr>
        <w:pStyle w:val="Copyright"/>
      </w:pPr>
      <w:r>
        <w:t>Inquiries about this publication should be addressed to:</w:t>
      </w:r>
    </w:p>
    <w:p w14:paraId="6A25CFF5" w14:textId="77777777" w:rsidR="008F7448" w:rsidRDefault="008F7448" w:rsidP="008F7448">
      <w:pPr>
        <w:pStyle w:val="Copyright"/>
      </w:pPr>
      <w:r>
        <w:t xml:space="preserve">Australian Energy </w:t>
      </w:r>
      <w:r w:rsidRPr="00F171E0">
        <w:t>Regulator</w:t>
      </w:r>
      <w:r>
        <w:br/>
        <w:t>GPO Box 520</w:t>
      </w:r>
      <w:r>
        <w:br/>
        <w:t>Melbourne  Vic  3001</w:t>
      </w:r>
    </w:p>
    <w:p w14:paraId="47A7D740" w14:textId="77777777" w:rsidR="008F7448" w:rsidRDefault="008F7448" w:rsidP="008F7448">
      <w:pPr>
        <w:pStyle w:val="Copyright"/>
      </w:pPr>
      <w:r>
        <w:t>Tel: 1300 585165</w:t>
      </w:r>
    </w:p>
    <w:p w14:paraId="0CF985A6" w14:textId="77777777" w:rsidR="008F7448" w:rsidRPr="00951978" w:rsidRDefault="008F7448" w:rsidP="008F7448">
      <w:pPr>
        <w:pStyle w:val="Copyright"/>
        <w:rPr>
          <w:color w:val="0000FF"/>
          <w:sz w:val="22"/>
          <w:u w:val="single"/>
        </w:rPr>
      </w:pPr>
      <w:r>
        <w:t xml:space="preserve">Email: </w:t>
      </w:r>
      <w:hyperlink r:id="rId11" w:history="1">
        <w:r w:rsidRPr="00D64888">
          <w:rPr>
            <w:rStyle w:val="Hyperlink"/>
          </w:rPr>
          <w:t>AERInquiry@aer.gov.au</w:t>
        </w:r>
      </w:hyperlink>
      <w:r>
        <w:rPr>
          <w:rStyle w:val="Hyperlink"/>
        </w:rPr>
        <w:br/>
      </w:r>
      <w:r>
        <w:t>AER Reference: 62617</w:t>
      </w:r>
    </w:p>
    <w:p w14:paraId="5B88EB26" w14:textId="77777777" w:rsidR="008F7448" w:rsidRDefault="008F7448" w:rsidP="008F7448"/>
    <w:p w14:paraId="2EB1F356" w14:textId="77777777" w:rsidR="008F7448" w:rsidRPr="00C569B4" w:rsidRDefault="008F7448" w:rsidP="008F7448">
      <w:r w:rsidRPr="00C569B4">
        <w:t>Amendment Record</w:t>
      </w:r>
    </w:p>
    <w:tbl>
      <w:tblPr>
        <w:tblStyle w:val="AERTable-Text"/>
        <w:tblW w:w="0" w:type="auto"/>
        <w:tblLook w:val="04A0" w:firstRow="1" w:lastRow="0" w:firstColumn="1" w:lastColumn="0" w:noHBand="0" w:noVBand="1"/>
      </w:tblPr>
      <w:tblGrid>
        <w:gridCol w:w="3080"/>
        <w:gridCol w:w="3081"/>
        <w:gridCol w:w="3081"/>
      </w:tblGrid>
      <w:tr w:rsidR="008F7448" w14:paraId="7501B913" w14:textId="77777777" w:rsidTr="00974A6C">
        <w:trPr>
          <w:cnfStyle w:val="100000000000" w:firstRow="1" w:lastRow="0" w:firstColumn="0" w:lastColumn="0" w:oddVBand="0" w:evenVBand="0" w:oddHBand="0" w:evenHBand="0" w:firstRowFirstColumn="0" w:firstRowLastColumn="0" w:lastRowFirstColumn="0" w:lastRowLastColumn="0"/>
        </w:trPr>
        <w:tc>
          <w:tcPr>
            <w:tcW w:w="3080" w:type="dxa"/>
          </w:tcPr>
          <w:p w14:paraId="7BD0FE9C" w14:textId="77777777" w:rsidR="008F7448" w:rsidRDefault="008F7448" w:rsidP="00974A6C">
            <w:r>
              <w:t>Version</w:t>
            </w:r>
          </w:p>
        </w:tc>
        <w:tc>
          <w:tcPr>
            <w:tcW w:w="3081" w:type="dxa"/>
          </w:tcPr>
          <w:p w14:paraId="1BC494BE" w14:textId="77777777" w:rsidR="008F7448" w:rsidRDefault="008F7448" w:rsidP="00974A6C">
            <w:r>
              <w:t>Date</w:t>
            </w:r>
          </w:p>
        </w:tc>
        <w:tc>
          <w:tcPr>
            <w:tcW w:w="3081" w:type="dxa"/>
          </w:tcPr>
          <w:p w14:paraId="5F8B106B" w14:textId="77777777" w:rsidR="008F7448" w:rsidRDefault="008F7448" w:rsidP="00974A6C">
            <w:r>
              <w:t>Pages</w:t>
            </w:r>
          </w:p>
        </w:tc>
      </w:tr>
      <w:tr w:rsidR="008F7448" w14:paraId="390C5BB1" w14:textId="77777777" w:rsidTr="00974A6C">
        <w:tc>
          <w:tcPr>
            <w:tcW w:w="3080" w:type="dxa"/>
          </w:tcPr>
          <w:p w14:paraId="5E2616CB" w14:textId="77777777" w:rsidR="008F7448" w:rsidRDefault="008F7448" w:rsidP="00974A6C">
            <w:pPr>
              <w:spacing w:before="0" w:after="200"/>
            </w:pPr>
            <w:r>
              <w:t>1.0</w:t>
            </w:r>
          </w:p>
        </w:tc>
        <w:tc>
          <w:tcPr>
            <w:tcW w:w="3081" w:type="dxa"/>
          </w:tcPr>
          <w:p w14:paraId="7645648D" w14:textId="26E44D7F" w:rsidR="008F7448" w:rsidRDefault="008F7448" w:rsidP="00192C7D">
            <w:pPr>
              <w:spacing w:before="0" w:after="200"/>
            </w:pPr>
            <w:r>
              <w:t>1</w:t>
            </w:r>
            <w:r w:rsidR="00192C7D">
              <w:t>9</w:t>
            </w:r>
            <w:r>
              <w:t xml:space="preserve"> December 2017</w:t>
            </w:r>
          </w:p>
        </w:tc>
        <w:tc>
          <w:tcPr>
            <w:tcW w:w="3081" w:type="dxa"/>
          </w:tcPr>
          <w:p w14:paraId="5F2F6A42" w14:textId="3DF6F528" w:rsidR="008F7448" w:rsidRPr="001C2893" w:rsidRDefault="00253E06" w:rsidP="00390B69">
            <w:pPr>
              <w:spacing w:before="0" w:after="200"/>
              <w:rPr>
                <w:highlight w:val="yellow"/>
              </w:rPr>
            </w:pPr>
            <w:r w:rsidRPr="00253E06">
              <w:t>3</w:t>
            </w:r>
            <w:r w:rsidR="00390B69">
              <w:t>5</w:t>
            </w:r>
          </w:p>
        </w:tc>
      </w:tr>
    </w:tbl>
    <w:p w14:paraId="5237BEB0" w14:textId="77777777" w:rsidR="008F7448" w:rsidRDefault="008F7448" w:rsidP="008F7448"/>
    <w:p w14:paraId="10608CE8" w14:textId="630A5926" w:rsidR="006C518B" w:rsidRDefault="006C518B">
      <w:pPr>
        <w:spacing w:line="240" w:lineRule="auto"/>
      </w:pPr>
      <w:r>
        <w:br w:type="page"/>
      </w:r>
    </w:p>
    <w:p w14:paraId="1F0B01D7" w14:textId="77777777" w:rsidR="006C518B" w:rsidRDefault="006C518B" w:rsidP="008F7448"/>
    <w:p w14:paraId="61039070" w14:textId="77777777" w:rsidR="00F17C79" w:rsidRDefault="00F17C79" w:rsidP="008F7448">
      <w:pPr>
        <w:spacing w:line="240" w:lineRule="auto"/>
        <w:sectPr w:rsidR="00F17C79" w:rsidSect="00CB69FA">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8" w:footer="708" w:gutter="0"/>
          <w:pgNumType w:start="1"/>
          <w:cols w:space="708"/>
          <w:titlePg/>
          <w:docGrid w:linePitch="360"/>
        </w:sectPr>
      </w:pPr>
    </w:p>
    <w:bookmarkStart w:id="1" w:name="_Toc499898208" w:displacedByCustomXml="next"/>
    <w:bookmarkStart w:id="2" w:name="_Toc213047617" w:displacedByCustomXml="next"/>
    <w:sdt>
      <w:sdtPr>
        <w:rPr>
          <w:rFonts w:ascii="Arial" w:eastAsiaTheme="minorHAnsi" w:hAnsi="Arial" w:cstheme="minorBidi"/>
          <w:bCs w:val="0"/>
          <w:color w:val="auto"/>
          <w:sz w:val="22"/>
          <w:szCs w:val="22"/>
          <w:lang w:val="en-AU" w:eastAsia="en-US"/>
        </w:rPr>
        <w:id w:val="629754416"/>
        <w:docPartObj>
          <w:docPartGallery w:val="Table of Contents"/>
          <w:docPartUnique/>
        </w:docPartObj>
      </w:sdtPr>
      <w:sdtEndPr>
        <w:rPr>
          <w:b/>
          <w:noProof/>
        </w:rPr>
      </w:sdtEndPr>
      <w:sdtContent>
        <w:p w14:paraId="70F8F44B" w14:textId="5A783D63" w:rsidR="00FA18DF" w:rsidRDefault="00FA18DF" w:rsidP="00192C7D">
          <w:pPr>
            <w:pStyle w:val="TOCHeading"/>
            <w:spacing w:before="0" w:after="0"/>
          </w:pPr>
          <w:r>
            <w:t>Contents</w:t>
          </w:r>
        </w:p>
        <w:p w14:paraId="71A45C50" w14:textId="77777777" w:rsidR="00192C7D" w:rsidRDefault="00FA18DF" w:rsidP="00192C7D">
          <w:pPr>
            <w:pStyle w:val="TOC1"/>
            <w:rPr>
              <w:rFonts w:asciiTheme="minorHAnsi" w:eastAsiaTheme="minorEastAsia" w:hAnsiTheme="minorHAnsi"/>
              <w:lang w:val="en-AU" w:eastAsia="en-AU"/>
            </w:rPr>
          </w:pPr>
          <w:r>
            <w:fldChar w:fldCharType="begin"/>
          </w:r>
          <w:r>
            <w:instrText xml:space="preserve"> TOC \o "1-3" \h \z \u </w:instrText>
          </w:r>
          <w:r>
            <w:fldChar w:fldCharType="separate"/>
          </w:r>
          <w:hyperlink w:anchor="_Toc501379499" w:history="1">
            <w:r w:rsidR="00192C7D" w:rsidRPr="00B029E6">
              <w:rPr>
                <w:rStyle w:val="Hyperlink"/>
              </w:rPr>
              <w:t>1</w:t>
            </w:r>
            <w:r w:rsidR="00192C7D">
              <w:rPr>
                <w:rFonts w:asciiTheme="minorHAnsi" w:eastAsiaTheme="minorEastAsia" w:hAnsiTheme="minorHAnsi"/>
                <w:lang w:val="en-AU" w:eastAsia="en-AU"/>
              </w:rPr>
              <w:tab/>
            </w:r>
            <w:r w:rsidR="00192C7D" w:rsidRPr="00B029E6">
              <w:rPr>
                <w:rStyle w:val="Hyperlink"/>
              </w:rPr>
              <w:t>Nature and authority</w:t>
            </w:r>
            <w:r w:rsidR="00192C7D">
              <w:rPr>
                <w:webHidden/>
              </w:rPr>
              <w:tab/>
            </w:r>
            <w:r w:rsidR="00192C7D">
              <w:rPr>
                <w:webHidden/>
              </w:rPr>
              <w:fldChar w:fldCharType="begin"/>
            </w:r>
            <w:r w:rsidR="00192C7D">
              <w:rPr>
                <w:webHidden/>
              </w:rPr>
              <w:instrText xml:space="preserve"> PAGEREF _Toc501379499 \h </w:instrText>
            </w:r>
            <w:r w:rsidR="00192C7D">
              <w:rPr>
                <w:webHidden/>
              </w:rPr>
            </w:r>
            <w:r w:rsidR="00192C7D">
              <w:rPr>
                <w:webHidden/>
              </w:rPr>
              <w:fldChar w:fldCharType="separate"/>
            </w:r>
            <w:r w:rsidR="00EB411F">
              <w:rPr>
                <w:webHidden/>
              </w:rPr>
              <w:t>1</w:t>
            </w:r>
            <w:r w:rsidR="00192C7D">
              <w:rPr>
                <w:webHidden/>
              </w:rPr>
              <w:fldChar w:fldCharType="end"/>
            </w:r>
          </w:hyperlink>
        </w:p>
        <w:p w14:paraId="49764D9E" w14:textId="77777777" w:rsidR="00192C7D" w:rsidRDefault="00BA13D2">
          <w:pPr>
            <w:pStyle w:val="TOC2"/>
            <w:rPr>
              <w:rFonts w:asciiTheme="minorHAnsi" w:eastAsiaTheme="minorEastAsia" w:hAnsiTheme="minorHAnsi"/>
              <w:lang w:eastAsia="en-AU"/>
            </w:rPr>
          </w:pPr>
          <w:hyperlink w:anchor="_Toc501379500" w:history="1">
            <w:r w:rsidR="00192C7D" w:rsidRPr="00B029E6">
              <w:rPr>
                <w:rStyle w:val="Hyperlink"/>
              </w:rPr>
              <w:t>1.1</w:t>
            </w:r>
            <w:r w:rsidR="00192C7D">
              <w:rPr>
                <w:rFonts w:asciiTheme="minorHAnsi" w:eastAsiaTheme="minorEastAsia" w:hAnsiTheme="minorHAnsi"/>
                <w:lang w:eastAsia="en-AU"/>
              </w:rPr>
              <w:tab/>
            </w:r>
            <w:r w:rsidR="00192C7D" w:rsidRPr="00B029E6">
              <w:rPr>
                <w:rStyle w:val="Hyperlink"/>
              </w:rPr>
              <w:t>Introduction</w:t>
            </w:r>
            <w:r w:rsidR="00192C7D">
              <w:rPr>
                <w:webHidden/>
              </w:rPr>
              <w:tab/>
            </w:r>
            <w:r w:rsidR="00192C7D">
              <w:rPr>
                <w:webHidden/>
              </w:rPr>
              <w:fldChar w:fldCharType="begin"/>
            </w:r>
            <w:r w:rsidR="00192C7D">
              <w:rPr>
                <w:webHidden/>
              </w:rPr>
              <w:instrText xml:space="preserve"> PAGEREF _Toc501379500 \h </w:instrText>
            </w:r>
            <w:r w:rsidR="00192C7D">
              <w:rPr>
                <w:webHidden/>
              </w:rPr>
            </w:r>
            <w:r w:rsidR="00192C7D">
              <w:rPr>
                <w:webHidden/>
              </w:rPr>
              <w:fldChar w:fldCharType="separate"/>
            </w:r>
            <w:r w:rsidR="00EB411F">
              <w:rPr>
                <w:webHidden/>
              </w:rPr>
              <w:t>1</w:t>
            </w:r>
            <w:r w:rsidR="00192C7D">
              <w:rPr>
                <w:webHidden/>
              </w:rPr>
              <w:fldChar w:fldCharType="end"/>
            </w:r>
          </w:hyperlink>
        </w:p>
        <w:p w14:paraId="5A8C7718" w14:textId="77777777" w:rsidR="00192C7D" w:rsidRDefault="00BA13D2">
          <w:pPr>
            <w:pStyle w:val="TOC2"/>
            <w:rPr>
              <w:rFonts w:asciiTheme="minorHAnsi" w:eastAsiaTheme="minorEastAsia" w:hAnsiTheme="minorHAnsi"/>
              <w:lang w:eastAsia="en-AU"/>
            </w:rPr>
          </w:pPr>
          <w:hyperlink w:anchor="_Toc501379501" w:history="1">
            <w:r w:rsidR="00192C7D" w:rsidRPr="00B029E6">
              <w:rPr>
                <w:rStyle w:val="Hyperlink"/>
              </w:rPr>
              <w:t>1.2</w:t>
            </w:r>
            <w:r w:rsidR="00192C7D">
              <w:rPr>
                <w:rFonts w:asciiTheme="minorHAnsi" w:eastAsiaTheme="minorEastAsia" w:hAnsiTheme="minorHAnsi"/>
                <w:lang w:eastAsia="en-AU"/>
              </w:rPr>
              <w:tab/>
            </w:r>
            <w:r w:rsidR="00192C7D" w:rsidRPr="00B029E6">
              <w:rPr>
                <w:rStyle w:val="Hyperlink"/>
              </w:rPr>
              <w:t>Application of this Guideline</w:t>
            </w:r>
            <w:r w:rsidR="00192C7D">
              <w:rPr>
                <w:webHidden/>
              </w:rPr>
              <w:tab/>
            </w:r>
            <w:r w:rsidR="00192C7D">
              <w:rPr>
                <w:webHidden/>
              </w:rPr>
              <w:fldChar w:fldCharType="begin"/>
            </w:r>
            <w:r w:rsidR="00192C7D">
              <w:rPr>
                <w:webHidden/>
              </w:rPr>
              <w:instrText xml:space="preserve"> PAGEREF _Toc501379501 \h </w:instrText>
            </w:r>
            <w:r w:rsidR="00192C7D">
              <w:rPr>
                <w:webHidden/>
              </w:rPr>
            </w:r>
            <w:r w:rsidR="00192C7D">
              <w:rPr>
                <w:webHidden/>
              </w:rPr>
              <w:fldChar w:fldCharType="separate"/>
            </w:r>
            <w:r w:rsidR="00EB411F">
              <w:rPr>
                <w:webHidden/>
              </w:rPr>
              <w:t>2</w:t>
            </w:r>
            <w:r w:rsidR="00192C7D">
              <w:rPr>
                <w:webHidden/>
              </w:rPr>
              <w:fldChar w:fldCharType="end"/>
            </w:r>
          </w:hyperlink>
        </w:p>
        <w:p w14:paraId="59C1C59C" w14:textId="77777777" w:rsidR="00192C7D" w:rsidRDefault="00BA13D2">
          <w:pPr>
            <w:pStyle w:val="TOC3"/>
            <w:rPr>
              <w:rFonts w:asciiTheme="minorHAnsi" w:eastAsiaTheme="minorEastAsia" w:hAnsiTheme="minorHAnsi"/>
              <w:lang w:eastAsia="en-AU"/>
            </w:rPr>
          </w:pPr>
          <w:hyperlink w:anchor="_Toc501379502" w:history="1">
            <w:r w:rsidR="00192C7D" w:rsidRPr="00B029E6">
              <w:rPr>
                <w:rStyle w:val="Hyperlink"/>
              </w:rPr>
              <w:t>1.2.1</w:t>
            </w:r>
            <w:r w:rsidR="00192C7D">
              <w:rPr>
                <w:rFonts w:asciiTheme="minorHAnsi" w:eastAsiaTheme="minorEastAsia" w:hAnsiTheme="minorHAnsi"/>
                <w:lang w:eastAsia="en-AU"/>
              </w:rPr>
              <w:tab/>
            </w:r>
            <w:r w:rsidR="00192C7D" w:rsidRPr="00B029E6">
              <w:rPr>
                <w:rStyle w:val="Hyperlink"/>
              </w:rPr>
              <w:t>Legal framework</w:t>
            </w:r>
            <w:r w:rsidR="00192C7D">
              <w:rPr>
                <w:webHidden/>
              </w:rPr>
              <w:tab/>
            </w:r>
            <w:r w:rsidR="00192C7D">
              <w:rPr>
                <w:webHidden/>
              </w:rPr>
              <w:fldChar w:fldCharType="begin"/>
            </w:r>
            <w:r w:rsidR="00192C7D">
              <w:rPr>
                <w:webHidden/>
              </w:rPr>
              <w:instrText xml:space="preserve"> PAGEREF _Toc501379502 \h </w:instrText>
            </w:r>
            <w:r w:rsidR="00192C7D">
              <w:rPr>
                <w:webHidden/>
              </w:rPr>
            </w:r>
            <w:r w:rsidR="00192C7D">
              <w:rPr>
                <w:webHidden/>
              </w:rPr>
              <w:fldChar w:fldCharType="separate"/>
            </w:r>
            <w:r w:rsidR="00EB411F">
              <w:rPr>
                <w:webHidden/>
              </w:rPr>
              <w:t>2</w:t>
            </w:r>
            <w:r w:rsidR="00192C7D">
              <w:rPr>
                <w:webHidden/>
              </w:rPr>
              <w:fldChar w:fldCharType="end"/>
            </w:r>
          </w:hyperlink>
        </w:p>
        <w:p w14:paraId="79C6CF1B" w14:textId="77777777" w:rsidR="00192C7D" w:rsidRDefault="00BA13D2">
          <w:pPr>
            <w:pStyle w:val="TOC3"/>
            <w:rPr>
              <w:rFonts w:asciiTheme="minorHAnsi" w:eastAsiaTheme="minorEastAsia" w:hAnsiTheme="minorHAnsi"/>
              <w:lang w:eastAsia="en-AU"/>
            </w:rPr>
          </w:pPr>
          <w:hyperlink w:anchor="_Toc501379503" w:history="1">
            <w:r w:rsidR="00192C7D" w:rsidRPr="00B029E6">
              <w:rPr>
                <w:rStyle w:val="Hyperlink"/>
              </w:rPr>
              <w:t>1.2.2</w:t>
            </w:r>
            <w:r w:rsidR="00192C7D">
              <w:rPr>
                <w:rFonts w:asciiTheme="minorHAnsi" w:eastAsiaTheme="minorEastAsia" w:hAnsiTheme="minorHAnsi"/>
                <w:lang w:eastAsia="en-AU"/>
              </w:rPr>
              <w:tab/>
            </w:r>
            <w:r w:rsidR="00192C7D" w:rsidRPr="00B029E6">
              <w:rPr>
                <w:rStyle w:val="Hyperlink"/>
              </w:rPr>
              <w:t>The role of the AER</w:t>
            </w:r>
            <w:r w:rsidR="00192C7D">
              <w:rPr>
                <w:webHidden/>
              </w:rPr>
              <w:tab/>
            </w:r>
            <w:r w:rsidR="00192C7D">
              <w:rPr>
                <w:webHidden/>
              </w:rPr>
              <w:fldChar w:fldCharType="begin"/>
            </w:r>
            <w:r w:rsidR="00192C7D">
              <w:rPr>
                <w:webHidden/>
              </w:rPr>
              <w:instrText xml:space="preserve"> PAGEREF _Toc501379503 \h </w:instrText>
            </w:r>
            <w:r w:rsidR="00192C7D">
              <w:rPr>
                <w:webHidden/>
              </w:rPr>
            </w:r>
            <w:r w:rsidR="00192C7D">
              <w:rPr>
                <w:webHidden/>
              </w:rPr>
              <w:fldChar w:fldCharType="separate"/>
            </w:r>
            <w:r w:rsidR="00EB411F">
              <w:rPr>
                <w:webHidden/>
              </w:rPr>
              <w:t>2</w:t>
            </w:r>
            <w:r w:rsidR="00192C7D">
              <w:rPr>
                <w:webHidden/>
              </w:rPr>
              <w:fldChar w:fldCharType="end"/>
            </w:r>
          </w:hyperlink>
        </w:p>
        <w:p w14:paraId="5B042C0D" w14:textId="77777777" w:rsidR="00192C7D" w:rsidRDefault="00BA13D2">
          <w:pPr>
            <w:pStyle w:val="TOC3"/>
            <w:rPr>
              <w:rFonts w:asciiTheme="minorHAnsi" w:eastAsiaTheme="minorEastAsia" w:hAnsiTheme="minorHAnsi"/>
              <w:lang w:eastAsia="en-AU"/>
            </w:rPr>
          </w:pPr>
          <w:hyperlink w:anchor="_Toc501379504" w:history="1">
            <w:r w:rsidR="00192C7D" w:rsidRPr="00B029E6">
              <w:rPr>
                <w:rStyle w:val="Hyperlink"/>
              </w:rPr>
              <w:t>1.2.3</w:t>
            </w:r>
            <w:r w:rsidR="00192C7D">
              <w:rPr>
                <w:rFonts w:asciiTheme="minorHAnsi" w:eastAsiaTheme="minorEastAsia" w:hAnsiTheme="minorHAnsi"/>
                <w:lang w:eastAsia="en-AU"/>
              </w:rPr>
              <w:tab/>
            </w:r>
            <w:r w:rsidR="00192C7D" w:rsidRPr="00B029E6">
              <w:rPr>
                <w:rStyle w:val="Hyperlink"/>
              </w:rPr>
              <w:t>Commencement</w:t>
            </w:r>
            <w:r w:rsidR="00192C7D">
              <w:rPr>
                <w:webHidden/>
              </w:rPr>
              <w:tab/>
            </w:r>
            <w:r w:rsidR="00192C7D">
              <w:rPr>
                <w:webHidden/>
              </w:rPr>
              <w:fldChar w:fldCharType="begin"/>
            </w:r>
            <w:r w:rsidR="00192C7D">
              <w:rPr>
                <w:webHidden/>
              </w:rPr>
              <w:instrText xml:space="preserve"> PAGEREF _Toc501379504 \h </w:instrText>
            </w:r>
            <w:r w:rsidR="00192C7D">
              <w:rPr>
                <w:webHidden/>
              </w:rPr>
            </w:r>
            <w:r w:rsidR="00192C7D">
              <w:rPr>
                <w:webHidden/>
              </w:rPr>
              <w:fldChar w:fldCharType="separate"/>
            </w:r>
            <w:r w:rsidR="00EB411F">
              <w:rPr>
                <w:webHidden/>
              </w:rPr>
              <w:t>2</w:t>
            </w:r>
            <w:r w:rsidR="00192C7D">
              <w:rPr>
                <w:webHidden/>
              </w:rPr>
              <w:fldChar w:fldCharType="end"/>
            </w:r>
          </w:hyperlink>
        </w:p>
        <w:p w14:paraId="4A1AE87B" w14:textId="77777777" w:rsidR="00192C7D" w:rsidRDefault="00BA13D2">
          <w:pPr>
            <w:pStyle w:val="TOC3"/>
            <w:rPr>
              <w:rFonts w:asciiTheme="minorHAnsi" w:eastAsiaTheme="minorEastAsia" w:hAnsiTheme="minorHAnsi"/>
              <w:lang w:eastAsia="en-AU"/>
            </w:rPr>
          </w:pPr>
          <w:hyperlink w:anchor="_Toc501379505" w:history="1">
            <w:r w:rsidR="00192C7D" w:rsidRPr="00B029E6">
              <w:rPr>
                <w:rStyle w:val="Hyperlink"/>
              </w:rPr>
              <w:t>1.2.4</w:t>
            </w:r>
            <w:r w:rsidR="00192C7D">
              <w:rPr>
                <w:rFonts w:asciiTheme="minorHAnsi" w:eastAsiaTheme="minorEastAsia" w:hAnsiTheme="minorHAnsi"/>
                <w:lang w:eastAsia="en-AU"/>
              </w:rPr>
              <w:tab/>
            </w:r>
            <w:r w:rsidR="00192C7D" w:rsidRPr="00B029E6">
              <w:rPr>
                <w:rStyle w:val="Hyperlink"/>
              </w:rPr>
              <w:t>Application</w:t>
            </w:r>
            <w:r w:rsidR="00192C7D">
              <w:rPr>
                <w:webHidden/>
              </w:rPr>
              <w:tab/>
            </w:r>
            <w:r w:rsidR="00192C7D">
              <w:rPr>
                <w:webHidden/>
              </w:rPr>
              <w:fldChar w:fldCharType="begin"/>
            </w:r>
            <w:r w:rsidR="00192C7D">
              <w:rPr>
                <w:webHidden/>
              </w:rPr>
              <w:instrText xml:space="preserve"> PAGEREF _Toc501379505 \h </w:instrText>
            </w:r>
            <w:r w:rsidR="00192C7D">
              <w:rPr>
                <w:webHidden/>
              </w:rPr>
            </w:r>
            <w:r w:rsidR="00192C7D">
              <w:rPr>
                <w:webHidden/>
              </w:rPr>
              <w:fldChar w:fldCharType="separate"/>
            </w:r>
            <w:r w:rsidR="00EB411F">
              <w:rPr>
                <w:webHidden/>
              </w:rPr>
              <w:t>3</w:t>
            </w:r>
            <w:r w:rsidR="00192C7D">
              <w:rPr>
                <w:webHidden/>
              </w:rPr>
              <w:fldChar w:fldCharType="end"/>
            </w:r>
          </w:hyperlink>
        </w:p>
        <w:p w14:paraId="055596E5" w14:textId="77777777" w:rsidR="00192C7D" w:rsidRDefault="00BA13D2">
          <w:pPr>
            <w:pStyle w:val="TOC3"/>
            <w:rPr>
              <w:rFonts w:asciiTheme="minorHAnsi" w:eastAsiaTheme="minorEastAsia" w:hAnsiTheme="minorHAnsi"/>
              <w:lang w:eastAsia="en-AU"/>
            </w:rPr>
          </w:pPr>
          <w:hyperlink w:anchor="_Toc501379506" w:history="1">
            <w:r w:rsidR="00192C7D" w:rsidRPr="00B029E6">
              <w:rPr>
                <w:rStyle w:val="Hyperlink"/>
              </w:rPr>
              <w:t>1.2.5</w:t>
            </w:r>
            <w:r w:rsidR="00192C7D">
              <w:rPr>
                <w:rFonts w:asciiTheme="minorHAnsi" w:eastAsiaTheme="minorEastAsia" w:hAnsiTheme="minorHAnsi"/>
                <w:lang w:eastAsia="en-AU"/>
              </w:rPr>
              <w:tab/>
            </w:r>
            <w:r w:rsidR="00192C7D" w:rsidRPr="00B029E6">
              <w:rPr>
                <w:rStyle w:val="Hyperlink"/>
              </w:rPr>
              <w:t>Process for revisions</w:t>
            </w:r>
            <w:r w:rsidR="00192C7D">
              <w:rPr>
                <w:webHidden/>
              </w:rPr>
              <w:tab/>
            </w:r>
            <w:r w:rsidR="00192C7D">
              <w:rPr>
                <w:webHidden/>
              </w:rPr>
              <w:fldChar w:fldCharType="begin"/>
            </w:r>
            <w:r w:rsidR="00192C7D">
              <w:rPr>
                <w:webHidden/>
              </w:rPr>
              <w:instrText xml:space="preserve"> PAGEREF _Toc501379506 \h </w:instrText>
            </w:r>
            <w:r w:rsidR="00192C7D">
              <w:rPr>
                <w:webHidden/>
              </w:rPr>
            </w:r>
            <w:r w:rsidR="00192C7D">
              <w:rPr>
                <w:webHidden/>
              </w:rPr>
              <w:fldChar w:fldCharType="separate"/>
            </w:r>
            <w:r w:rsidR="00EB411F">
              <w:rPr>
                <w:webHidden/>
              </w:rPr>
              <w:t>3</w:t>
            </w:r>
            <w:r w:rsidR="00192C7D">
              <w:rPr>
                <w:webHidden/>
              </w:rPr>
              <w:fldChar w:fldCharType="end"/>
            </w:r>
          </w:hyperlink>
        </w:p>
        <w:p w14:paraId="3F8A8B5C" w14:textId="77777777" w:rsidR="00192C7D" w:rsidRDefault="00BA13D2">
          <w:pPr>
            <w:pStyle w:val="TOC2"/>
            <w:rPr>
              <w:rFonts w:asciiTheme="minorHAnsi" w:eastAsiaTheme="minorEastAsia" w:hAnsiTheme="minorHAnsi"/>
              <w:lang w:eastAsia="en-AU"/>
            </w:rPr>
          </w:pPr>
          <w:hyperlink w:anchor="_Toc501379507" w:history="1">
            <w:r w:rsidR="00192C7D" w:rsidRPr="00B029E6">
              <w:rPr>
                <w:rStyle w:val="Hyperlink"/>
              </w:rPr>
              <w:t>1.3</w:t>
            </w:r>
            <w:r w:rsidR="00192C7D">
              <w:rPr>
                <w:rFonts w:asciiTheme="minorHAnsi" w:eastAsiaTheme="minorEastAsia" w:hAnsiTheme="minorHAnsi"/>
                <w:lang w:eastAsia="en-AU"/>
              </w:rPr>
              <w:tab/>
            </w:r>
            <w:r w:rsidR="00192C7D" w:rsidRPr="00B029E6">
              <w:rPr>
                <w:rStyle w:val="Hyperlink"/>
              </w:rPr>
              <w:t>Interpretation</w:t>
            </w:r>
            <w:r w:rsidR="00192C7D">
              <w:rPr>
                <w:webHidden/>
              </w:rPr>
              <w:tab/>
            </w:r>
            <w:r w:rsidR="00192C7D">
              <w:rPr>
                <w:webHidden/>
              </w:rPr>
              <w:fldChar w:fldCharType="begin"/>
            </w:r>
            <w:r w:rsidR="00192C7D">
              <w:rPr>
                <w:webHidden/>
              </w:rPr>
              <w:instrText xml:space="preserve"> PAGEREF _Toc501379507 \h </w:instrText>
            </w:r>
            <w:r w:rsidR="00192C7D">
              <w:rPr>
                <w:webHidden/>
              </w:rPr>
            </w:r>
            <w:r w:rsidR="00192C7D">
              <w:rPr>
                <w:webHidden/>
              </w:rPr>
              <w:fldChar w:fldCharType="separate"/>
            </w:r>
            <w:r w:rsidR="00EB411F">
              <w:rPr>
                <w:webHidden/>
              </w:rPr>
              <w:t>3</w:t>
            </w:r>
            <w:r w:rsidR="00192C7D">
              <w:rPr>
                <w:webHidden/>
              </w:rPr>
              <w:fldChar w:fldCharType="end"/>
            </w:r>
          </w:hyperlink>
        </w:p>
        <w:p w14:paraId="41111CCB" w14:textId="77777777" w:rsidR="00192C7D" w:rsidRDefault="00BA13D2">
          <w:pPr>
            <w:pStyle w:val="TOC2"/>
            <w:rPr>
              <w:rFonts w:asciiTheme="minorHAnsi" w:eastAsiaTheme="minorEastAsia" w:hAnsiTheme="minorHAnsi"/>
              <w:lang w:eastAsia="en-AU"/>
            </w:rPr>
          </w:pPr>
          <w:hyperlink w:anchor="_Toc501379508" w:history="1">
            <w:r w:rsidR="00192C7D" w:rsidRPr="00B029E6">
              <w:rPr>
                <w:rStyle w:val="Hyperlink"/>
              </w:rPr>
              <w:t>1.4</w:t>
            </w:r>
            <w:r w:rsidR="00192C7D">
              <w:rPr>
                <w:rFonts w:asciiTheme="minorHAnsi" w:eastAsiaTheme="minorEastAsia" w:hAnsiTheme="minorHAnsi"/>
                <w:lang w:eastAsia="en-AU"/>
              </w:rPr>
              <w:tab/>
            </w:r>
            <w:r w:rsidR="00192C7D" w:rsidRPr="00B029E6">
              <w:rPr>
                <w:rStyle w:val="Hyperlink"/>
              </w:rPr>
              <w:t>Definitions</w:t>
            </w:r>
            <w:r w:rsidR="00192C7D">
              <w:rPr>
                <w:webHidden/>
              </w:rPr>
              <w:tab/>
            </w:r>
            <w:r w:rsidR="00192C7D">
              <w:rPr>
                <w:webHidden/>
              </w:rPr>
              <w:fldChar w:fldCharType="begin"/>
            </w:r>
            <w:r w:rsidR="00192C7D">
              <w:rPr>
                <w:webHidden/>
              </w:rPr>
              <w:instrText xml:space="preserve"> PAGEREF _Toc501379508 \h </w:instrText>
            </w:r>
            <w:r w:rsidR="00192C7D">
              <w:rPr>
                <w:webHidden/>
              </w:rPr>
            </w:r>
            <w:r w:rsidR="00192C7D">
              <w:rPr>
                <w:webHidden/>
              </w:rPr>
              <w:fldChar w:fldCharType="separate"/>
            </w:r>
            <w:r w:rsidR="00EB411F">
              <w:rPr>
                <w:webHidden/>
              </w:rPr>
              <w:t>3</w:t>
            </w:r>
            <w:r w:rsidR="00192C7D">
              <w:rPr>
                <w:webHidden/>
              </w:rPr>
              <w:fldChar w:fldCharType="end"/>
            </w:r>
          </w:hyperlink>
        </w:p>
        <w:p w14:paraId="488A5F74" w14:textId="77777777" w:rsidR="00192C7D" w:rsidRDefault="00BA13D2">
          <w:pPr>
            <w:pStyle w:val="TOC2"/>
            <w:rPr>
              <w:rFonts w:asciiTheme="minorHAnsi" w:eastAsiaTheme="minorEastAsia" w:hAnsiTheme="minorHAnsi"/>
              <w:lang w:eastAsia="en-AU"/>
            </w:rPr>
          </w:pPr>
          <w:hyperlink w:anchor="_Toc501379509" w:history="1">
            <w:r w:rsidR="00192C7D" w:rsidRPr="00B029E6">
              <w:rPr>
                <w:rStyle w:val="Hyperlink"/>
              </w:rPr>
              <w:t>1.5</w:t>
            </w:r>
            <w:r w:rsidR="00192C7D">
              <w:rPr>
                <w:rFonts w:asciiTheme="minorHAnsi" w:eastAsiaTheme="minorEastAsia" w:hAnsiTheme="minorHAnsi"/>
                <w:lang w:eastAsia="en-AU"/>
              </w:rPr>
              <w:tab/>
            </w:r>
            <w:r w:rsidR="00192C7D" w:rsidRPr="00B029E6">
              <w:rPr>
                <w:rStyle w:val="Hyperlink"/>
              </w:rPr>
              <w:t>Other issues</w:t>
            </w:r>
            <w:r w:rsidR="00192C7D">
              <w:rPr>
                <w:webHidden/>
              </w:rPr>
              <w:tab/>
            </w:r>
            <w:r w:rsidR="00192C7D">
              <w:rPr>
                <w:webHidden/>
              </w:rPr>
              <w:fldChar w:fldCharType="begin"/>
            </w:r>
            <w:r w:rsidR="00192C7D">
              <w:rPr>
                <w:webHidden/>
              </w:rPr>
              <w:instrText xml:space="preserve"> PAGEREF _Toc501379509 \h </w:instrText>
            </w:r>
            <w:r w:rsidR="00192C7D">
              <w:rPr>
                <w:webHidden/>
              </w:rPr>
            </w:r>
            <w:r w:rsidR="00192C7D">
              <w:rPr>
                <w:webHidden/>
              </w:rPr>
              <w:fldChar w:fldCharType="separate"/>
            </w:r>
            <w:r w:rsidR="00EB411F">
              <w:rPr>
                <w:webHidden/>
              </w:rPr>
              <w:t>5</w:t>
            </w:r>
            <w:r w:rsidR="00192C7D">
              <w:rPr>
                <w:webHidden/>
              </w:rPr>
              <w:fldChar w:fldCharType="end"/>
            </w:r>
          </w:hyperlink>
        </w:p>
        <w:p w14:paraId="7F7CB875" w14:textId="77777777" w:rsidR="00192C7D" w:rsidRDefault="00BA13D2">
          <w:pPr>
            <w:pStyle w:val="TOC3"/>
            <w:rPr>
              <w:rFonts w:asciiTheme="minorHAnsi" w:eastAsiaTheme="minorEastAsia" w:hAnsiTheme="minorHAnsi"/>
              <w:lang w:eastAsia="en-AU"/>
            </w:rPr>
          </w:pPr>
          <w:hyperlink w:anchor="_Toc501379510" w:history="1">
            <w:r w:rsidR="00192C7D" w:rsidRPr="00B029E6">
              <w:rPr>
                <w:rStyle w:val="Hyperlink"/>
              </w:rPr>
              <w:t>1.5.1</w:t>
            </w:r>
            <w:r w:rsidR="00192C7D">
              <w:rPr>
                <w:rFonts w:asciiTheme="minorHAnsi" w:eastAsiaTheme="minorEastAsia" w:hAnsiTheme="minorHAnsi"/>
                <w:lang w:eastAsia="en-AU"/>
              </w:rPr>
              <w:tab/>
            </w:r>
            <w:r w:rsidR="00192C7D" w:rsidRPr="00B029E6">
              <w:rPr>
                <w:rStyle w:val="Hyperlink"/>
              </w:rPr>
              <w:t>Establish and maintain accounts</w:t>
            </w:r>
            <w:r w:rsidR="00192C7D">
              <w:rPr>
                <w:webHidden/>
              </w:rPr>
              <w:tab/>
            </w:r>
            <w:r w:rsidR="00192C7D">
              <w:rPr>
                <w:webHidden/>
              </w:rPr>
              <w:fldChar w:fldCharType="begin"/>
            </w:r>
            <w:r w:rsidR="00192C7D">
              <w:rPr>
                <w:webHidden/>
              </w:rPr>
              <w:instrText xml:space="preserve"> PAGEREF _Toc501379510 \h </w:instrText>
            </w:r>
            <w:r w:rsidR="00192C7D">
              <w:rPr>
                <w:webHidden/>
              </w:rPr>
            </w:r>
            <w:r w:rsidR="00192C7D">
              <w:rPr>
                <w:webHidden/>
              </w:rPr>
              <w:fldChar w:fldCharType="separate"/>
            </w:r>
            <w:r w:rsidR="00EB411F">
              <w:rPr>
                <w:webHidden/>
              </w:rPr>
              <w:t>5</w:t>
            </w:r>
            <w:r w:rsidR="00192C7D">
              <w:rPr>
                <w:webHidden/>
              </w:rPr>
              <w:fldChar w:fldCharType="end"/>
            </w:r>
          </w:hyperlink>
        </w:p>
        <w:p w14:paraId="6EBD601B" w14:textId="77777777" w:rsidR="00192C7D" w:rsidRDefault="00BA13D2">
          <w:pPr>
            <w:pStyle w:val="TOC3"/>
            <w:rPr>
              <w:rFonts w:asciiTheme="minorHAnsi" w:eastAsiaTheme="minorEastAsia" w:hAnsiTheme="minorHAnsi"/>
              <w:lang w:eastAsia="en-AU"/>
            </w:rPr>
          </w:pPr>
          <w:hyperlink w:anchor="_Toc501379511" w:history="1">
            <w:r w:rsidR="00192C7D" w:rsidRPr="00B029E6">
              <w:rPr>
                <w:rStyle w:val="Hyperlink"/>
              </w:rPr>
              <w:t>1.5.2</w:t>
            </w:r>
            <w:r w:rsidR="00192C7D">
              <w:rPr>
                <w:rFonts w:asciiTheme="minorHAnsi" w:eastAsiaTheme="minorEastAsia" w:hAnsiTheme="minorHAnsi"/>
                <w:lang w:eastAsia="en-AU"/>
              </w:rPr>
              <w:tab/>
            </w:r>
            <w:r w:rsidR="00192C7D" w:rsidRPr="00B029E6">
              <w:rPr>
                <w:rStyle w:val="Hyperlink"/>
              </w:rPr>
              <w:t>Inflation</w:t>
            </w:r>
            <w:r w:rsidR="00192C7D">
              <w:rPr>
                <w:webHidden/>
              </w:rPr>
              <w:tab/>
            </w:r>
            <w:r w:rsidR="00192C7D">
              <w:rPr>
                <w:webHidden/>
              </w:rPr>
              <w:fldChar w:fldCharType="begin"/>
            </w:r>
            <w:r w:rsidR="00192C7D">
              <w:rPr>
                <w:webHidden/>
              </w:rPr>
              <w:instrText xml:space="preserve"> PAGEREF _Toc501379511 \h </w:instrText>
            </w:r>
            <w:r w:rsidR="00192C7D">
              <w:rPr>
                <w:webHidden/>
              </w:rPr>
            </w:r>
            <w:r w:rsidR="00192C7D">
              <w:rPr>
                <w:webHidden/>
              </w:rPr>
              <w:fldChar w:fldCharType="separate"/>
            </w:r>
            <w:r w:rsidR="00EB411F">
              <w:rPr>
                <w:webHidden/>
              </w:rPr>
              <w:t>5</w:t>
            </w:r>
            <w:r w:rsidR="00192C7D">
              <w:rPr>
                <w:webHidden/>
              </w:rPr>
              <w:fldChar w:fldCharType="end"/>
            </w:r>
          </w:hyperlink>
        </w:p>
        <w:p w14:paraId="721CD288" w14:textId="77777777" w:rsidR="00192C7D" w:rsidRDefault="00BA13D2">
          <w:pPr>
            <w:pStyle w:val="TOC3"/>
            <w:rPr>
              <w:rFonts w:asciiTheme="minorHAnsi" w:eastAsiaTheme="minorEastAsia" w:hAnsiTheme="minorHAnsi"/>
              <w:lang w:eastAsia="en-AU"/>
            </w:rPr>
          </w:pPr>
          <w:hyperlink w:anchor="_Toc501379512" w:history="1">
            <w:r w:rsidR="00192C7D" w:rsidRPr="00B029E6">
              <w:rPr>
                <w:rStyle w:val="Hyperlink"/>
              </w:rPr>
              <w:t>1.5.3</w:t>
            </w:r>
            <w:r w:rsidR="00192C7D">
              <w:rPr>
                <w:rFonts w:asciiTheme="minorHAnsi" w:eastAsiaTheme="minorEastAsia" w:hAnsiTheme="minorHAnsi"/>
                <w:lang w:eastAsia="en-AU"/>
              </w:rPr>
              <w:tab/>
            </w:r>
            <w:r w:rsidR="00192C7D" w:rsidRPr="00B029E6">
              <w:rPr>
                <w:rStyle w:val="Hyperlink"/>
              </w:rPr>
              <w:t>Currency and GST</w:t>
            </w:r>
            <w:r w:rsidR="00192C7D">
              <w:rPr>
                <w:webHidden/>
              </w:rPr>
              <w:tab/>
            </w:r>
            <w:r w:rsidR="00192C7D">
              <w:rPr>
                <w:webHidden/>
              </w:rPr>
              <w:fldChar w:fldCharType="begin"/>
            </w:r>
            <w:r w:rsidR="00192C7D">
              <w:rPr>
                <w:webHidden/>
              </w:rPr>
              <w:instrText xml:space="preserve"> PAGEREF _Toc501379512 \h </w:instrText>
            </w:r>
            <w:r w:rsidR="00192C7D">
              <w:rPr>
                <w:webHidden/>
              </w:rPr>
            </w:r>
            <w:r w:rsidR="00192C7D">
              <w:rPr>
                <w:webHidden/>
              </w:rPr>
              <w:fldChar w:fldCharType="separate"/>
            </w:r>
            <w:r w:rsidR="00EB411F">
              <w:rPr>
                <w:webHidden/>
              </w:rPr>
              <w:t>5</w:t>
            </w:r>
            <w:r w:rsidR="00192C7D">
              <w:rPr>
                <w:webHidden/>
              </w:rPr>
              <w:fldChar w:fldCharType="end"/>
            </w:r>
          </w:hyperlink>
        </w:p>
        <w:p w14:paraId="56C5ACCE" w14:textId="77777777" w:rsidR="00192C7D" w:rsidRDefault="00BA13D2">
          <w:pPr>
            <w:pStyle w:val="TOC2"/>
            <w:rPr>
              <w:rFonts w:asciiTheme="minorHAnsi" w:eastAsiaTheme="minorEastAsia" w:hAnsiTheme="minorHAnsi"/>
              <w:lang w:eastAsia="en-AU"/>
            </w:rPr>
          </w:pPr>
          <w:hyperlink w:anchor="_Toc501379513" w:history="1">
            <w:r w:rsidR="00192C7D" w:rsidRPr="00B029E6">
              <w:rPr>
                <w:rStyle w:val="Hyperlink"/>
              </w:rPr>
              <w:t>1.6</w:t>
            </w:r>
            <w:r w:rsidR="00192C7D">
              <w:rPr>
                <w:rFonts w:asciiTheme="minorHAnsi" w:eastAsiaTheme="minorEastAsia" w:hAnsiTheme="minorHAnsi"/>
                <w:lang w:eastAsia="en-AU"/>
              </w:rPr>
              <w:tab/>
            </w:r>
            <w:r w:rsidR="00192C7D" w:rsidRPr="00B029E6">
              <w:rPr>
                <w:rStyle w:val="Hyperlink"/>
              </w:rPr>
              <w:t>Publication</w:t>
            </w:r>
            <w:r w:rsidR="00192C7D">
              <w:rPr>
                <w:webHidden/>
              </w:rPr>
              <w:tab/>
            </w:r>
            <w:r w:rsidR="00192C7D">
              <w:rPr>
                <w:webHidden/>
              </w:rPr>
              <w:fldChar w:fldCharType="begin"/>
            </w:r>
            <w:r w:rsidR="00192C7D">
              <w:rPr>
                <w:webHidden/>
              </w:rPr>
              <w:instrText xml:space="preserve"> PAGEREF _Toc501379513 \h </w:instrText>
            </w:r>
            <w:r w:rsidR="00192C7D">
              <w:rPr>
                <w:webHidden/>
              </w:rPr>
            </w:r>
            <w:r w:rsidR="00192C7D">
              <w:rPr>
                <w:webHidden/>
              </w:rPr>
              <w:fldChar w:fldCharType="separate"/>
            </w:r>
            <w:r w:rsidR="00EB411F">
              <w:rPr>
                <w:webHidden/>
              </w:rPr>
              <w:t>5</w:t>
            </w:r>
            <w:r w:rsidR="00192C7D">
              <w:rPr>
                <w:webHidden/>
              </w:rPr>
              <w:fldChar w:fldCharType="end"/>
            </w:r>
          </w:hyperlink>
        </w:p>
        <w:p w14:paraId="78834F59" w14:textId="77777777" w:rsidR="00192C7D" w:rsidRDefault="00BA13D2">
          <w:pPr>
            <w:pStyle w:val="TOC2"/>
            <w:rPr>
              <w:rFonts w:asciiTheme="minorHAnsi" w:eastAsiaTheme="minorEastAsia" w:hAnsiTheme="minorHAnsi"/>
              <w:lang w:eastAsia="en-AU"/>
            </w:rPr>
          </w:pPr>
          <w:hyperlink w:anchor="_Toc501379514" w:history="1">
            <w:r w:rsidR="00192C7D" w:rsidRPr="00B029E6">
              <w:rPr>
                <w:rStyle w:val="Hyperlink"/>
              </w:rPr>
              <w:t>1.7</w:t>
            </w:r>
            <w:r w:rsidR="00192C7D">
              <w:rPr>
                <w:rFonts w:asciiTheme="minorHAnsi" w:eastAsiaTheme="minorEastAsia" w:hAnsiTheme="minorHAnsi"/>
                <w:lang w:eastAsia="en-AU"/>
              </w:rPr>
              <w:tab/>
            </w:r>
            <w:r w:rsidR="00192C7D" w:rsidRPr="00B029E6">
              <w:rPr>
                <w:rStyle w:val="Hyperlink"/>
              </w:rPr>
              <w:t>Exemptions</w:t>
            </w:r>
            <w:r w:rsidR="00192C7D">
              <w:rPr>
                <w:webHidden/>
              </w:rPr>
              <w:tab/>
            </w:r>
            <w:r w:rsidR="00192C7D">
              <w:rPr>
                <w:webHidden/>
              </w:rPr>
              <w:fldChar w:fldCharType="begin"/>
            </w:r>
            <w:r w:rsidR="00192C7D">
              <w:rPr>
                <w:webHidden/>
              </w:rPr>
              <w:instrText xml:space="preserve"> PAGEREF _Toc501379514 \h </w:instrText>
            </w:r>
            <w:r w:rsidR="00192C7D">
              <w:rPr>
                <w:webHidden/>
              </w:rPr>
            </w:r>
            <w:r w:rsidR="00192C7D">
              <w:rPr>
                <w:webHidden/>
              </w:rPr>
              <w:fldChar w:fldCharType="separate"/>
            </w:r>
            <w:r w:rsidR="00EB411F">
              <w:rPr>
                <w:webHidden/>
              </w:rPr>
              <w:t>6</w:t>
            </w:r>
            <w:r w:rsidR="00192C7D">
              <w:rPr>
                <w:webHidden/>
              </w:rPr>
              <w:fldChar w:fldCharType="end"/>
            </w:r>
          </w:hyperlink>
        </w:p>
        <w:p w14:paraId="6087F47A" w14:textId="77777777" w:rsidR="00192C7D" w:rsidRDefault="00BA13D2" w:rsidP="00192C7D">
          <w:pPr>
            <w:pStyle w:val="TOC1"/>
            <w:rPr>
              <w:rFonts w:asciiTheme="minorHAnsi" w:eastAsiaTheme="minorEastAsia" w:hAnsiTheme="minorHAnsi"/>
              <w:lang w:val="en-AU" w:eastAsia="en-AU"/>
            </w:rPr>
          </w:pPr>
          <w:hyperlink w:anchor="_Toc501379515" w:history="1">
            <w:r w:rsidR="00192C7D" w:rsidRPr="00B029E6">
              <w:rPr>
                <w:rStyle w:val="Hyperlink"/>
              </w:rPr>
              <w:t>2</w:t>
            </w:r>
            <w:r w:rsidR="00192C7D">
              <w:rPr>
                <w:rFonts w:asciiTheme="minorHAnsi" w:eastAsiaTheme="minorEastAsia" w:hAnsiTheme="minorHAnsi"/>
                <w:lang w:val="en-AU" w:eastAsia="en-AU"/>
              </w:rPr>
              <w:tab/>
            </w:r>
            <w:r w:rsidR="00192C7D" w:rsidRPr="00B029E6">
              <w:rPr>
                <w:rStyle w:val="Hyperlink"/>
              </w:rPr>
              <w:t>Timing of information publication</w:t>
            </w:r>
            <w:r w:rsidR="00192C7D">
              <w:rPr>
                <w:webHidden/>
              </w:rPr>
              <w:tab/>
            </w:r>
            <w:r w:rsidR="00192C7D">
              <w:rPr>
                <w:webHidden/>
              </w:rPr>
              <w:fldChar w:fldCharType="begin"/>
            </w:r>
            <w:r w:rsidR="00192C7D">
              <w:rPr>
                <w:webHidden/>
              </w:rPr>
              <w:instrText xml:space="preserve"> PAGEREF _Toc501379515 \h </w:instrText>
            </w:r>
            <w:r w:rsidR="00192C7D">
              <w:rPr>
                <w:webHidden/>
              </w:rPr>
            </w:r>
            <w:r w:rsidR="00192C7D">
              <w:rPr>
                <w:webHidden/>
              </w:rPr>
              <w:fldChar w:fldCharType="separate"/>
            </w:r>
            <w:r w:rsidR="00EB411F">
              <w:rPr>
                <w:webHidden/>
              </w:rPr>
              <w:t>7</w:t>
            </w:r>
            <w:r w:rsidR="00192C7D">
              <w:rPr>
                <w:webHidden/>
              </w:rPr>
              <w:fldChar w:fldCharType="end"/>
            </w:r>
          </w:hyperlink>
        </w:p>
        <w:p w14:paraId="5ABAE2C8" w14:textId="77777777" w:rsidR="00192C7D" w:rsidRDefault="00BA13D2">
          <w:pPr>
            <w:pStyle w:val="TOC2"/>
            <w:rPr>
              <w:rFonts w:asciiTheme="minorHAnsi" w:eastAsiaTheme="minorEastAsia" w:hAnsiTheme="minorHAnsi"/>
              <w:lang w:eastAsia="en-AU"/>
            </w:rPr>
          </w:pPr>
          <w:hyperlink w:anchor="_Toc501379516" w:history="1">
            <w:r w:rsidR="00192C7D" w:rsidRPr="00B029E6">
              <w:rPr>
                <w:rStyle w:val="Hyperlink"/>
              </w:rPr>
              <w:t>2.1</w:t>
            </w:r>
            <w:r w:rsidR="00192C7D">
              <w:rPr>
                <w:rFonts w:asciiTheme="minorHAnsi" w:eastAsiaTheme="minorEastAsia" w:hAnsiTheme="minorHAnsi"/>
                <w:lang w:eastAsia="en-AU"/>
              </w:rPr>
              <w:tab/>
            </w:r>
            <w:r w:rsidR="00192C7D" w:rsidRPr="00B029E6">
              <w:rPr>
                <w:rStyle w:val="Hyperlink"/>
              </w:rPr>
              <w:t>Transitional arrangements</w:t>
            </w:r>
            <w:r w:rsidR="00192C7D">
              <w:rPr>
                <w:webHidden/>
              </w:rPr>
              <w:tab/>
            </w:r>
            <w:r w:rsidR="00192C7D">
              <w:rPr>
                <w:webHidden/>
              </w:rPr>
              <w:fldChar w:fldCharType="begin"/>
            </w:r>
            <w:r w:rsidR="00192C7D">
              <w:rPr>
                <w:webHidden/>
              </w:rPr>
              <w:instrText xml:space="preserve"> PAGEREF _Toc501379516 \h </w:instrText>
            </w:r>
            <w:r w:rsidR="00192C7D">
              <w:rPr>
                <w:webHidden/>
              </w:rPr>
            </w:r>
            <w:r w:rsidR="00192C7D">
              <w:rPr>
                <w:webHidden/>
              </w:rPr>
              <w:fldChar w:fldCharType="separate"/>
            </w:r>
            <w:r w:rsidR="00EB411F">
              <w:rPr>
                <w:webHidden/>
              </w:rPr>
              <w:t>7</w:t>
            </w:r>
            <w:r w:rsidR="00192C7D">
              <w:rPr>
                <w:webHidden/>
              </w:rPr>
              <w:fldChar w:fldCharType="end"/>
            </w:r>
          </w:hyperlink>
        </w:p>
        <w:p w14:paraId="4E9AF32A" w14:textId="77777777" w:rsidR="00192C7D" w:rsidRDefault="00BA13D2" w:rsidP="00192C7D">
          <w:pPr>
            <w:pStyle w:val="TOC1"/>
            <w:rPr>
              <w:rFonts w:asciiTheme="minorHAnsi" w:eastAsiaTheme="minorEastAsia" w:hAnsiTheme="minorHAnsi"/>
              <w:lang w:val="en-AU" w:eastAsia="en-AU"/>
            </w:rPr>
          </w:pPr>
          <w:hyperlink w:anchor="_Toc501379517" w:history="1">
            <w:r w:rsidR="00192C7D" w:rsidRPr="00B029E6">
              <w:rPr>
                <w:rStyle w:val="Hyperlink"/>
              </w:rPr>
              <w:t>3</w:t>
            </w:r>
            <w:r w:rsidR="00192C7D">
              <w:rPr>
                <w:rFonts w:asciiTheme="minorHAnsi" w:eastAsiaTheme="minorEastAsia" w:hAnsiTheme="minorHAnsi"/>
                <w:lang w:val="en-AU" w:eastAsia="en-AU"/>
              </w:rPr>
              <w:tab/>
            </w:r>
            <w:r w:rsidR="00192C7D" w:rsidRPr="00B029E6">
              <w:rPr>
                <w:rStyle w:val="Hyperlink"/>
              </w:rPr>
              <w:t>Requirement to publish financial information – pipeline statements</w:t>
            </w:r>
            <w:r w:rsidR="00192C7D">
              <w:rPr>
                <w:webHidden/>
              </w:rPr>
              <w:tab/>
            </w:r>
            <w:r w:rsidR="00192C7D">
              <w:rPr>
                <w:webHidden/>
              </w:rPr>
              <w:fldChar w:fldCharType="begin"/>
            </w:r>
            <w:r w:rsidR="00192C7D">
              <w:rPr>
                <w:webHidden/>
              </w:rPr>
              <w:instrText xml:space="preserve"> PAGEREF _Toc501379517 \h </w:instrText>
            </w:r>
            <w:r w:rsidR="00192C7D">
              <w:rPr>
                <w:webHidden/>
              </w:rPr>
            </w:r>
            <w:r w:rsidR="00192C7D">
              <w:rPr>
                <w:webHidden/>
              </w:rPr>
              <w:fldChar w:fldCharType="separate"/>
            </w:r>
            <w:r w:rsidR="00EB411F">
              <w:rPr>
                <w:webHidden/>
              </w:rPr>
              <w:t>8</w:t>
            </w:r>
            <w:r w:rsidR="00192C7D">
              <w:rPr>
                <w:webHidden/>
              </w:rPr>
              <w:fldChar w:fldCharType="end"/>
            </w:r>
          </w:hyperlink>
        </w:p>
        <w:p w14:paraId="296F6A4D" w14:textId="77777777" w:rsidR="00192C7D" w:rsidRDefault="00BA13D2">
          <w:pPr>
            <w:pStyle w:val="TOC2"/>
            <w:rPr>
              <w:rFonts w:asciiTheme="minorHAnsi" w:eastAsiaTheme="minorEastAsia" w:hAnsiTheme="minorHAnsi"/>
              <w:lang w:eastAsia="en-AU"/>
            </w:rPr>
          </w:pPr>
          <w:hyperlink w:anchor="_Toc501379518" w:history="1">
            <w:r w:rsidR="00192C7D" w:rsidRPr="00B029E6">
              <w:rPr>
                <w:rStyle w:val="Hyperlink"/>
              </w:rPr>
              <w:t>3.1</w:t>
            </w:r>
            <w:r w:rsidR="00192C7D">
              <w:rPr>
                <w:rFonts w:asciiTheme="minorHAnsi" w:eastAsiaTheme="minorEastAsia" w:hAnsiTheme="minorHAnsi"/>
                <w:lang w:eastAsia="en-AU"/>
              </w:rPr>
              <w:tab/>
            </w:r>
            <w:r w:rsidR="00192C7D" w:rsidRPr="00B029E6">
              <w:rPr>
                <w:rStyle w:val="Hyperlink"/>
              </w:rPr>
              <w:t>Pipeline statements</w:t>
            </w:r>
            <w:r w:rsidR="00192C7D">
              <w:rPr>
                <w:webHidden/>
              </w:rPr>
              <w:tab/>
            </w:r>
            <w:r w:rsidR="00192C7D">
              <w:rPr>
                <w:webHidden/>
              </w:rPr>
              <w:fldChar w:fldCharType="begin"/>
            </w:r>
            <w:r w:rsidR="00192C7D">
              <w:rPr>
                <w:webHidden/>
              </w:rPr>
              <w:instrText xml:space="preserve"> PAGEREF _Toc501379518 \h </w:instrText>
            </w:r>
            <w:r w:rsidR="00192C7D">
              <w:rPr>
                <w:webHidden/>
              </w:rPr>
            </w:r>
            <w:r w:rsidR="00192C7D">
              <w:rPr>
                <w:webHidden/>
              </w:rPr>
              <w:fldChar w:fldCharType="separate"/>
            </w:r>
            <w:r w:rsidR="00EB411F">
              <w:rPr>
                <w:webHidden/>
              </w:rPr>
              <w:t>8</w:t>
            </w:r>
            <w:r w:rsidR="00192C7D">
              <w:rPr>
                <w:webHidden/>
              </w:rPr>
              <w:fldChar w:fldCharType="end"/>
            </w:r>
          </w:hyperlink>
        </w:p>
        <w:p w14:paraId="324DCFDC" w14:textId="77777777" w:rsidR="00192C7D" w:rsidRDefault="00BA13D2">
          <w:pPr>
            <w:pStyle w:val="TOC3"/>
            <w:rPr>
              <w:rFonts w:asciiTheme="minorHAnsi" w:eastAsiaTheme="minorEastAsia" w:hAnsiTheme="minorHAnsi"/>
              <w:lang w:eastAsia="en-AU"/>
            </w:rPr>
          </w:pPr>
          <w:hyperlink w:anchor="_Toc501379519" w:history="1">
            <w:r w:rsidR="00192C7D" w:rsidRPr="00B029E6">
              <w:rPr>
                <w:rStyle w:val="Hyperlink"/>
              </w:rPr>
              <w:t>3.1.1</w:t>
            </w:r>
            <w:r w:rsidR="00192C7D">
              <w:rPr>
                <w:rFonts w:asciiTheme="minorHAnsi" w:eastAsiaTheme="minorEastAsia" w:hAnsiTheme="minorHAnsi"/>
                <w:lang w:eastAsia="en-AU"/>
              </w:rPr>
              <w:tab/>
            </w:r>
            <w:r w:rsidR="00192C7D" w:rsidRPr="00B029E6">
              <w:rPr>
                <w:rStyle w:val="Hyperlink"/>
              </w:rPr>
              <w:t>Statement of Pipeline Revenue and Expenses</w:t>
            </w:r>
            <w:r w:rsidR="00192C7D">
              <w:rPr>
                <w:webHidden/>
              </w:rPr>
              <w:tab/>
            </w:r>
            <w:r w:rsidR="00192C7D">
              <w:rPr>
                <w:webHidden/>
              </w:rPr>
              <w:fldChar w:fldCharType="begin"/>
            </w:r>
            <w:r w:rsidR="00192C7D">
              <w:rPr>
                <w:webHidden/>
              </w:rPr>
              <w:instrText xml:space="preserve"> PAGEREF _Toc501379519 \h </w:instrText>
            </w:r>
            <w:r w:rsidR="00192C7D">
              <w:rPr>
                <w:webHidden/>
              </w:rPr>
            </w:r>
            <w:r w:rsidR="00192C7D">
              <w:rPr>
                <w:webHidden/>
              </w:rPr>
              <w:fldChar w:fldCharType="separate"/>
            </w:r>
            <w:r w:rsidR="00EB411F">
              <w:rPr>
                <w:webHidden/>
              </w:rPr>
              <w:t>8</w:t>
            </w:r>
            <w:r w:rsidR="00192C7D">
              <w:rPr>
                <w:webHidden/>
              </w:rPr>
              <w:fldChar w:fldCharType="end"/>
            </w:r>
          </w:hyperlink>
        </w:p>
        <w:p w14:paraId="6E2BF420" w14:textId="77777777" w:rsidR="00192C7D" w:rsidRDefault="00BA13D2">
          <w:pPr>
            <w:pStyle w:val="TOC3"/>
            <w:rPr>
              <w:rFonts w:asciiTheme="minorHAnsi" w:eastAsiaTheme="minorEastAsia" w:hAnsiTheme="minorHAnsi"/>
              <w:lang w:eastAsia="en-AU"/>
            </w:rPr>
          </w:pPr>
          <w:hyperlink w:anchor="_Toc501379520" w:history="1">
            <w:r w:rsidR="00192C7D" w:rsidRPr="00B029E6">
              <w:rPr>
                <w:rStyle w:val="Hyperlink"/>
              </w:rPr>
              <w:t>3.1.2</w:t>
            </w:r>
            <w:r w:rsidR="00192C7D">
              <w:rPr>
                <w:rFonts w:asciiTheme="minorHAnsi" w:eastAsiaTheme="minorEastAsia" w:hAnsiTheme="minorHAnsi"/>
                <w:lang w:eastAsia="en-AU"/>
              </w:rPr>
              <w:tab/>
            </w:r>
            <w:r w:rsidR="00192C7D" w:rsidRPr="00B029E6">
              <w:rPr>
                <w:rStyle w:val="Hyperlink"/>
              </w:rPr>
              <w:t>Statement of Pipeline Assets</w:t>
            </w:r>
            <w:r w:rsidR="00192C7D">
              <w:rPr>
                <w:webHidden/>
              </w:rPr>
              <w:tab/>
            </w:r>
            <w:r w:rsidR="00192C7D">
              <w:rPr>
                <w:webHidden/>
              </w:rPr>
              <w:fldChar w:fldCharType="begin"/>
            </w:r>
            <w:r w:rsidR="00192C7D">
              <w:rPr>
                <w:webHidden/>
              </w:rPr>
              <w:instrText xml:space="preserve"> PAGEREF _Toc501379520 \h </w:instrText>
            </w:r>
            <w:r w:rsidR="00192C7D">
              <w:rPr>
                <w:webHidden/>
              </w:rPr>
            </w:r>
            <w:r w:rsidR="00192C7D">
              <w:rPr>
                <w:webHidden/>
              </w:rPr>
              <w:fldChar w:fldCharType="separate"/>
            </w:r>
            <w:r w:rsidR="00EB411F">
              <w:rPr>
                <w:webHidden/>
              </w:rPr>
              <w:t>10</w:t>
            </w:r>
            <w:r w:rsidR="00192C7D">
              <w:rPr>
                <w:webHidden/>
              </w:rPr>
              <w:fldChar w:fldCharType="end"/>
            </w:r>
          </w:hyperlink>
        </w:p>
        <w:p w14:paraId="27415B39" w14:textId="77777777" w:rsidR="00192C7D" w:rsidRDefault="00BA13D2">
          <w:pPr>
            <w:pStyle w:val="TOC3"/>
            <w:rPr>
              <w:rFonts w:asciiTheme="minorHAnsi" w:eastAsiaTheme="minorEastAsia" w:hAnsiTheme="minorHAnsi"/>
              <w:lang w:eastAsia="en-AU"/>
            </w:rPr>
          </w:pPr>
          <w:hyperlink w:anchor="_Toc501379521" w:history="1">
            <w:r w:rsidR="00192C7D" w:rsidRPr="00B029E6">
              <w:rPr>
                <w:rStyle w:val="Hyperlink"/>
              </w:rPr>
              <w:t>3.1.3</w:t>
            </w:r>
            <w:r w:rsidR="00192C7D">
              <w:rPr>
                <w:rFonts w:asciiTheme="minorHAnsi" w:eastAsiaTheme="minorEastAsia" w:hAnsiTheme="minorHAnsi"/>
                <w:lang w:eastAsia="en-AU"/>
              </w:rPr>
              <w:tab/>
            </w:r>
            <w:r w:rsidR="00192C7D" w:rsidRPr="00B029E6">
              <w:rPr>
                <w:rStyle w:val="Hyperlink"/>
              </w:rPr>
              <w:t>Disaggregation of the pipeline statements</w:t>
            </w:r>
            <w:r w:rsidR="00192C7D">
              <w:rPr>
                <w:webHidden/>
              </w:rPr>
              <w:tab/>
            </w:r>
            <w:r w:rsidR="00192C7D">
              <w:rPr>
                <w:webHidden/>
              </w:rPr>
              <w:fldChar w:fldCharType="begin"/>
            </w:r>
            <w:r w:rsidR="00192C7D">
              <w:rPr>
                <w:webHidden/>
              </w:rPr>
              <w:instrText xml:space="preserve"> PAGEREF _Toc501379521 \h </w:instrText>
            </w:r>
            <w:r w:rsidR="00192C7D">
              <w:rPr>
                <w:webHidden/>
              </w:rPr>
            </w:r>
            <w:r w:rsidR="00192C7D">
              <w:rPr>
                <w:webHidden/>
              </w:rPr>
              <w:fldChar w:fldCharType="separate"/>
            </w:r>
            <w:r w:rsidR="00EB411F">
              <w:rPr>
                <w:webHidden/>
              </w:rPr>
              <w:t>10</w:t>
            </w:r>
            <w:r w:rsidR="00192C7D">
              <w:rPr>
                <w:webHidden/>
              </w:rPr>
              <w:fldChar w:fldCharType="end"/>
            </w:r>
          </w:hyperlink>
        </w:p>
        <w:p w14:paraId="11556D41" w14:textId="77777777" w:rsidR="00192C7D" w:rsidRDefault="00BA13D2">
          <w:pPr>
            <w:pStyle w:val="TOC2"/>
            <w:rPr>
              <w:rFonts w:asciiTheme="minorHAnsi" w:eastAsiaTheme="minorEastAsia" w:hAnsiTheme="minorHAnsi"/>
              <w:lang w:eastAsia="en-AU"/>
            </w:rPr>
          </w:pPr>
          <w:hyperlink w:anchor="_Toc501379522" w:history="1">
            <w:r w:rsidR="00192C7D" w:rsidRPr="00B029E6">
              <w:rPr>
                <w:rStyle w:val="Hyperlink"/>
              </w:rPr>
              <w:t>3.2</w:t>
            </w:r>
            <w:r w:rsidR="00192C7D">
              <w:rPr>
                <w:rFonts w:asciiTheme="minorHAnsi" w:eastAsiaTheme="minorEastAsia" w:hAnsiTheme="minorHAnsi"/>
                <w:lang w:eastAsia="en-AU"/>
              </w:rPr>
              <w:tab/>
            </w:r>
            <w:r w:rsidR="00192C7D" w:rsidRPr="00B029E6">
              <w:rPr>
                <w:rStyle w:val="Hyperlink"/>
              </w:rPr>
              <w:t>Methods, principles and inputs used</w:t>
            </w:r>
            <w:r w:rsidR="00192C7D">
              <w:rPr>
                <w:webHidden/>
              </w:rPr>
              <w:tab/>
            </w:r>
            <w:r w:rsidR="00192C7D">
              <w:rPr>
                <w:webHidden/>
              </w:rPr>
              <w:fldChar w:fldCharType="begin"/>
            </w:r>
            <w:r w:rsidR="00192C7D">
              <w:rPr>
                <w:webHidden/>
              </w:rPr>
              <w:instrText xml:space="preserve"> PAGEREF _Toc501379522 \h </w:instrText>
            </w:r>
            <w:r w:rsidR="00192C7D">
              <w:rPr>
                <w:webHidden/>
              </w:rPr>
            </w:r>
            <w:r w:rsidR="00192C7D">
              <w:rPr>
                <w:webHidden/>
              </w:rPr>
              <w:fldChar w:fldCharType="separate"/>
            </w:r>
            <w:r w:rsidR="00EB411F">
              <w:rPr>
                <w:webHidden/>
              </w:rPr>
              <w:t>11</w:t>
            </w:r>
            <w:r w:rsidR="00192C7D">
              <w:rPr>
                <w:webHidden/>
              </w:rPr>
              <w:fldChar w:fldCharType="end"/>
            </w:r>
          </w:hyperlink>
        </w:p>
        <w:p w14:paraId="154D1E66" w14:textId="77777777" w:rsidR="00192C7D" w:rsidRDefault="00BA13D2">
          <w:pPr>
            <w:pStyle w:val="TOC3"/>
            <w:rPr>
              <w:rFonts w:asciiTheme="minorHAnsi" w:eastAsiaTheme="minorEastAsia" w:hAnsiTheme="minorHAnsi"/>
              <w:lang w:eastAsia="en-AU"/>
            </w:rPr>
          </w:pPr>
          <w:hyperlink w:anchor="_Toc501379523" w:history="1">
            <w:r w:rsidR="00192C7D" w:rsidRPr="00B029E6">
              <w:rPr>
                <w:rStyle w:val="Hyperlink"/>
              </w:rPr>
              <w:t>3.2.1</w:t>
            </w:r>
            <w:r w:rsidR="00192C7D">
              <w:rPr>
                <w:rFonts w:asciiTheme="minorHAnsi" w:eastAsiaTheme="minorEastAsia" w:hAnsiTheme="minorHAnsi"/>
                <w:lang w:eastAsia="en-AU"/>
              </w:rPr>
              <w:tab/>
            </w:r>
            <w:r w:rsidR="00192C7D" w:rsidRPr="00B029E6">
              <w:rPr>
                <w:rStyle w:val="Hyperlink"/>
              </w:rPr>
              <w:t>Asset valuation principles</w:t>
            </w:r>
            <w:r w:rsidR="00192C7D">
              <w:rPr>
                <w:webHidden/>
              </w:rPr>
              <w:tab/>
            </w:r>
            <w:r w:rsidR="00192C7D">
              <w:rPr>
                <w:webHidden/>
              </w:rPr>
              <w:fldChar w:fldCharType="begin"/>
            </w:r>
            <w:r w:rsidR="00192C7D">
              <w:rPr>
                <w:webHidden/>
              </w:rPr>
              <w:instrText xml:space="preserve"> PAGEREF _Toc501379523 \h </w:instrText>
            </w:r>
            <w:r w:rsidR="00192C7D">
              <w:rPr>
                <w:webHidden/>
              </w:rPr>
            </w:r>
            <w:r w:rsidR="00192C7D">
              <w:rPr>
                <w:webHidden/>
              </w:rPr>
              <w:fldChar w:fldCharType="separate"/>
            </w:r>
            <w:r w:rsidR="00EB411F">
              <w:rPr>
                <w:webHidden/>
              </w:rPr>
              <w:t>11</w:t>
            </w:r>
            <w:r w:rsidR="00192C7D">
              <w:rPr>
                <w:webHidden/>
              </w:rPr>
              <w:fldChar w:fldCharType="end"/>
            </w:r>
          </w:hyperlink>
        </w:p>
        <w:p w14:paraId="4A93E2FB" w14:textId="77777777" w:rsidR="00192C7D" w:rsidRDefault="00BA13D2">
          <w:pPr>
            <w:pStyle w:val="TOC3"/>
            <w:rPr>
              <w:rFonts w:asciiTheme="minorHAnsi" w:eastAsiaTheme="minorEastAsia" w:hAnsiTheme="minorHAnsi"/>
              <w:lang w:eastAsia="en-AU"/>
            </w:rPr>
          </w:pPr>
          <w:hyperlink w:anchor="_Toc501379524" w:history="1">
            <w:r w:rsidR="00192C7D" w:rsidRPr="00B029E6">
              <w:rPr>
                <w:rStyle w:val="Hyperlink"/>
              </w:rPr>
              <w:t>3.2.2</w:t>
            </w:r>
            <w:r w:rsidR="00192C7D">
              <w:rPr>
                <w:rFonts w:asciiTheme="minorHAnsi" w:eastAsiaTheme="minorEastAsia" w:hAnsiTheme="minorHAnsi"/>
                <w:lang w:eastAsia="en-AU"/>
              </w:rPr>
              <w:tab/>
            </w:r>
            <w:r w:rsidR="00192C7D" w:rsidRPr="00B029E6">
              <w:rPr>
                <w:rStyle w:val="Hyperlink"/>
              </w:rPr>
              <w:t>Capitalisation principles</w:t>
            </w:r>
            <w:r w:rsidR="00192C7D">
              <w:rPr>
                <w:webHidden/>
              </w:rPr>
              <w:tab/>
            </w:r>
            <w:r w:rsidR="00192C7D">
              <w:rPr>
                <w:webHidden/>
              </w:rPr>
              <w:fldChar w:fldCharType="begin"/>
            </w:r>
            <w:r w:rsidR="00192C7D">
              <w:rPr>
                <w:webHidden/>
              </w:rPr>
              <w:instrText xml:space="preserve"> PAGEREF _Toc501379524 \h </w:instrText>
            </w:r>
            <w:r w:rsidR="00192C7D">
              <w:rPr>
                <w:webHidden/>
              </w:rPr>
            </w:r>
            <w:r w:rsidR="00192C7D">
              <w:rPr>
                <w:webHidden/>
              </w:rPr>
              <w:fldChar w:fldCharType="separate"/>
            </w:r>
            <w:r w:rsidR="00EB411F">
              <w:rPr>
                <w:webHidden/>
              </w:rPr>
              <w:t>12</w:t>
            </w:r>
            <w:r w:rsidR="00192C7D">
              <w:rPr>
                <w:webHidden/>
              </w:rPr>
              <w:fldChar w:fldCharType="end"/>
            </w:r>
          </w:hyperlink>
        </w:p>
        <w:p w14:paraId="26778C4E" w14:textId="77777777" w:rsidR="00192C7D" w:rsidRDefault="00BA13D2">
          <w:pPr>
            <w:pStyle w:val="TOC3"/>
            <w:rPr>
              <w:rFonts w:asciiTheme="minorHAnsi" w:eastAsiaTheme="minorEastAsia" w:hAnsiTheme="minorHAnsi"/>
              <w:lang w:eastAsia="en-AU"/>
            </w:rPr>
          </w:pPr>
          <w:hyperlink w:anchor="_Toc501379525" w:history="1">
            <w:r w:rsidR="00192C7D" w:rsidRPr="00B029E6">
              <w:rPr>
                <w:rStyle w:val="Hyperlink"/>
              </w:rPr>
              <w:t>3.2.3</w:t>
            </w:r>
            <w:r w:rsidR="00192C7D">
              <w:rPr>
                <w:rFonts w:asciiTheme="minorHAnsi" w:eastAsiaTheme="minorEastAsia" w:hAnsiTheme="minorHAnsi"/>
                <w:lang w:eastAsia="en-AU"/>
              </w:rPr>
              <w:tab/>
            </w:r>
            <w:r w:rsidR="00192C7D" w:rsidRPr="00B029E6">
              <w:rPr>
                <w:rStyle w:val="Hyperlink"/>
              </w:rPr>
              <w:t>Asset life principles</w:t>
            </w:r>
            <w:r w:rsidR="00192C7D">
              <w:rPr>
                <w:webHidden/>
              </w:rPr>
              <w:tab/>
            </w:r>
            <w:r w:rsidR="00192C7D">
              <w:rPr>
                <w:webHidden/>
              </w:rPr>
              <w:fldChar w:fldCharType="begin"/>
            </w:r>
            <w:r w:rsidR="00192C7D">
              <w:rPr>
                <w:webHidden/>
              </w:rPr>
              <w:instrText xml:space="preserve"> PAGEREF _Toc501379525 \h </w:instrText>
            </w:r>
            <w:r w:rsidR="00192C7D">
              <w:rPr>
                <w:webHidden/>
              </w:rPr>
            </w:r>
            <w:r w:rsidR="00192C7D">
              <w:rPr>
                <w:webHidden/>
              </w:rPr>
              <w:fldChar w:fldCharType="separate"/>
            </w:r>
            <w:r w:rsidR="00EB411F">
              <w:rPr>
                <w:webHidden/>
              </w:rPr>
              <w:t>14</w:t>
            </w:r>
            <w:r w:rsidR="00192C7D">
              <w:rPr>
                <w:webHidden/>
              </w:rPr>
              <w:fldChar w:fldCharType="end"/>
            </w:r>
          </w:hyperlink>
        </w:p>
        <w:p w14:paraId="534E4D00" w14:textId="77777777" w:rsidR="00192C7D" w:rsidRDefault="00BA13D2">
          <w:pPr>
            <w:pStyle w:val="TOC3"/>
            <w:rPr>
              <w:rFonts w:asciiTheme="minorHAnsi" w:eastAsiaTheme="minorEastAsia" w:hAnsiTheme="minorHAnsi"/>
              <w:lang w:eastAsia="en-AU"/>
            </w:rPr>
          </w:pPr>
          <w:hyperlink w:anchor="_Toc501379526" w:history="1">
            <w:r w:rsidR="00192C7D" w:rsidRPr="00B029E6">
              <w:rPr>
                <w:rStyle w:val="Hyperlink"/>
              </w:rPr>
              <w:t>3.2.4</w:t>
            </w:r>
            <w:r w:rsidR="00192C7D">
              <w:rPr>
                <w:rFonts w:asciiTheme="minorHAnsi" w:eastAsiaTheme="minorEastAsia" w:hAnsiTheme="minorHAnsi"/>
                <w:lang w:eastAsia="en-AU"/>
              </w:rPr>
              <w:tab/>
            </w:r>
            <w:r w:rsidR="00192C7D" w:rsidRPr="00B029E6">
              <w:rPr>
                <w:rStyle w:val="Hyperlink"/>
              </w:rPr>
              <w:t>Allocation principles</w:t>
            </w:r>
            <w:r w:rsidR="00192C7D">
              <w:rPr>
                <w:webHidden/>
              </w:rPr>
              <w:tab/>
            </w:r>
            <w:r w:rsidR="00192C7D">
              <w:rPr>
                <w:webHidden/>
              </w:rPr>
              <w:fldChar w:fldCharType="begin"/>
            </w:r>
            <w:r w:rsidR="00192C7D">
              <w:rPr>
                <w:webHidden/>
              </w:rPr>
              <w:instrText xml:space="preserve"> PAGEREF _Toc501379526 \h </w:instrText>
            </w:r>
            <w:r w:rsidR="00192C7D">
              <w:rPr>
                <w:webHidden/>
              </w:rPr>
            </w:r>
            <w:r w:rsidR="00192C7D">
              <w:rPr>
                <w:webHidden/>
              </w:rPr>
              <w:fldChar w:fldCharType="separate"/>
            </w:r>
            <w:r w:rsidR="00EB411F">
              <w:rPr>
                <w:webHidden/>
              </w:rPr>
              <w:t>14</w:t>
            </w:r>
            <w:r w:rsidR="00192C7D">
              <w:rPr>
                <w:webHidden/>
              </w:rPr>
              <w:fldChar w:fldCharType="end"/>
            </w:r>
          </w:hyperlink>
        </w:p>
        <w:p w14:paraId="7DECC978" w14:textId="77777777" w:rsidR="00192C7D" w:rsidRDefault="00BA13D2">
          <w:pPr>
            <w:pStyle w:val="TOC3"/>
            <w:rPr>
              <w:rFonts w:asciiTheme="minorHAnsi" w:eastAsiaTheme="minorEastAsia" w:hAnsiTheme="minorHAnsi"/>
              <w:lang w:eastAsia="en-AU"/>
            </w:rPr>
          </w:pPr>
          <w:hyperlink w:anchor="_Toc501379527" w:history="1">
            <w:r w:rsidR="00192C7D" w:rsidRPr="00B029E6">
              <w:rPr>
                <w:rStyle w:val="Hyperlink"/>
              </w:rPr>
              <w:t>3.2.5</w:t>
            </w:r>
            <w:r w:rsidR="00192C7D">
              <w:rPr>
                <w:rFonts w:asciiTheme="minorHAnsi" w:eastAsiaTheme="minorEastAsia" w:hAnsiTheme="minorHAnsi"/>
                <w:lang w:eastAsia="en-AU"/>
              </w:rPr>
              <w:tab/>
            </w:r>
            <w:r w:rsidR="00192C7D" w:rsidRPr="00B029E6">
              <w:rPr>
                <w:rStyle w:val="Hyperlink"/>
              </w:rPr>
              <w:t>Depreciation principles</w:t>
            </w:r>
            <w:r w:rsidR="00192C7D">
              <w:rPr>
                <w:webHidden/>
              </w:rPr>
              <w:tab/>
            </w:r>
            <w:r w:rsidR="00192C7D">
              <w:rPr>
                <w:webHidden/>
              </w:rPr>
              <w:fldChar w:fldCharType="begin"/>
            </w:r>
            <w:r w:rsidR="00192C7D">
              <w:rPr>
                <w:webHidden/>
              </w:rPr>
              <w:instrText xml:space="preserve"> PAGEREF _Toc501379527 \h </w:instrText>
            </w:r>
            <w:r w:rsidR="00192C7D">
              <w:rPr>
                <w:webHidden/>
              </w:rPr>
            </w:r>
            <w:r w:rsidR="00192C7D">
              <w:rPr>
                <w:webHidden/>
              </w:rPr>
              <w:fldChar w:fldCharType="separate"/>
            </w:r>
            <w:r w:rsidR="00EB411F">
              <w:rPr>
                <w:webHidden/>
              </w:rPr>
              <w:t>16</w:t>
            </w:r>
            <w:r w:rsidR="00192C7D">
              <w:rPr>
                <w:webHidden/>
              </w:rPr>
              <w:fldChar w:fldCharType="end"/>
            </w:r>
          </w:hyperlink>
        </w:p>
        <w:p w14:paraId="7FFA03F1" w14:textId="77777777" w:rsidR="00192C7D" w:rsidRDefault="00BA13D2">
          <w:pPr>
            <w:pStyle w:val="TOC3"/>
            <w:rPr>
              <w:rFonts w:asciiTheme="minorHAnsi" w:eastAsiaTheme="minorEastAsia" w:hAnsiTheme="minorHAnsi"/>
              <w:lang w:eastAsia="en-AU"/>
            </w:rPr>
          </w:pPr>
          <w:hyperlink w:anchor="_Toc501379528" w:history="1">
            <w:r w:rsidR="00192C7D" w:rsidRPr="00B029E6">
              <w:rPr>
                <w:rStyle w:val="Hyperlink"/>
              </w:rPr>
              <w:t>3.2.6</w:t>
            </w:r>
            <w:r w:rsidR="00192C7D">
              <w:rPr>
                <w:rFonts w:asciiTheme="minorHAnsi" w:eastAsiaTheme="minorEastAsia" w:hAnsiTheme="minorHAnsi"/>
                <w:lang w:eastAsia="en-AU"/>
              </w:rPr>
              <w:tab/>
            </w:r>
            <w:r w:rsidR="00192C7D" w:rsidRPr="00B029E6">
              <w:rPr>
                <w:rStyle w:val="Hyperlink"/>
              </w:rPr>
              <w:t>Related party transactions</w:t>
            </w:r>
            <w:r w:rsidR="00192C7D">
              <w:rPr>
                <w:webHidden/>
              </w:rPr>
              <w:tab/>
            </w:r>
            <w:r w:rsidR="00192C7D">
              <w:rPr>
                <w:webHidden/>
              </w:rPr>
              <w:fldChar w:fldCharType="begin"/>
            </w:r>
            <w:r w:rsidR="00192C7D">
              <w:rPr>
                <w:webHidden/>
              </w:rPr>
              <w:instrText xml:space="preserve"> PAGEREF _Toc501379528 \h </w:instrText>
            </w:r>
            <w:r w:rsidR="00192C7D">
              <w:rPr>
                <w:webHidden/>
              </w:rPr>
            </w:r>
            <w:r w:rsidR="00192C7D">
              <w:rPr>
                <w:webHidden/>
              </w:rPr>
              <w:fldChar w:fldCharType="separate"/>
            </w:r>
            <w:r w:rsidR="00EB411F">
              <w:rPr>
                <w:webHidden/>
              </w:rPr>
              <w:t>17</w:t>
            </w:r>
            <w:r w:rsidR="00192C7D">
              <w:rPr>
                <w:webHidden/>
              </w:rPr>
              <w:fldChar w:fldCharType="end"/>
            </w:r>
          </w:hyperlink>
        </w:p>
        <w:p w14:paraId="35761E6D" w14:textId="77777777" w:rsidR="00192C7D" w:rsidRDefault="00BA13D2">
          <w:pPr>
            <w:pStyle w:val="TOC2"/>
            <w:rPr>
              <w:rFonts w:asciiTheme="minorHAnsi" w:eastAsiaTheme="minorEastAsia" w:hAnsiTheme="minorHAnsi"/>
              <w:lang w:eastAsia="en-AU"/>
            </w:rPr>
          </w:pPr>
          <w:hyperlink w:anchor="_Toc501379529" w:history="1">
            <w:r w:rsidR="00192C7D" w:rsidRPr="00B029E6">
              <w:rPr>
                <w:rStyle w:val="Hyperlink"/>
              </w:rPr>
              <w:t>3.3</w:t>
            </w:r>
            <w:r w:rsidR="00192C7D">
              <w:rPr>
                <w:rFonts w:asciiTheme="minorHAnsi" w:eastAsiaTheme="minorEastAsia" w:hAnsiTheme="minorHAnsi"/>
                <w:lang w:eastAsia="en-AU"/>
              </w:rPr>
              <w:tab/>
            </w:r>
            <w:r w:rsidR="00192C7D" w:rsidRPr="00B029E6">
              <w:rPr>
                <w:rStyle w:val="Hyperlink"/>
              </w:rPr>
              <w:t>Pipeline information and financial performance</w:t>
            </w:r>
            <w:r w:rsidR="00192C7D">
              <w:rPr>
                <w:webHidden/>
              </w:rPr>
              <w:tab/>
            </w:r>
            <w:r w:rsidR="00192C7D">
              <w:rPr>
                <w:webHidden/>
              </w:rPr>
              <w:fldChar w:fldCharType="begin"/>
            </w:r>
            <w:r w:rsidR="00192C7D">
              <w:rPr>
                <w:webHidden/>
              </w:rPr>
              <w:instrText xml:space="preserve"> PAGEREF _Toc501379529 \h </w:instrText>
            </w:r>
            <w:r w:rsidR="00192C7D">
              <w:rPr>
                <w:webHidden/>
              </w:rPr>
            </w:r>
            <w:r w:rsidR="00192C7D">
              <w:rPr>
                <w:webHidden/>
              </w:rPr>
              <w:fldChar w:fldCharType="separate"/>
            </w:r>
            <w:r w:rsidR="00EB411F">
              <w:rPr>
                <w:webHidden/>
              </w:rPr>
              <w:t>17</w:t>
            </w:r>
            <w:r w:rsidR="00192C7D">
              <w:rPr>
                <w:webHidden/>
              </w:rPr>
              <w:fldChar w:fldCharType="end"/>
            </w:r>
          </w:hyperlink>
        </w:p>
        <w:p w14:paraId="0F7A0867" w14:textId="77777777" w:rsidR="00192C7D" w:rsidRDefault="00BA13D2">
          <w:pPr>
            <w:pStyle w:val="TOC2"/>
            <w:rPr>
              <w:rFonts w:asciiTheme="minorHAnsi" w:eastAsiaTheme="minorEastAsia" w:hAnsiTheme="minorHAnsi"/>
              <w:lang w:eastAsia="en-AU"/>
            </w:rPr>
          </w:pPr>
          <w:hyperlink w:anchor="_Toc501379530" w:history="1">
            <w:r w:rsidR="00192C7D" w:rsidRPr="00B029E6">
              <w:rPr>
                <w:rStyle w:val="Hyperlink"/>
              </w:rPr>
              <w:t>3.4</w:t>
            </w:r>
            <w:r w:rsidR="00192C7D">
              <w:rPr>
                <w:rFonts w:asciiTheme="minorHAnsi" w:eastAsiaTheme="minorEastAsia" w:hAnsiTheme="minorHAnsi"/>
                <w:lang w:eastAsia="en-AU"/>
              </w:rPr>
              <w:tab/>
            </w:r>
            <w:r w:rsidR="00192C7D" w:rsidRPr="00B029E6">
              <w:rPr>
                <w:rStyle w:val="Hyperlink"/>
              </w:rPr>
              <w:t>Assurance</w:t>
            </w:r>
            <w:r w:rsidR="00192C7D">
              <w:rPr>
                <w:webHidden/>
              </w:rPr>
              <w:tab/>
            </w:r>
            <w:r w:rsidR="00192C7D">
              <w:rPr>
                <w:webHidden/>
              </w:rPr>
              <w:fldChar w:fldCharType="begin"/>
            </w:r>
            <w:r w:rsidR="00192C7D">
              <w:rPr>
                <w:webHidden/>
              </w:rPr>
              <w:instrText xml:space="preserve"> PAGEREF _Toc501379530 \h </w:instrText>
            </w:r>
            <w:r w:rsidR="00192C7D">
              <w:rPr>
                <w:webHidden/>
              </w:rPr>
            </w:r>
            <w:r w:rsidR="00192C7D">
              <w:rPr>
                <w:webHidden/>
              </w:rPr>
              <w:fldChar w:fldCharType="separate"/>
            </w:r>
            <w:r w:rsidR="00EB411F">
              <w:rPr>
                <w:webHidden/>
              </w:rPr>
              <w:t>17</w:t>
            </w:r>
            <w:r w:rsidR="00192C7D">
              <w:rPr>
                <w:webHidden/>
              </w:rPr>
              <w:fldChar w:fldCharType="end"/>
            </w:r>
          </w:hyperlink>
        </w:p>
        <w:p w14:paraId="57A111DC" w14:textId="77777777" w:rsidR="00192C7D" w:rsidRDefault="00BA13D2" w:rsidP="00192C7D">
          <w:pPr>
            <w:pStyle w:val="TOC1"/>
            <w:rPr>
              <w:rFonts w:asciiTheme="minorHAnsi" w:eastAsiaTheme="minorEastAsia" w:hAnsiTheme="minorHAnsi"/>
              <w:lang w:val="en-AU" w:eastAsia="en-AU"/>
            </w:rPr>
          </w:pPr>
          <w:hyperlink w:anchor="_Toc501379531" w:history="1">
            <w:r w:rsidR="00192C7D" w:rsidRPr="00B029E6">
              <w:rPr>
                <w:rStyle w:val="Hyperlink"/>
              </w:rPr>
              <w:t>4</w:t>
            </w:r>
            <w:r w:rsidR="00192C7D">
              <w:rPr>
                <w:rFonts w:asciiTheme="minorHAnsi" w:eastAsiaTheme="minorEastAsia" w:hAnsiTheme="minorHAnsi"/>
                <w:lang w:val="en-AU" w:eastAsia="en-AU"/>
              </w:rPr>
              <w:tab/>
            </w:r>
            <w:r w:rsidR="00192C7D" w:rsidRPr="00B029E6">
              <w:rPr>
                <w:rStyle w:val="Hyperlink"/>
              </w:rPr>
              <w:t>Asset valuation using the recovered capital method</w:t>
            </w:r>
            <w:r w:rsidR="00192C7D">
              <w:rPr>
                <w:webHidden/>
              </w:rPr>
              <w:tab/>
            </w:r>
            <w:r w:rsidR="00192C7D">
              <w:rPr>
                <w:webHidden/>
              </w:rPr>
              <w:fldChar w:fldCharType="begin"/>
            </w:r>
            <w:r w:rsidR="00192C7D">
              <w:rPr>
                <w:webHidden/>
              </w:rPr>
              <w:instrText xml:space="preserve"> PAGEREF _Toc501379531 \h </w:instrText>
            </w:r>
            <w:r w:rsidR="00192C7D">
              <w:rPr>
                <w:webHidden/>
              </w:rPr>
            </w:r>
            <w:r w:rsidR="00192C7D">
              <w:rPr>
                <w:webHidden/>
              </w:rPr>
              <w:fldChar w:fldCharType="separate"/>
            </w:r>
            <w:r w:rsidR="00EB411F">
              <w:rPr>
                <w:webHidden/>
              </w:rPr>
              <w:t>18</w:t>
            </w:r>
            <w:r w:rsidR="00192C7D">
              <w:rPr>
                <w:webHidden/>
              </w:rPr>
              <w:fldChar w:fldCharType="end"/>
            </w:r>
          </w:hyperlink>
        </w:p>
        <w:p w14:paraId="593718D6" w14:textId="77777777" w:rsidR="00192C7D" w:rsidRDefault="00BA13D2">
          <w:pPr>
            <w:pStyle w:val="TOC2"/>
            <w:rPr>
              <w:rFonts w:asciiTheme="minorHAnsi" w:eastAsiaTheme="minorEastAsia" w:hAnsiTheme="minorHAnsi"/>
              <w:lang w:eastAsia="en-AU"/>
            </w:rPr>
          </w:pPr>
          <w:hyperlink w:anchor="_Toc501379532" w:history="1">
            <w:r w:rsidR="00192C7D" w:rsidRPr="00B029E6">
              <w:rPr>
                <w:rStyle w:val="Hyperlink"/>
              </w:rPr>
              <w:t>4.1</w:t>
            </w:r>
            <w:r w:rsidR="00192C7D">
              <w:rPr>
                <w:rFonts w:asciiTheme="minorHAnsi" w:eastAsiaTheme="minorEastAsia" w:hAnsiTheme="minorHAnsi"/>
                <w:lang w:eastAsia="en-AU"/>
              </w:rPr>
              <w:tab/>
            </w:r>
            <w:r w:rsidR="00192C7D" w:rsidRPr="00B029E6">
              <w:rPr>
                <w:rStyle w:val="Hyperlink"/>
              </w:rPr>
              <w:t>Estimates</w:t>
            </w:r>
            <w:r w:rsidR="00192C7D">
              <w:rPr>
                <w:webHidden/>
              </w:rPr>
              <w:tab/>
            </w:r>
            <w:r w:rsidR="00192C7D">
              <w:rPr>
                <w:webHidden/>
              </w:rPr>
              <w:fldChar w:fldCharType="begin"/>
            </w:r>
            <w:r w:rsidR="00192C7D">
              <w:rPr>
                <w:webHidden/>
              </w:rPr>
              <w:instrText xml:space="preserve"> PAGEREF _Toc501379532 \h </w:instrText>
            </w:r>
            <w:r w:rsidR="00192C7D">
              <w:rPr>
                <w:webHidden/>
              </w:rPr>
            </w:r>
            <w:r w:rsidR="00192C7D">
              <w:rPr>
                <w:webHidden/>
              </w:rPr>
              <w:fldChar w:fldCharType="separate"/>
            </w:r>
            <w:r w:rsidR="00EB411F">
              <w:rPr>
                <w:webHidden/>
              </w:rPr>
              <w:t>20</w:t>
            </w:r>
            <w:r w:rsidR="00192C7D">
              <w:rPr>
                <w:webHidden/>
              </w:rPr>
              <w:fldChar w:fldCharType="end"/>
            </w:r>
          </w:hyperlink>
        </w:p>
        <w:p w14:paraId="31C0A382" w14:textId="77777777" w:rsidR="00192C7D" w:rsidRDefault="00BA13D2">
          <w:pPr>
            <w:pStyle w:val="TOC2"/>
            <w:rPr>
              <w:rFonts w:asciiTheme="minorHAnsi" w:eastAsiaTheme="minorEastAsia" w:hAnsiTheme="minorHAnsi"/>
              <w:lang w:eastAsia="en-AU"/>
            </w:rPr>
          </w:pPr>
          <w:hyperlink w:anchor="_Toc501379533" w:history="1">
            <w:r w:rsidR="00192C7D" w:rsidRPr="00B029E6">
              <w:rPr>
                <w:rStyle w:val="Hyperlink"/>
              </w:rPr>
              <w:t>4.2</w:t>
            </w:r>
            <w:r w:rsidR="00192C7D">
              <w:rPr>
                <w:rFonts w:asciiTheme="minorHAnsi" w:eastAsiaTheme="minorEastAsia" w:hAnsiTheme="minorHAnsi"/>
                <w:lang w:eastAsia="en-AU"/>
              </w:rPr>
              <w:tab/>
            </w:r>
            <w:r w:rsidR="00192C7D" w:rsidRPr="00B029E6">
              <w:rPr>
                <w:rStyle w:val="Hyperlink"/>
              </w:rPr>
              <w:t>Assurance</w:t>
            </w:r>
            <w:r w:rsidR="00192C7D">
              <w:rPr>
                <w:webHidden/>
              </w:rPr>
              <w:tab/>
            </w:r>
            <w:r w:rsidR="00192C7D">
              <w:rPr>
                <w:webHidden/>
              </w:rPr>
              <w:fldChar w:fldCharType="begin"/>
            </w:r>
            <w:r w:rsidR="00192C7D">
              <w:rPr>
                <w:webHidden/>
              </w:rPr>
              <w:instrText xml:space="preserve"> PAGEREF _Toc501379533 \h </w:instrText>
            </w:r>
            <w:r w:rsidR="00192C7D">
              <w:rPr>
                <w:webHidden/>
              </w:rPr>
            </w:r>
            <w:r w:rsidR="00192C7D">
              <w:rPr>
                <w:webHidden/>
              </w:rPr>
              <w:fldChar w:fldCharType="separate"/>
            </w:r>
            <w:r w:rsidR="00EB411F">
              <w:rPr>
                <w:webHidden/>
              </w:rPr>
              <w:t>21</w:t>
            </w:r>
            <w:r w:rsidR="00192C7D">
              <w:rPr>
                <w:webHidden/>
              </w:rPr>
              <w:fldChar w:fldCharType="end"/>
            </w:r>
          </w:hyperlink>
        </w:p>
        <w:p w14:paraId="464D7CEE" w14:textId="77777777" w:rsidR="00192C7D" w:rsidRDefault="00BA13D2" w:rsidP="00192C7D">
          <w:pPr>
            <w:pStyle w:val="TOC1"/>
            <w:rPr>
              <w:rFonts w:asciiTheme="minorHAnsi" w:eastAsiaTheme="minorEastAsia" w:hAnsiTheme="minorHAnsi"/>
              <w:lang w:val="en-AU" w:eastAsia="en-AU"/>
            </w:rPr>
          </w:pPr>
          <w:hyperlink w:anchor="_Toc501379534" w:history="1">
            <w:r w:rsidR="00192C7D" w:rsidRPr="00B029E6">
              <w:rPr>
                <w:rStyle w:val="Hyperlink"/>
              </w:rPr>
              <w:t>5</w:t>
            </w:r>
            <w:r w:rsidR="00192C7D">
              <w:rPr>
                <w:rFonts w:asciiTheme="minorHAnsi" w:eastAsiaTheme="minorEastAsia" w:hAnsiTheme="minorHAnsi"/>
                <w:lang w:val="en-AU" w:eastAsia="en-AU"/>
              </w:rPr>
              <w:tab/>
            </w:r>
            <w:r w:rsidR="00192C7D" w:rsidRPr="00B029E6">
              <w:rPr>
                <w:rStyle w:val="Hyperlink"/>
              </w:rPr>
              <w:t>Requirement to publish weighted average price information</w:t>
            </w:r>
            <w:r w:rsidR="00192C7D">
              <w:rPr>
                <w:webHidden/>
              </w:rPr>
              <w:tab/>
            </w:r>
            <w:r w:rsidR="00192C7D">
              <w:rPr>
                <w:webHidden/>
              </w:rPr>
              <w:fldChar w:fldCharType="begin"/>
            </w:r>
            <w:r w:rsidR="00192C7D">
              <w:rPr>
                <w:webHidden/>
              </w:rPr>
              <w:instrText xml:space="preserve"> PAGEREF _Toc501379534 \h </w:instrText>
            </w:r>
            <w:r w:rsidR="00192C7D">
              <w:rPr>
                <w:webHidden/>
              </w:rPr>
            </w:r>
            <w:r w:rsidR="00192C7D">
              <w:rPr>
                <w:webHidden/>
              </w:rPr>
              <w:fldChar w:fldCharType="separate"/>
            </w:r>
            <w:r w:rsidR="00EB411F">
              <w:rPr>
                <w:webHidden/>
              </w:rPr>
              <w:t>22</w:t>
            </w:r>
            <w:r w:rsidR="00192C7D">
              <w:rPr>
                <w:webHidden/>
              </w:rPr>
              <w:fldChar w:fldCharType="end"/>
            </w:r>
          </w:hyperlink>
        </w:p>
        <w:p w14:paraId="25BE93F9" w14:textId="77777777" w:rsidR="00192C7D" w:rsidRDefault="00BA13D2">
          <w:pPr>
            <w:pStyle w:val="TOC2"/>
            <w:rPr>
              <w:rFonts w:asciiTheme="minorHAnsi" w:eastAsiaTheme="minorEastAsia" w:hAnsiTheme="minorHAnsi"/>
              <w:lang w:eastAsia="en-AU"/>
            </w:rPr>
          </w:pPr>
          <w:hyperlink w:anchor="_Toc501379535" w:history="1">
            <w:r w:rsidR="00192C7D" w:rsidRPr="00B029E6">
              <w:rPr>
                <w:rStyle w:val="Hyperlink"/>
              </w:rPr>
              <w:t>5.1</w:t>
            </w:r>
            <w:r w:rsidR="00192C7D">
              <w:rPr>
                <w:rFonts w:asciiTheme="minorHAnsi" w:eastAsiaTheme="minorEastAsia" w:hAnsiTheme="minorHAnsi"/>
                <w:lang w:eastAsia="en-AU"/>
              </w:rPr>
              <w:tab/>
            </w:r>
            <w:r w:rsidR="00192C7D" w:rsidRPr="00B029E6">
              <w:rPr>
                <w:rStyle w:val="Hyperlink"/>
              </w:rPr>
              <w:t>Methods, principles and inputs used</w:t>
            </w:r>
            <w:r w:rsidR="00192C7D">
              <w:rPr>
                <w:webHidden/>
              </w:rPr>
              <w:tab/>
            </w:r>
            <w:r w:rsidR="00192C7D">
              <w:rPr>
                <w:webHidden/>
              </w:rPr>
              <w:fldChar w:fldCharType="begin"/>
            </w:r>
            <w:r w:rsidR="00192C7D">
              <w:rPr>
                <w:webHidden/>
              </w:rPr>
              <w:instrText xml:space="preserve"> PAGEREF _Toc501379535 \h </w:instrText>
            </w:r>
            <w:r w:rsidR="00192C7D">
              <w:rPr>
                <w:webHidden/>
              </w:rPr>
            </w:r>
            <w:r w:rsidR="00192C7D">
              <w:rPr>
                <w:webHidden/>
              </w:rPr>
              <w:fldChar w:fldCharType="separate"/>
            </w:r>
            <w:r w:rsidR="00EB411F">
              <w:rPr>
                <w:webHidden/>
              </w:rPr>
              <w:t>23</w:t>
            </w:r>
            <w:r w:rsidR="00192C7D">
              <w:rPr>
                <w:webHidden/>
              </w:rPr>
              <w:fldChar w:fldCharType="end"/>
            </w:r>
          </w:hyperlink>
        </w:p>
        <w:p w14:paraId="1B3F854F" w14:textId="77777777" w:rsidR="00192C7D" w:rsidRDefault="00BA13D2">
          <w:pPr>
            <w:pStyle w:val="TOC3"/>
            <w:rPr>
              <w:rFonts w:asciiTheme="minorHAnsi" w:eastAsiaTheme="minorEastAsia" w:hAnsiTheme="minorHAnsi"/>
              <w:lang w:eastAsia="en-AU"/>
            </w:rPr>
          </w:pPr>
          <w:hyperlink w:anchor="_Toc501379536" w:history="1">
            <w:r w:rsidR="00192C7D" w:rsidRPr="00B029E6">
              <w:rPr>
                <w:rStyle w:val="Hyperlink"/>
              </w:rPr>
              <w:t>5.1.1</w:t>
            </w:r>
            <w:r w:rsidR="00192C7D">
              <w:rPr>
                <w:rFonts w:asciiTheme="minorHAnsi" w:eastAsiaTheme="minorEastAsia" w:hAnsiTheme="minorHAnsi"/>
                <w:lang w:eastAsia="en-AU"/>
              </w:rPr>
              <w:tab/>
            </w:r>
            <w:r w:rsidR="00192C7D" w:rsidRPr="00B029E6">
              <w:rPr>
                <w:rStyle w:val="Hyperlink"/>
              </w:rPr>
              <w:t>Estimates</w:t>
            </w:r>
            <w:r w:rsidR="00192C7D">
              <w:rPr>
                <w:webHidden/>
              </w:rPr>
              <w:tab/>
            </w:r>
            <w:r w:rsidR="00192C7D">
              <w:rPr>
                <w:webHidden/>
              </w:rPr>
              <w:fldChar w:fldCharType="begin"/>
            </w:r>
            <w:r w:rsidR="00192C7D">
              <w:rPr>
                <w:webHidden/>
              </w:rPr>
              <w:instrText xml:space="preserve"> PAGEREF _Toc501379536 \h </w:instrText>
            </w:r>
            <w:r w:rsidR="00192C7D">
              <w:rPr>
                <w:webHidden/>
              </w:rPr>
            </w:r>
            <w:r w:rsidR="00192C7D">
              <w:rPr>
                <w:webHidden/>
              </w:rPr>
              <w:fldChar w:fldCharType="separate"/>
            </w:r>
            <w:r w:rsidR="00EB411F">
              <w:rPr>
                <w:webHidden/>
              </w:rPr>
              <w:t>23</w:t>
            </w:r>
            <w:r w:rsidR="00192C7D">
              <w:rPr>
                <w:webHidden/>
              </w:rPr>
              <w:fldChar w:fldCharType="end"/>
            </w:r>
          </w:hyperlink>
        </w:p>
        <w:p w14:paraId="6EE9F6F9" w14:textId="77777777" w:rsidR="00192C7D" w:rsidRDefault="00BA13D2">
          <w:pPr>
            <w:pStyle w:val="TOC3"/>
            <w:rPr>
              <w:rFonts w:asciiTheme="minorHAnsi" w:eastAsiaTheme="minorEastAsia" w:hAnsiTheme="minorHAnsi"/>
              <w:lang w:eastAsia="en-AU"/>
            </w:rPr>
          </w:pPr>
          <w:hyperlink w:anchor="_Toc501379537" w:history="1">
            <w:r w:rsidR="00192C7D" w:rsidRPr="00B029E6">
              <w:rPr>
                <w:rStyle w:val="Hyperlink"/>
              </w:rPr>
              <w:t>5.1.2</w:t>
            </w:r>
            <w:r w:rsidR="00192C7D">
              <w:rPr>
                <w:rFonts w:asciiTheme="minorHAnsi" w:eastAsiaTheme="minorEastAsia" w:hAnsiTheme="minorHAnsi"/>
                <w:lang w:eastAsia="en-AU"/>
              </w:rPr>
              <w:tab/>
            </w:r>
            <w:r w:rsidR="00192C7D" w:rsidRPr="00B029E6">
              <w:rPr>
                <w:rStyle w:val="Hyperlink"/>
              </w:rPr>
              <w:t>Weighted average price calculations</w:t>
            </w:r>
            <w:r w:rsidR="00192C7D">
              <w:rPr>
                <w:webHidden/>
              </w:rPr>
              <w:tab/>
            </w:r>
            <w:r w:rsidR="00192C7D">
              <w:rPr>
                <w:webHidden/>
              </w:rPr>
              <w:fldChar w:fldCharType="begin"/>
            </w:r>
            <w:r w:rsidR="00192C7D">
              <w:rPr>
                <w:webHidden/>
              </w:rPr>
              <w:instrText xml:space="preserve"> PAGEREF _Toc501379537 \h </w:instrText>
            </w:r>
            <w:r w:rsidR="00192C7D">
              <w:rPr>
                <w:webHidden/>
              </w:rPr>
            </w:r>
            <w:r w:rsidR="00192C7D">
              <w:rPr>
                <w:webHidden/>
              </w:rPr>
              <w:fldChar w:fldCharType="separate"/>
            </w:r>
            <w:r w:rsidR="00EB411F">
              <w:rPr>
                <w:webHidden/>
              </w:rPr>
              <w:t>23</w:t>
            </w:r>
            <w:r w:rsidR="00192C7D">
              <w:rPr>
                <w:webHidden/>
              </w:rPr>
              <w:fldChar w:fldCharType="end"/>
            </w:r>
          </w:hyperlink>
        </w:p>
        <w:p w14:paraId="20B48F0B" w14:textId="77777777" w:rsidR="00192C7D" w:rsidRDefault="00BA13D2">
          <w:pPr>
            <w:pStyle w:val="TOC2"/>
            <w:rPr>
              <w:rFonts w:asciiTheme="minorHAnsi" w:eastAsiaTheme="minorEastAsia" w:hAnsiTheme="minorHAnsi"/>
              <w:lang w:eastAsia="en-AU"/>
            </w:rPr>
          </w:pPr>
          <w:hyperlink w:anchor="_Toc501379538" w:history="1">
            <w:r w:rsidR="00192C7D" w:rsidRPr="00B029E6">
              <w:rPr>
                <w:rStyle w:val="Hyperlink"/>
              </w:rPr>
              <w:t>5.2</w:t>
            </w:r>
            <w:r w:rsidR="00192C7D">
              <w:rPr>
                <w:rFonts w:asciiTheme="minorHAnsi" w:eastAsiaTheme="minorEastAsia" w:hAnsiTheme="minorHAnsi"/>
                <w:lang w:eastAsia="en-AU"/>
              </w:rPr>
              <w:tab/>
            </w:r>
            <w:r w:rsidR="00192C7D" w:rsidRPr="00B029E6">
              <w:rPr>
                <w:rStyle w:val="Hyperlink"/>
              </w:rPr>
              <w:t>Assurance</w:t>
            </w:r>
            <w:r w:rsidR="00192C7D">
              <w:rPr>
                <w:webHidden/>
              </w:rPr>
              <w:tab/>
            </w:r>
            <w:r w:rsidR="00192C7D">
              <w:rPr>
                <w:webHidden/>
              </w:rPr>
              <w:fldChar w:fldCharType="begin"/>
            </w:r>
            <w:r w:rsidR="00192C7D">
              <w:rPr>
                <w:webHidden/>
              </w:rPr>
              <w:instrText xml:space="preserve"> PAGEREF _Toc501379538 \h </w:instrText>
            </w:r>
            <w:r w:rsidR="00192C7D">
              <w:rPr>
                <w:webHidden/>
              </w:rPr>
            </w:r>
            <w:r w:rsidR="00192C7D">
              <w:rPr>
                <w:webHidden/>
              </w:rPr>
              <w:fldChar w:fldCharType="separate"/>
            </w:r>
            <w:r w:rsidR="00EB411F">
              <w:rPr>
                <w:webHidden/>
              </w:rPr>
              <w:t>24</w:t>
            </w:r>
            <w:r w:rsidR="00192C7D">
              <w:rPr>
                <w:webHidden/>
              </w:rPr>
              <w:fldChar w:fldCharType="end"/>
            </w:r>
          </w:hyperlink>
        </w:p>
        <w:p w14:paraId="49E051B7" w14:textId="77777777" w:rsidR="00192C7D" w:rsidRDefault="00BA13D2">
          <w:pPr>
            <w:pStyle w:val="TOC2"/>
            <w:rPr>
              <w:rFonts w:asciiTheme="minorHAnsi" w:eastAsiaTheme="minorEastAsia" w:hAnsiTheme="minorHAnsi"/>
              <w:lang w:eastAsia="en-AU"/>
            </w:rPr>
          </w:pPr>
          <w:hyperlink w:anchor="_Toc501379539" w:history="1">
            <w:r w:rsidR="00192C7D" w:rsidRPr="00B029E6">
              <w:rPr>
                <w:rStyle w:val="Hyperlink"/>
              </w:rPr>
              <w:t>5.3</w:t>
            </w:r>
            <w:r w:rsidR="00192C7D">
              <w:rPr>
                <w:rFonts w:asciiTheme="minorHAnsi" w:eastAsiaTheme="minorEastAsia" w:hAnsiTheme="minorHAnsi"/>
                <w:lang w:eastAsia="en-AU"/>
              </w:rPr>
              <w:tab/>
            </w:r>
            <w:r w:rsidR="00192C7D" w:rsidRPr="00B029E6">
              <w:rPr>
                <w:rStyle w:val="Hyperlink"/>
              </w:rPr>
              <w:t>Exemptions</w:t>
            </w:r>
            <w:r w:rsidR="00192C7D">
              <w:rPr>
                <w:webHidden/>
              </w:rPr>
              <w:tab/>
            </w:r>
            <w:r w:rsidR="00192C7D">
              <w:rPr>
                <w:webHidden/>
              </w:rPr>
              <w:fldChar w:fldCharType="begin"/>
            </w:r>
            <w:r w:rsidR="00192C7D">
              <w:rPr>
                <w:webHidden/>
              </w:rPr>
              <w:instrText xml:space="preserve"> PAGEREF _Toc501379539 \h </w:instrText>
            </w:r>
            <w:r w:rsidR="00192C7D">
              <w:rPr>
                <w:webHidden/>
              </w:rPr>
            </w:r>
            <w:r w:rsidR="00192C7D">
              <w:rPr>
                <w:webHidden/>
              </w:rPr>
              <w:fldChar w:fldCharType="separate"/>
            </w:r>
            <w:r w:rsidR="00EB411F">
              <w:rPr>
                <w:webHidden/>
              </w:rPr>
              <w:t>24</w:t>
            </w:r>
            <w:r w:rsidR="00192C7D">
              <w:rPr>
                <w:webHidden/>
              </w:rPr>
              <w:fldChar w:fldCharType="end"/>
            </w:r>
          </w:hyperlink>
        </w:p>
        <w:p w14:paraId="3DABC694" w14:textId="77777777" w:rsidR="00192C7D" w:rsidRDefault="00BA13D2" w:rsidP="00192C7D">
          <w:pPr>
            <w:pStyle w:val="TOC1"/>
            <w:rPr>
              <w:rFonts w:asciiTheme="minorHAnsi" w:eastAsiaTheme="minorEastAsia" w:hAnsiTheme="minorHAnsi"/>
              <w:lang w:val="en-AU" w:eastAsia="en-AU"/>
            </w:rPr>
          </w:pPr>
          <w:hyperlink w:anchor="_Toc501379540" w:history="1">
            <w:r w:rsidR="00192C7D" w:rsidRPr="00B029E6">
              <w:rPr>
                <w:rStyle w:val="Hyperlink"/>
              </w:rPr>
              <w:t>6</w:t>
            </w:r>
            <w:r w:rsidR="00192C7D">
              <w:rPr>
                <w:rFonts w:asciiTheme="minorHAnsi" w:eastAsiaTheme="minorEastAsia" w:hAnsiTheme="minorHAnsi"/>
                <w:lang w:val="en-AU" w:eastAsia="en-AU"/>
              </w:rPr>
              <w:tab/>
            </w:r>
            <w:r w:rsidR="00192C7D" w:rsidRPr="00B029E6">
              <w:rPr>
                <w:rStyle w:val="Hyperlink"/>
              </w:rPr>
              <w:t>Compliance and enforcement</w:t>
            </w:r>
            <w:r w:rsidR="00192C7D">
              <w:rPr>
                <w:webHidden/>
              </w:rPr>
              <w:tab/>
            </w:r>
            <w:r w:rsidR="00192C7D">
              <w:rPr>
                <w:webHidden/>
              </w:rPr>
              <w:fldChar w:fldCharType="begin"/>
            </w:r>
            <w:r w:rsidR="00192C7D">
              <w:rPr>
                <w:webHidden/>
              </w:rPr>
              <w:instrText xml:space="preserve"> PAGEREF _Toc501379540 \h </w:instrText>
            </w:r>
            <w:r w:rsidR="00192C7D">
              <w:rPr>
                <w:webHidden/>
              </w:rPr>
            </w:r>
            <w:r w:rsidR="00192C7D">
              <w:rPr>
                <w:webHidden/>
              </w:rPr>
              <w:fldChar w:fldCharType="separate"/>
            </w:r>
            <w:r w:rsidR="00EB411F">
              <w:rPr>
                <w:webHidden/>
              </w:rPr>
              <w:t>25</w:t>
            </w:r>
            <w:r w:rsidR="00192C7D">
              <w:rPr>
                <w:webHidden/>
              </w:rPr>
              <w:fldChar w:fldCharType="end"/>
            </w:r>
          </w:hyperlink>
        </w:p>
        <w:p w14:paraId="01EDE13A" w14:textId="77777777" w:rsidR="00192C7D" w:rsidRDefault="00BA13D2">
          <w:pPr>
            <w:pStyle w:val="TOC2"/>
            <w:rPr>
              <w:rFonts w:asciiTheme="minorHAnsi" w:eastAsiaTheme="minorEastAsia" w:hAnsiTheme="minorHAnsi"/>
              <w:lang w:eastAsia="en-AU"/>
            </w:rPr>
          </w:pPr>
          <w:hyperlink w:anchor="_Toc501379541" w:history="1">
            <w:r w:rsidR="00192C7D" w:rsidRPr="00B029E6">
              <w:rPr>
                <w:rStyle w:val="Hyperlink"/>
              </w:rPr>
              <w:t>6.1</w:t>
            </w:r>
            <w:r w:rsidR="00192C7D">
              <w:rPr>
                <w:rFonts w:asciiTheme="minorHAnsi" w:eastAsiaTheme="minorEastAsia" w:hAnsiTheme="minorHAnsi"/>
                <w:lang w:eastAsia="en-AU"/>
              </w:rPr>
              <w:tab/>
            </w:r>
            <w:r w:rsidR="00192C7D" w:rsidRPr="00B029E6">
              <w:rPr>
                <w:rStyle w:val="Hyperlink"/>
              </w:rPr>
              <w:t>Maintaining compliance</w:t>
            </w:r>
            <w:r w:rsidR="00192C7D">
              <w:rPr>
                <w:webHidden/>
              </w:rPr>
              <w:tab/>
            </w:r>
            <w:r w:rsidR="00192C7D">
              <w:rPr>
                <w:webHidden/>
              </w:rPr>
              <w:fldChar w:fldCharType="begin"/>
            </w:r>
            <w:r w:rsidR="00192C7D">
              <w:rPr>
                <w:webHidden/>
              </w:rPr>
              <w:instrText xml:space="preserve"> PAGEREF _Toc501379541 \h </w:instrText>
            </w:r>
            <w:r w:rsidR="00192C7D">
              <w:rPr>
                <w:webHidden/>
              </w:rPr>
            </w:r>
            <w:r w:rsidR="00192C7D">
              <w:rPr>
                <w:webHidden/>
              </w:rPr>
              <w:fldChar w:fldCharType="separate"/>
            </w:r>
            <w:r w:rsidR="00EB411F">
              <w:rPr>
                <w:webHidden/>
              </w:rPr>
              <w:t>25</w:t>
            </w:r>
            <w:r w:rsidR="00192C7D">
              <w:rPr>
                <w:webHidden/>
              </w:rPr>
              <w:fldChar w:fldCharType="end"/>
            </w:r>
          </w:hyperlink>
        </w:p>
        <w:p w14:paraId="1DE63029" w14:textId="77777777" w:rsidR="00192C7D" w:rsidRDefault="00BA13D2">
          <w:pPr>
            <w:pStyle w:val="TOC2"/>
            <w:rPr>
              <w:rFonts w:asciiTheme="minorHAnsi" w:eastAsiaTheme="minorEastAsia" w:hAnsiTheme="minorHAnsi"/>
              <w:lang w:eastAsia="en-AU"/>
            </w:rPr>
          </w:pPr>
          <w:hyperlink w:anchor="_Toc501379542" w:history="1">
            <w:r w:rsidR="00192C7D" w:rsidRPr="00B029E6">
              <w:rPr>
                <w:rStyle w:val="Hyperlink"/>
              </w:rPr>
              <w:t>6.2</w:t>
            </w:r>
            <w:r w:rsidR="00192C7D">
              <w:rPr>
                <w:rFonts w:asciiTheme="minorHAnsi" w:eastAsiaTheme="minorEastAsia" w:hAnsiTheme="minorHAnsi"/>
                <w:lang w:eastAsia="en-AU"/>
              </w:rPr>
              <w:tab/>
            </w:r>
            <w:r w:rsidR="00192C7D" w:rsidRPr="00B029E6">
              <w:rPr>
                <w:rStyle w:val="Hyperlink"/>
              </w:rPr>
              <w:t>Reporting by the AER</w:t>
            </w:r>
            <w:r w:rsidR="00192C7D">
              <w:rPr>
                <w:webHidden/>
              </w:rPr>
              <w:tab/>
            </w:r>
            <w:r w:rsidR="00192C7D">
              <w:rPr>
                <w:webHidden/>
              </w:rPr>
              <w:fldChar w:fldCharType="begin"/>
            </w:r>
            <w:r w:rsidR="00192C7D">
              <w:rPr>
                <w:webHidden/>
              </w:rPr>
              <w:instrText xml:space="preserve"> PAGEREF _Toc501379542 \h </w:instrText>
            </w:r>
            <w:r w:rsidR="00192C7D">
              <w:rPr>
                <w:webHidden/>
              </w:rPr>
            </w:r>
            <w:r w:rsidR="00192C7D">
              <w:rPr>
                <w:webHidden/>
              </w:rPr>
              <w:fldChar w:fldCharType="separate"/>
            </w:r>
            <w:r w:rsidR="00EB411F">
              <w:rPr>
                <w:webHidden/>
              </w:rPr>
              <w:t>25</w:t>
            </w:r>
            <w:r w:rsidR="00192C7D">
              <w:rPr>
                <w:webHidden/>
              </w:rPr>
              <w:fldChar w:fldCharType="end"/>
            </w:r>
          </w:hyperlink>
        </w:p>
        <w:p w14:paraId="22D25051" w14:textId="77777777" w:rsidR="00192C7D" w:rsidRDefault="00BA13D2">
          <w:pPr>
            <w:pStyle w:val="TOC2"/>
            <w:rPr>
              <w:rFonts w:asciiTheme="minorHAnsi" w:eastAsiaTheme="minorEastAsia" w:hAnsiTheme="minorHAnsi"/>
              <w:lang w:eastAsia="en-AU"/>
            </w:rPr>
          </w:pPr>
          <w:hyperlink w:anchor="_Toc501379543" w:history="1">
            <w:r w:rsidR="00192C7D" w:rsidRPr="00B029E6">
              <w:rPr>
                <w:rStyle w:val="Hyperlink"/>
              </w:rPr>
              <w:t>6.3</w:t>
            </w:r>
            <w:r w:rsidR="00192C7D">
              <w:rPr>
                <w:rFonts w:asciiTheme="minorHAnsi" w:eastAsiaTheme="minorEastAsia" w:hAnsiTheme="minorHAnsi"/>
                <w:lang w:eastAsia="en-AU"/>
              </w:rPr>
              <w:tab/>
            </w:r>
            <w:r w:rsidR="00192C7D" w:rsidRPr="00B029E6">
              <w:rPr>
                <w:rStyle w:val="Hyperlink"/>
              </w:rPr>
              <w:t>Complaints and investigations</w:t>
            </w:r>
            <w:r w:rsidR="00192C7D">
              <w:rPr>
                <w:webHidden/>
              </w:rPr>
              <w:tab/>
            </w:r>
            <w:r w:rsidR="00192C7D">
              <w:rPr>
                <w:webHidden/>
              </w:rPr>
              <w:fldChar w:fldCharType="begin"/>
            </w:r>
            <w:r w:rsidR="00192C7D">
              <w:rPr>
                <w:webHidden/>
              </w:rPr>
              <w:instrText xml:space="preserve"> PAGEREF _Toc501379543 \h </w:instrText>
            </w:r>
            <w:r w:rsidR="00192C7D">
              <w:rPr>
                <w:webHidden/>
              </w:rPr>
            </w:r>
            <w:r w:rsidR="00192C7D">
              <w:rPr>
                <w:webHidden/>
              </w:rPr>
              <w:fldChar w:fldCharType="separate"/>
            </w:r>
            <w:r w:rsidR="00EB411F">
              <w:rPr>
                <w:webHidden/>
              </w:rPr>
              <w:t>25</w:t>
            </w:r>
            <w:r w:rsidR="00192C7D">
              <w:rPr>
                <w:webHidden/>
              </w:rPr>
              <w:fldChar w:fldCharType="end"/>
            </w:r>
          </w:hyperlink>
        </w:p>
        <w:p w14:paraId="795FFF7A" w14:textId="77777777" w:rsidR="00192C7D" w:rsidRDefault="00BA13D2">
          <w:pPr>
            <w:pStyle w:val="TOC2"/>
            <w:rPr>
              <w:rFonts w:asciiTheme="minorHAnsi" w:eastAsiaTheme="minorEastAsia" w:hAnsiTheme="minorHAnsi"/>
              <w:lang w:eastAsia="en-AU"/>
            </w:rPr>
          </w:pPr>
          <w:hyperlink w:anchor="_Toc501379544" w:history="1">
            <w:r w:rsidR="00192C7D" w:rsidRPr="00B029E6">
              <w:rPr>
                <w:rStyle w:val="Hyperlink"/>
              </w:rPr>
              <w:t>6.4</w:t>
            </w:r>
            <w:r w:rsidR="00192C7D">
              <w:rPr>
                <w:rFonts w:asciiTheme="minorHAnsi" w:eastAsiaTheme="minorEastAsia" w:hAnsiTheme="minorHAnsi"/>
                <w:lang w:eastAsia="en-AU"/>
              </w:rPr>
              <w:tab/>
            </w:r>
            <w:r w:rsidR="00192C7D" w:rsidRPr="00B029E6">
              <w:rPr>
                <w:rStyle w:val="Hyperlink"/>
              </w:rPr>
              <w:t>Enforcement</w:t>
            </w:r>
            <w:r w:rsidR="00192C7D">
              <w:rPr>
                <w:webHidden/>
              </w:rPr>
              <w:tab/>
            </w:r>
            <w:r w:rsidR="00192C7D">
              <w:rPr>
                <w:webHidden/>
              </w:rPr>
              <w:fldChar w:fldCharType="begin"/>
            </w:r>
            <w:r w:rsidR="00192C7D">
              <w:rPr>
                <w:webHidden/>
              </w:rPr>
              <w:instrText xml:space="preserve"> PAGEREF _Toc501379544 \h </w:instrText>
            </w:r>
            <w:r w:rsidR="00192C7D">
              <w:rPr>
                <w:webHidden/>
              </w:rPr>
            </w:r>
            <w:r w:rsidR="00192C7D">
              <w:rPr>
                <w:webHidden/>
              </w:rPr>
              <w:fldChar w:fldCharType="separate"/>
            </w:r>
            <w:r w:rsidR="00EB411F">
              <w:rPr>
                <w:webHidden/>
              </w:rPr>
              <w:t>25</w:t>
            </w:r>
            <w:r w:rsidR="00192C7D">
              <w:rPr>
                <w:webHidden/>
              </w:rPr>
              <w:fldChar w:fldCharType="end"/>
            </w:r>
          </w:hyperlink>
        </w:p>
        <w:p w14:paraId="72D8D32B" w14:textId="77777777" w:rsidR="00192C7D" w:rsidRDefault="00BA13D2" w:rsidP="00192C7D">
          <w:pPr>
            <w:pStyle w:val="TOC1"/>
            <w:rPr>
              <w:rFonts w:asciiTheme="minorHAnsi" w:eastAsiaTheme="minorEastAsia" w:hAnsiTheme="minorHAnsi"/>
              <w:lang w:val="en-AU" w:eastAsia="en-AU"/>
            </w:rPr>
          </w:pPr>
          <w:hyperlink w:anchor="_Toc501379545" w:history="1">
            <w:r w:rsidR="00192C7D" w:rsidRPr="00B029E6">
              <w:rPr>
                <w:rStyle w:val="Hyperlink"/>
              </w:rPr>
              <w:t>7</w:t>
            </w:r>
            <w:r w:rsidR="00192C7D">
              <w:rPr>
                <w:rFonts w:asciiTheme="minorHAnsi" w:eastAsiaTheme="minorEastAsia" w:hAnsiTheme="minorHAnsi"/>
                <w:lang w:val="en-AU" w:eastAsia="en-AU"/>
              </w:rPr>
              <w:tab/>
            </w:r>
            <w:r w:rsidR="00192C7D" w:rsidRPr="00B029E6">
              <w:rPr>
                <w:rStyle w:val="Hyperlink"/>
              </w:rPr>
              <w:t>Basis of preparation</w:t>
            </w:r>
            <w:r w:rsidR="00192C7D">
              <w:rPr>
                <w:webHidden/>
              </w:rPr>
              <w:tab/>
            </w:r>
            <w:r w:rsidR="00192C7D">
              <w:rPr>
                <w:webHidden/>
              </w:rPr>
              <w:fldChar w:fldCharType="begin"/>
            </w:r>
            <w:r w:rsidR="00192C7D">
              <w:rPr>
                <w:webHidden/>
              </w:rPr>
              <w:instrText xml:space="preserve"> PAGEREF _Toc501379545 \h </w:instrText>
            </w:r>
            <w:r w:rsidR="00192C7D">
              <w:rPr>
                <w:webHidden/>
              </w:rPr>
            </w:r>
            <w:r w:rsidR="00192C7D">
              <w:rPr>
                <w:webHidden/>
              </w:rPr>
              <w:fldChar w:fldCharType="separate"/>
            </w:r>
            <w:r w:rsidR="00EB411F">
              <w:rPr>
                <w:webHidden/>
              </w:rPr>
              <w:t>26</w:t>
            </w:r>
            <w:r w:rsidR="00192C7D">
              <w:rPr>
                <w:webHidden/>
              </w:rPr>
              <w:fldChar w:fldCharType="end"/>
            </w:r>
          </w:hyperlink>
        </w:p>
        <w:p w14:paraId="032A0F63" w14:textId="77777777" w:rsidR="00192C7D" w:rsidRDefault="00BA13D2" w:rsidP="00192C7D">
          <w:pPr>
            <w:pStyle w:val="TOC1"/>
            <w:rPr>
              <w:rFonts w:asciiTheme="minorHAnsi" w:eastAsiaTheme="minorEastAsia" w:hAnsiTheme="minorHAnsi"/>
              <w:lang w:val="en-AU" w:eastAsia="en-AU"/>
            </w:rPr>
          </w:pPr>
          <w:hyperlink w:anchor="_Toc501379546" w:history="1">
            <w:r w:rsidR="00192C7D" w:rsidRPr="00B029E6">
              <w:rPr>
                <w:rStyle w:val="Hyperlink"/>
              </w:rPr>
              <w:t>8</w:t>
            </w:r>
            <w:r w:rsidR="00192C7D">
              <w:rPr>
                <w:rFonts w:asciiTheme="minorHAnsi" w:eastAsiaTheme="minorEastAsia" w:hAnsiTheme="minorHAnsi"/>
                <w:lang w:val="en-AU" w:eastAsia="en-AU"/>
              </w:rPr>
              <w:tab/>
            </w:r>
            <w:r w:rsidR="00192C7D" w:rsidRPr="00B029E6">
              <w:rPr>
                <w:rStyle w:val="Hyperlink"/>
              </w:rPr>
              <w:t>Assurance</w:t>
            </w:r>
            <w:r w:rsidR="00192C7D">
              <w:rPr>
                <w:webHidden/>
              </w:rPr>
              <w:tab/>
            </w:r>
            <w:r w:rsidR="00192C7D">
              <w:rPr>
                <w:webHidden/>
              </w:rPr>
              <w:fldChar w:fldCharType="begin"/>
            </w:r>
            <w:r w:rsidR="00192C7D">
              <w:rPr>
                <w:webHidden/>
              </w:rPr>
              <w:instrText xml:space="preserve"> PAGEREF _Toc501379546 \h </w:instrText>
            </w:r>
            <w:r w:rsidR="00192C7D">
              <w:rPr>
                <w:webHidden/>
              </w:rPr>
            </w:r>
            <w:r w:rsidR="00192C7D">
              <w:rPr>
                <w:webHidden/>
              </w:rPr>
              <w:fldChar w:fldCharType="separate"/>
            </w:r>
            <w:r w:rsidR="00EB411F">
              <w:rPr>
                <w:webHidden/>
              </w:rPr>
              <w:t>27</w:t>
            </w:r>
            <w:r w:rsidR="00192C7D">
              <w:rPr>
                <w:webHidden/>
              </w:rPr>
              <w:fldChar w:fldCharType="end"/>
            </w:r>
          </w:hyperlink>
        </w:p>
        <w:p w14:paraId="7F9CF8B1" w14:textId="77777777" w:rsidR="00192C7D" w:rsidRDefault="00BA13D2">
          <w:pPr>
            <w:pStyle w:val="TOC2"/>
            <w:rPr>
              <w:rFonts w:asciiTheme="minorHAnsi" w:eastAsiaTheme="minorEastAsia" w:hAnsiTheme="minorHAnsi"/>
              <w:lang w:eastAsia="en-AU"/>
            </w:rPr>
          </w:pPr>
          <w:hyperlink w:anchor="_Toc501379547" w:history="1">
            <w:r w:rsidR="00192C7D" w:rsidRPr="00B029E6">
              <w:rPr>
                <w:rStyle w:val="Hyperlink"/>
              </w:rPr>
              <w:t>8.1</w:t>
            </w:r>
            <w:r w:rsidR="00192C7D">
              <w:rPr>
                <w:rFonts w:asciiTheme="minorHAnsi" w:eastAsiaTheme="minorEastAsia" w:hAnsiTheme="minorHAnsi"/>
                <w:lang w:eastAsia="en-AU"/>
              </w:rPr>
              <w:tab/>
            </w:r>
            <w:r w:rsidR="00192C7D" w:rsidRPr="00B029E6">
              <w:rPr>
                <w:rStyle w:val="Hyperlink"/>
              </w:rPr>
              <w:t>Access information standard</w:t>
            </w:r>
            <w:r w:rsidR="00192C7D">
              <w:rPr>
                <w:webHidden/>
              </w:rPr>
              <w:tab/>
            </w:r>
            <w:r w:rsidR="00192C7D">
              <w:rPr>
                <w:webHidden/>
              </w:rPr>
              <w:fldChar w:fldCharType="begin"/>
            </w:r>
            <w:r w:rsidR="00192C7D">
              <w:rPr>
                <w:webHidden/>
              </w:rPr>
              <w:instrText xml:space="preserve"> PAGEREF _Toc501379547 \h </w:instrText>
            </w:r>
            <w:r w:rsidR="00192C7D">
              <w:rPr>
                <w:webHidden/>
              </w:rPr>
            </w:r>
            <w:r w:rsidR="00192C7D">
              <w:rPr>
                <w:webHidden/>
              </w:rPr>
              <w:fldChar w:fldCharType="separate"/>
            </w:r>
            <w:r w:rsidR="00EB411F">
              <w:rPr>
                <w:webHidden/>
              </w:rPr>
              <w:t>27</w:t>
            </w:r>
            <w:r w:rsidR="00192C7D">
              <w:rPr>
                <w:webHidden/>
              </w:rPr>
              <w:fldChar w:fldCharType="end"/>
            </w:r>
          </w:hyperlink>
        </w:p>
        <w:p w14:paraId="43FD9331" w14:textId="77777777" w:rsidR="00192C7D" w:rsidRDefault="00BA13D2">
          <w:pPr>
            <w:pStyle w:val="TOC2"/>
            <w:rPr>
              <w:rFonts w:asciiTheme="minorHAnsi" w:eastAsiaTheme="minorEastAsia" w:hAnsiTheme="minorHAnsi"/>
              <w:lang w:eastAsia="en-AU"/>
            </w:rPr>
          </w:pPr>
          <w:hyperlink w:anchor="_Toc501379548" w:history="1">
            <w:r w:rsidR="00192C7D" w:rsidRPr="00B029E6">
              <w:rPr>
                <w:rStyle w:val="Hyperlink"/>
              </w:rPr>
              <w:t>8.2</w:t>
            </w:r>
            <w:r w:rsidR="00192C7D">
              <w:rPr>
                <w:rFonts w:asciiTheme="minorHAnsi" w:eastAsiaTheme="minorEastAsia" w:hAnsiTheme="minorHAnsi"/>
                <w:lang w:eastAsia="en-AU"/>
              </w:rPr>
              <w:tab/>
            </w:r>
            <w:r w:rsidR="00192C7D" w:rsidRPr="00B029E6">
              <w:rPr>
                <w:rStyle w:val="Hyperlink"/>
              </w:rPr>
              <w:t>Assurance obligations</w:t>
            </w:r>
            <w:r w:rsidR="00192C7D">
              <w:rPr>
                <w:webHidden/>
              </w:rPr>
              <w:tab/>
            </w:r>
            <w:r w:rsidR="00192C7D">
              <w:rPr>
                <w:webHidden/>
              </w:rPr>
              <w:fldChar w:fldCharType="begin"/>
            </w:r>
            <w:r w:rsidR="00192C7D">
              <w:rPr>
                <w:webHidden/>
              </w:rPr>
              <w:instrText xml:space="preserve"> PAGEREF _Toc501379548 \h </w:instrText>
            </w:r>
            <w:r w:rsidR="00192C7D">
              <w:rPr>
                <w:webHidden/>
              </w:rPr>
            </w:r>
            <w:r w:rsidR="00192C7D">
              <w:rPr>
                <w:webHidden/>
              </w:rPr>
              <w:fldChar w:fldCharType="separate"/>
            </w:r>
            <w:r w:rsidR="00EB411F">
              <w:rPr>
                <w:webHidden/>
              </w:rPr>
              <w:t>27</w:t>
            </w:r>
            <w:r w:rsidR="00192C7D">
              <w:rPr>
                <w:webHidden/>
              </w:rPr>
              <w:fldChar w:fldCharType="end"/>
            </w:r>
          </w:hyperlink>
        </w:p>
        <w:p w14:paraId="720496FD" w14:textId="77777777" w:rsidR="00192C7D" w:rsidRDefault="00BA13D2">
          <w:pPr>
            <w:pStyle w:val="TOC2"/>
            <w:rPr>
              <w:rFonts w:asciiTheme="minorHAnsi" w:eastAsiaTheme="minorEastAsia" w:hAnsiTheme="minorHAnsi"/>
              <w:lang w:eastAsia="en-AU"/>
            </w:rPr>
          </w:pPr>
          <w:hyperlink w:anchor="_Toc501379549" w:history="1">
            <w:r w:rsidR="00192C7D" w:rsidRPr="00B029E6">
              <w:rPr>
                <w:rStyle w:val="Hyperlink"/>
              </w:rPr>
              <w:t>8.3</w:t>
            </w:r>
            <w:r w:rsidR="00192C7D">
              <w:rPr>
                <w:rFonts w:asciiTheme="minorHAnsi" w:eastAsiaTheme="minorEastAsia" w:hAnsiTheme="minorHAnsi"/>
                <w:lang w:eastAsia="en-AU"/>
              </w:rPr>
              <w:tab/>
            </w:r>
            <w:r w:rsidR="00192C7D" w:rsidRPr="00B029E6">
              <w:rPr>
                <w:rStyle w:val="Hyperlink"/>
              </w:rPr>
              <w:t>Persons to provide assurance</w:t>
            </w:r>
            <w:r w:rsidR="00192C7D">
              <w:rPr>
                <w:webHidden/>
              </w:rPr>
              <w:tab/>
            </w:r>
            <w:r w:rsidR="00192C7D">
              <w:rPr>
                <w:webHidden/>
              </w:rPr>
              <w:fldChar w:fldCharType="begin"/>
            </w:r>
            <w:r w:rsidR="00192C7D">
              <w:rPr>
                <w:webHidden/>
              </w:rPr>
              <w:instrText xml:space="preserve"> PAGEREF _Toc501379549 \h </w:instrText>
            </w:r>
            <w:r w:rsidR="00192C7D">
              <w:rPr>
                <w:webHidden/>
              </w:rPr>
            </w:r>
            <w:r w:rsidR="00192C7D">
              <w:rPr>
                <w:webHidden/>
              </w:rPr>
              <w:fldChar w:fldCharType="separate"/>
            </w:r>
            <w:r w:rsidR="00EB411F">
              <w:rPr>
                <w:webHidden/>
              </w:rPr>
              <w:t>28</w:t>
            </w:r>
            <w:r w:rsidR="00192C7D">
              <w:rPr>
                <w:webHidden/>
              </w:rPr>
              <w:fldChar w:fldCharType="end"/>
            </w:r>
          </w:hyperlink>
        </w:p>
        <w:p w14:paraId="35216019" w14:textId="77777777" w:rsidR="00192C7D" w:rsidRDefault="00BA13D2">
          <w:pPr>
            <w:pStyle w:val="TOC2"/>
            <w:rPr>
              <w:rFonts w:asciiTheme="minorHAnsi" w:eastAsiaTheme="minorEastAsia" w:hAnsiTheme="minorHAnsi"/>
              <w:lang w:eastAsia="en-AU"/>
            </w:rPr>
          </w:pPr>
          <w:hyperlink w:anchor="_Toc501379550" w:history="1">
            <w:r w:rsidR="00192C7D" w:rsidRPr="00B029E6">
              <w:rPr>
                <w:rStyle w:val="Hyperlink"/>
              </w:rPr>
              <w:t>8.4</w:t>
            </w:r>
            <w:r w:rsidR="00192C7D">
              <w:rPr>
                <w:rFonts w:asciiTheme="minorHAnsi" w:eastAsiaTheme="minorEastAsia" w:hAnsiTheme="minorHAnsi"/>
                <w:lang w:eastAsia="en-AU"/>
              </w:rPr>
              <w:tab/>
            </w:r>
            <w:r w:rsidR="00192C7D" w:rsidRPr="00B029E6">
              <w:rPr>
                <w:rStyle w:val="Hyperlink"/>
              </w:rPr>
              <w:t>Level of assurance required</w:t>
            </w:r>
            <w:r w:rsidR="00192C7D">
              <w:rPr>
                <w:webHidden/>
              </w:rPr>
              <w:tab/>
            </w:r>
            <w:r w:rsidR="00192C7D">
              <w:rPr>
                <w:webHidden/>
              </w:rPr>
              <w:fldChar w:fldCharType="begin"/>
            </w:r>
            <w:r w:rsidR="00192C7D">
              <w:rPr>
                <w:webHidden/>
              </w:rPr>
              <w:instrText xml:space="preserve"> PAGEREF _Toc501379550 \h </w:instrText>
            </w:r>
            <w:r w:rsidR="00192C7D">
              <w:rPr>
                <w:webHidden/>
              </w:rPr>
            </w:r>
            <w:r w:rsidR="00192C7D">
              <w:rPr>
                <w:webHidden/>
              </w:rPr>
              <w:fldChar w:fldCharType="separate"/>
            </w:r>
            <w:r w:rsidR="00EB411F">
              <w:rPr>
                <w:webHidden/>
              </w:rPr>
              <w:t>28</w:t>
            </w:r>
            <w:r w:rsidR="00192C7D">
              <w:rPr>
                <w:webHidden/>
              </w:rPr>
              <w:fldChar w:fldCharType="end"/>
            </w:r>
          </w:hyperlink>
        </w:p>
        <w:p w14:paraId="5C70600B" w14:textId="1D9421DE" w:rsidR="00192C7D" w:rsidRDefault="00BA13D2">
          <w:pPr>
            <w:pStyle w:val="TOC3"/>
            <w:rPr>
              <w:rFonts w:asciiTheme="minorHAnsi" w:eastAsiaTheme="minorEastAsia" w:hAnsiTheme="minorHAnsi"/>
              <w:lang w:eastAsia="en-AU"/>
            </w:rPr>
          </w:pPr>
          <w:hyperlink w:anchor="_Toc501379551" w:history="1">
            <w:r w:rsidR="00192C7D" w:rsidRPr="00B029E6">
              <w:rPr>
                <w:rStyle w:val="Hyperlink"/>
              </w:rPr>
              <w:t>8.4.1</w:t>
            </w:r>
            <w:r w:rsidR="00192C7D">
              <w:rPr>
                <w:rFonts w:asciiTheme="minorHAnsi" w:eastAsiaTheme="minorEastAsia" w:hAnsiTheme="minorHAnsi"/>
                <w:lang w:eastAsia="en-AU"/>
              </w:rPr>
              <w:tab/>
            </w:r>
            <w:r w:rsidR="00192C7D" w:rsidRPr="00B029E6">
              <w:rPr>
                <w:rStyle w:val="Hyperlink"/>
              </w:rPr>
              <w:t>Statement of pipeline revenues and expenses and Statement of pipeline assets</w:t>
            </w:r>
            <w:r w:rsidR="00192C7D">
              <w:rPr>
                <w:webHidden/>
              </w:rPr>
              <w:tab/>
            </w:r>
            <w:r w:rsidR="00192C7D">
              <w:rPr>
                <w:webHidden/>
              </w:rPr>
              <w:tab/>
            </w:r>
            <w:r w:rsidR="00192C7D">
              <w:rPr>
                <w:webHidden/>
              </w:rPr>
              <w:fldChar w:fldCharType="begin"/>
            </w:r>
            <w:r w:rsidR="00192C7D">
              <w:rPr>
                <w:webHidden/>
              </w:rPr>
              <w:instrText xml:space="preserve"> PAGEREF _Toc501379551 \h </w:instrText>
            </w:r>
            <w:r w:rsidR="00192C7D">
              <w:rPr>
                <w:webHidden/>
              </w:rPr>
            </w:r>
            <w:r w:rsidR="00192C7D">
              <w:rPr>
                <w:webHidden/>
              </w:rPr>
              <w:fldChar w:fldCharType="separate"/>
            </w:r>
            <w:r w:rsidR="00EB411F">
              <w:rPr>
                <w:webHidden/>
              </w:rPr>
              <w:t>28</w:t>
            </w:r>
            <w:r w:rsidR="00192C7D">
              <w:rPr>
                <w:webHidden/>
              </w:rPr>
              <w:fldChar w:fldCharType="end"/>
            </w:r>
          </w:hyperlink>
        </w:p>
        <w:p w14:paraId="5E217257" w14:textId="77777777" w:rsidR="00192C7D" w:rsidRDefault="00BA13D2">
          <w:pPr>
            <w:pStyle w:val="TOC3"/>
            <w:rPr>
              <w:rFonts w:asciiTheme="minorHAnsi" w:eastAsiaTheme="minorEastAsia" w:hAnsiTheme="minorHAnsi"/>
              <w:lang w:eastAsia="en-AU"/>
            </w:rPr>
          </w:pPr>
          <w:hyperlink w:anchor="_Toc501379552" w:history="1">
            <w:r w:rsidR="00192C7D" w:rsidRPr="00B029E6">
              <w:rPr>
                <w:rStyle w:val="Hyperlink"/>
              </w:rPr>
              <w:t>8.4.2</w:t>
            </w:r>
            <w:r w:rsidR="00192C7D">
              <w:rPr>
                <w:rFonts w:asciiTheme="minorHAnsi" w:eastAsiaTheme="minorEastAsia" w:hAnsiTheme="minorHAnsi"/>
                <w:lang w:eastAsia="en-AU"/>
              </w:rPr>
              <w:tab/>
            </w:r>
            <w:r w:rsidR="00192C7D" w:rsidRPr="00B029E6">
              <w:rPr>
                <w:rStyle w:val="Hyperlink"/>
              </w:rPr>
              <w:t>Recovered capital method</w:t>
            </w:r>
            <w:r w:rsidR="00192C7D">
              <w:rPr>
                <w:webHidden/>
              </w:rPr>
              <w:tab/>
            </w:r>
            <w:r w:rsidR="00192C7D">
              <w:rPr>
                <w:webHidden/>
              </w:rPr>
              <w:fldChar w:fldCharType="begin"/>
            </w:r>
            <w:r w:rsidR="00192C7D">
              <w:rPr>
                <w:webHidden/>
              </w:rPr>
              <w:instrText xml:space="preserve"> PAGEREF _Toc501379552 \h </w:instrText>
            </w:r>
            <w:r w:rsidR="00192C7D">
              <w:rPr>
                <w:webHidden/>
              </w:rPr>
            </w:r>
            <w:r w:rsidR="00192C7D">
              <w:rPr>
                <w:webHidden/>
              </w:rPr>
              <w:fldChar w:fldCharType="separate"/>
            </w:r>
            <w:r w:rsidR="00EB411F">
              <w:rPr>
                <w:webHidden/>
              </w:rPr>
              <w:t>28</w:t>
            </w:r>
            <w:r w:rsidR="00192C7D">
              <w:rPr>
                <w:webHidden/>
              </w:rPr>
              <w:fldChar w:fldCharType="end"/>
            </w:r>
          </w:hyperlink>
        </w:p>
        <w:p w14:paraId="442C6678" w14:textId="77777777" w:rsidR="00192C7D" w:rsidRDefault="00BA13D2">
          <w:pPr>
            <w:pStyle w:val="TOC3"/>
            <w:rPr>
              <w:rFonts w:asciiTheme="minorHAnsi" w:eastAsiaTheme="minorEastAsia" w:hAnsiTheme="minorHAnsi"/>
              <w:lang w:eastAsia="en-AU"/>
            </w:rPr>
          </w:pPr>
          <w:hyperlink w:anchor="_Toc501379553" w:history="1">
            <w:r w:rsidR="00192C7D" w:rsidRPr="00B029E6">
              <w:rPr>
                <w:rStyle w:val="Hyperlink"/>
              </w:rPr>
              <w:t>8.4.3</w:t>
            </w:r>
            <w:r w:rsidR="00192C7D">
              <w:rPr>
                <w:rFonts w:asciiTheme="minorHAnsi" w:eastAsiaTheme="minorEastAsia" w:hAnsiTheme="minorHAnsi"/>
                <w:lang w:eastAsia="en-AU"/>
              </w:rPr>
              <w:tab/>
            </w:r>
            <w:r w:rsidR="00192C7D" w:rsidRPr="00B029E6">
              <w:rPr>
                <w:rStyle w:val="Hyperlink"/>
              </w:rPr>
              <w:t>Weighted average price information</w:t>
            </w:r>
            <w:r w:rsidR="00192C7D">
              <w:rPr>
                <w:webHidden/>
              </w:rPr>
              <w:tab/>
            </w:r>
            <w:r w:rsidR="00192C7D">
              <w:rPr>
                <w:webHidden/>
              </w:rPr>
              <w:fldChar w:fldCharType="begin"/>
            </w:r>
            <w:r w:rsidR="00192C7D">
              <w:rPr>
                <w:webHidden/>
              </w:rPr>
              <w:instrText xml:space="preserve"> PAGEREF _Toc501379553 \h </w:instrText>
            </w:r>
            <w:r w:rsidR="00192C7D">
              <w:rPr>
                <w:webHidden/>
              </w:rPr>
            </w:r>
            <w:r w:rsidR="00192C7D">
              <w:rPr>
                <w:webHidden/>
              </w:rPr>
              <w:fldChar w:fldCharType="separate"/>
            </w:r>
            <w:r w:rsidR="00EB411F">
              <w:rPr>
                <w:webHidden/>
              </w:rPr>
              <w:t>28</w:t>
            </w:r>
            <w:r w:rsidR="00192C7D">
              <w:rPr>
                <w:webHidden/>
              </w:rPr>
              <w:fldChar w:fldCharType="end"/>
            </w:r>
          </w:hyperlink>
        </w:p>
        <w:p w14:paraId="7663F4E3" w14:textId="77777777" w:rsidR="00192C7D" w:rsidRDefault="00BA13D2" w:rsidP="00192C7D">
          <w:pPr>
            <w:pStyle w:val="TOC1"/>
            <w:rPr>
              <w:rFonts w:asciiTheme="minorHAnsi" w:eastAsiaTheme="minorEastAsia" w:hAnsiTheme="minorHAnsi"/>
              <w:lang w:val="en-AU" w:eastAsia="en-AU"/>
            </w:rPr>
          </w:pPr>
          <w:hyperlink w:anchor="_Toc501379554" w:history="1">
            <w:r w:rsidR="00192C7D" w:rsidRPr="00B029E6">
              <w:rPr>
                <w:rStyle w:val="Hyperlink"/>
              </w:rPr>
              <w:t>Appendix A – Pipeline asset lives</w:t>
            </w:r>
            <w:r w:rsidR="00192C7D">
              <w:rPr>
                <w:webHidden/>
              </w:rPr>
              <w:tab/>
            </w:r>
            <w:r w:rsidR="00192C7D">
              <w:rPr>
                <w:webHidden/>
              </w:rPr>
              <w:fldChar w:fldCharType="begin"/>
            </w:r>
            <w:r w:rsidR="00192C7D">
              <w:rPr>
                <w:webHidden/>
              </w:rPr>
              <w:instrText xml:space="preserve"> PAGEREF _Toc501379554 \h </w:instrText>
            </w:r>
            <w:r w:rsidR="00192C7D">
              <w:rPr>
                <w:webHidden/>
              </w:rPr>
            </w:r>
            <w:r w:rsidR="00192C7D">
              <w:rPr>
                <w:webHidden/>
              </w:rPr>
              <w:fldChar w:fldCharType="separate"/>
            </w:r>
            <w:r w:rsidR="00EB411F">
              <w:rPr>
                <w:webHidden/>
              </w:rPr>
              <w:t>29</w:t>
            </w:r>
            <w:r w:rsidR="00192C7D">
              <w:rPr>
                <w:webHidden/>
              </w:rPr>
              <w:fldChar w:fldCharType="end"/>
            </w:r>
          </w:hyperlink>
        </w:p>
        <w:p w14:paraId="3888D3B2" w14:textId="77777777" w:rsidR="00F17C79" w:rsidRDefault="00FA18DF" w:rsidP="00F17C79">
          <w:pPr>
            <w:spacing w:before="160" w:after="100" w:line="240" w:lineRule="auto"/>
            <w:contextualSpacing/>
            <w:rPr>
              <w:b/>
              <w:bCs/>
              <w:noProof/>
            </w:rPr>
            <w:sectPr w:rsidR="00F17C79" w:rsidSect="00F17C79">
              <w:footerReference w:type="even" r:id="rId18"/>
              <w:footerReference w:type="first" r:id="rId19"/>
              <w:pgSz w:w="11906" w:h="16838"/>
              <w:pgMar w:top="1276" w:right="1440" w:bottom="1440" w:left="1440" w:header="708" w:footer="708" w:gutter="0"/>
              <w:pgNumType w:fmt="lowerRoman" w:start="1"/>
              <w:cols w:space="708"/>
              <w:titlePg/>
              <w:docGrid w:linePitch="360"/>
            </w:sectPr>
          </w:pPr>
          <w:r>
            <w:rPr>
              <w:b/>
              <w:bCs/>
              <w:noProof/>
            </w:rPr>
            <w:fldChar w:fldCharType="end"/>
          </w:r>
        </w:p>
        <w:p w14:paraId="19C0D2B1" w14:textId="0703D180" w:rsidR="00FA18DF" w:rsidRDefault="00BA13D2"/>
      </w:sdtContent>
    </w:sdt>
    <w:p w14:paraId="3D6A9243" w14:textId="77777777" w:rsidR="008F7448" w:rsidRDefault="008F7448" w:rsidP="00685983">
      <w:pPr>
        <w:pStyle w:val="Heading1"/>
        <w:pageBreakBefore/>
        <w:numPr>
          <w:ilvl w:val="0"/>
          <w:numId w:val="32"/>
        </w:numPr>
        <w:tabs>
          <w:tab w:val="left" w:pos="680"/>
        </w:tabs>
        <w:ind w:left="680" w:hanging="680"/>
      </w:pPr>
      <w:bookmarkStart w:id="3" w:name="_Toc501379499"/>
      <w:r w:rsidRPr="006668AA">
        <w:lastRenderedPageBreak/>
        <w:t>Nature and authority</w:t>
      </w:r>
      <w:bookmarkEnd w:id="3"/>
      <w:bookmarkEnd w:id="1"/>
    </w:p>
    <w:p w14:paraId="3C79FA51" w14:textId="77777777" w:rsidR="008F7448" w:rsidRDefault="008F7448" w:rsidP="00685983">
      <w:pPr>
        <w:pStyle w:val="Heading2"/>
        <w:numPr>
          <w:ilvl w:val="1"/>
          <w:numId w:val="32"/>
        </w:numPr>
        <w:tabs>
          <w:tab w:val="left" w:pos="680"/>
        </w:tabs>
        <w:ind w:left="680" w:hanging="680"/>
      </w:pPr>
      <w:bookmarkStart w:id="4" w:name="_Toc499898209"/>
      <w:bookmarkStart w:id="5" w:name="_Toc501379500"/>
      <w:r w:rsidRPr="006668AA">
        <w:t>Introduction</w:t>
      </w:r>
      <w:bookmarkEnd w:id="4"/>
      <w:bookmarkEnd w:id="5"/>
    </w:p>
    <w:p w14:paraId="2E84D76F" w14:textId="77777777" w:rsidR="008F7448" w:rsidRPr="006668AA" w:rsidRDefault="008F7448" w:rsidP="008F7448">
      <w:r w:rsidRPr="00C93FB3">
        <w:rPr>
          <w:rStyle w:val="BookTitle"/>
          <w:i w:val="0"/>
        </w:rPr>
        <w:t xml:space="preserve">The </w:t>
      </w:r>
      <w:r w:rsidRPr="009D5674">
        <w:rPr>
          <w:rStyle w:val="BookTitle"/>
        </w:rPr>
        <w:t>National Gas (Pipelines Access-Arbitration) Amendment Act and Rule 2017</w:t>
      </w:r>
      <w:r w:rsidRPr="006668AA">
        <w:t xml:space="preserve"> aims to facilitate access on reasonable terms to services provided by non-scheme pipelines by implementing an information disclosure and arbitration framework. A key component of the framework is to provide </w:t>
      </w:r>
      <w:r w:rsidRPr="009D5674">
        <w:rPr>
          <w:rStyle w:val="Bold"/>
        </w:rPr>
        <w:t>prospective users</w:t>
      </w:r>
      <w:r w:rsidRPr="006668AA">
        <w:t xml:space="preserve"> of non-scheme pipelines with increased information in an effort to reduce the imbalance in bargaining power they can face when negotiating with </w:t>
      </w:r>
      <w:r w:rsidRPr="009D5674">
        <w:rPr>
          <w:rStyle w:val="Bold"/>
        </w:rPr>
        <w:t>service providers</w:t>
      </w:r>
      <w:r w:rsidRPr="006668AA">
        <w:t>.</w:t>
      </w:r>
    </w:p>
    <w:p w14:paraId="39498747" w14:textId="77777777" w:rsidR="008F7448" w:rsidRPr="006668AA" w:rsidRDefault="008F7448" w:rsidP="008F7448">
      <w:r w:rsidRPr="006668AA">
        <w:t>Under Part 23 of the National Gas Rules (</w:t>
      </w:r>
      <w:r w:rsidRPr="009D5674">
        <w:rPr>
          <w:rStyle w:val="Bold"/>
        </w:rPr>
        <w:t>NGR</w:t>
      </w:r>
      <w:r w:rsidRPr="006668AA">
        <w:t xml:space="preserve">), </w:t>
      </w:r>
      <w:r w:rsidRPr="009D5674">
        <w:rPr>
          <w:rStyle w:val="Bold"/>
        </w:rPr>
        <w:t>service providers</w:t>
      </w:r>
      <w:r w:rsidRPr="006668AA">
        <w:t xml:space="preserve"> for non-scheme pipelines are required to publish specific information, including financial information and </w:t>
      </w:r>
      <w:r w:rsidRPr="009D5674">
        <w:rPr>
          <w:rStyle w:val="Bold"/>
        </w:rPr>
        <w:t>weighted average price information</w:t>
      </w:r>
      <w:r w:rsidRPr="006668AA">
        <w:t xml:space="preserve">. Financial and </w:t>
      </w:r>
      <w:r w:rsidRPr="009D5674">
        <w:rPr>
          <w:rStyle w:val="Bold"/>
        </w:rPr>
        <w:t>weighted average price information</w:t>
      </w:r>
      <w:r w:rsidRPr="006668AA">
        <w:t xml:space="preserve"> is intended to assist </w:t>
      </w:r>
      <w:r w:rsidRPr="009D5674">
        <w:rPr>
          <w:rStyle w:val="Bold"/>
        </w:rPr>
        <w:t>prospective users</w:t>
      </w:r>
      <w:r w:rsidRPr="006668AA">
        <w:t xml:space="preserve"> to carry out a high-level assessment of the reasonableness of the </w:t>
      </w:r>
      <w:r w:rsidRPr="009D5674">
        <w:rPr>
          <w:rStyle w:val="Bold"/>
        </w:rPr>
        <w:t>service provider’s</w:t>
      </w:r>
      <w:r w:rsidRPr="006668AA">
        <w:t xml:space="preserve"> standing price, as well as the terms and conditions associated with the service. </w:t>
      </w:r>
    </w:p>
    <w:p w14:paraId="54D79359" w14:textId="496CD716" w:rsidR="008F7448" w:rsidRPr="006668AA" w:rsidRDefault="008F7448" w:rsidP="008F7448">
      <w:r w:rsidRPr="006668AA">
        <w:t>This Financial Reporting Guideline for non-scheme pipelines (</w:t>
      </w:r>
      <w:r w:rsidRPr="009D5674">
        <w:rPr>
          <w:rStyle w:val="Bold"/>
        </w:rPr>
        <w:t>Guideline</w:t>
      </w:r>
      <w:r w:rsidRPr="006668AA">
        <w:t xml:space="preserve">) is published by the </w:t>
      </w:r>
      <w:r w:rsidRPr="009D5674">
        <w:rPr>
          <w:rStyle w:val="Bold"/>
        </w:rPr>
        <w:t>AER</w:t>
      </w:r>
      <w:r w:rsidRPr="006668AA">
        <w:t xml:space="preserve"> in accordance with rule 557 of the </w:t>
      </w:r>
      <w:r w:rsidRPr="009D5674">
        <w:rPr>
          <w:rStyle w:val="Bold"/>
        </w:rPr>
        <w:t>NGR</w:t>
      </w:r>
      <w:r w:rsidRPr="006668AA">
        <w:t>. Broadly the NGR require</w:t>
      </w:r>
      <w:r w:rsidR="00D80A46">
        <w:t>s</w:t>
      </w:r>
      <w:r w:rsidRPr="006668AA">
        <w:t xml:space="preserve"> that the </w:t>
      </w:r>
      <w:r w:rsidRPr="009D5674">
        <w:rPr>
          <w:rStyle w:val="Bold"/>
        </w:rPr>
        <w:t>Guideline</w:t>
      </w:r>
      <w:r w:rsidRPr="006668AA">
        <w:t>:</w:t>
      </w:r>
    </w:p>
    <w:p w14:paraId="6D3C8E07" w14:textId="14DFD1AE" w:rsidR="008F7448" w:rsidRPr="006668AA" w:rsidRDefault="008F7448" w:rsidP="008F7448">
      <w:pPr>
        <w:pStyle w:val="ListBullet"/>
      </w:pPr>
      <w:r w:rsidRPr="006668AA">
        <w:t xml:space="preserve">provide for the publication of financial information about each non-scheme pipeline on a pipeline by pipeline basis and in respect of the financial year of the </w:t>
      </w:r>
      <w:r w:rsidRPr="009D5674">
        <w:rPr>
          <w:rStyle w:val="Bold"/>
        </w:rPr>
        <w:t>service provider</w:t>
      </w:r>
      <w:r w:rsidRPr="006668AA">
        <w:t xml:space="preserve"> for the pipeline</w:t>
      </w:r>
    </w:p>
    <w:p w14:paraId="4721946F" w14:textId="697BBAF4" w:rsidR="008F7448" w:rsidRPr="006668AA" w:rsidRDefault="008F7448" w:rsidP="008F7448">
      <w:pPr>
        <w:pStyle w:val="ListBullet"/>
      </w:pPr>
      <w:r w:rsidRPr="006668AA">
        <w:t xml:space="preserve">specify the methods, principles and inputs to be used to calculate </w:t>
      </w:r>
      <w:r w:rsidRPr="009D5674">
        <w:rPr>
          <w:rStyle w:val="Bold"/>
        </w:rPr>
        <w:t>weighted average price information</w:t>
      </w:r>
      <w:r w:rsidRPr="006668AA">
        <w:t xml:space="preserve"> and the form this information is to take</w:t>
      </w:r>
    </w:p>
    <w:p w14:paraId="6E4843C2" w14:textId="05308861" w:rsidR="008F7448" w:rsidRPr="006668AA" w:rsidRDefault="00717F78" w:rsidP="008F7448">
      <w:pPr>
        <w:pStyle w:val="ListBullet"/>
      </w:pPr>
      <w:r w:rsidRPr="00D827D7">
        <w:t>specify the level of detail of information required, which must be the level of detail reasonably required given the objectives of Part 23</w:t>
      </w:r>
    </w:p>
    <w:p w14:paraId="655C56B8" w14:textId="31ECAC48" w:rsidR="008F7448" w:rsidRPr="006668AA" w:rsidRDefault="008F7448" w:rsidP="008F7448">
      <w:pPr>
        <w:pStyle w:val="ListBullet"/>
      </w:pPr>
      <w:r w:rsidRPr="006668AA">
        <w:t>specify any accounting or audit standards that apply to the reported information</w:t>
      </w:r>
      <w:r w:rsidR="00E70617">
        <w:t>,</w:t>
      </w:r>
      <w:r w:rsidRPr="006668AA">
        <w:t xml:space="preserve"> and</w:t>
      </w:r>
    </w:p>
    <w:p w14:paraId="2277CAC1" w14:textId="5F89A27D" w:rsidR="008F7448" w:rsidRPr="006668AA" w:rsidRDefault="00717F78" w:rsidP="008F7448">
      <w:pPr>
        <w:pStyle w:val="ListBullet"/>
      </w:pPr>
      <w:r>
        <w:t>specify the level of audit assurance required for</w:t>
      </w:r>
      <w:r w:rsidRPr="00D827D7">
        <w:t xml:space="preserve"> the financial information and </w:t>
      </w:r>
      <w:r w:rsidRPr="0044609D">
        <w:t>weighted average price information</w:t>
      </w:r>
      <w:r w:rsidR="008F7448" w:rsidRPr="006668AA">
        <w:t>.</w:t>
      </w:r>
    </w:p>
    <w:p w14:paraId="68AA15E4" w14:textId="743B8701" w:rsidR="008F7448" w:rsidRPr="006668AA" w:rsidRDefault="008F7448" w:rsidP="008F7448">
      <w:r w:rsidRPr="006668AA">
        <w:t xml:space="preserve">The </w:t>
      </w:r>
      <w:r w:rsidRPr="009D5674">
        <w:rPr>
          <w:rStyle w:val="Bold"/>
        </w:rPr>
        <w:t>Guideline</w:t>
      </w:r>
      <w:r w:rsidRPr="006668AA">
        <w:t xml:space="preserve"> refers to </w:t>
      </w:r>
      <w:r w:rsidRPr="004C0278">
        <w:rPr>
          <w:rStyle w:val="Bold"/>
          <w:b w:val="0"/>
        </w:rPr>
        <w:t xml:space="preserve">the </w:t>
      </w:r>
      <w:r w:rsidRPr="009D5674">
        <w:rPr>
          <w:rStyle w:val="Bold"/>
        </w:rPr>
        <w:t>financial reporting template</w:t>
      </w:r>
      <w:r w:rsidRPr="006668AA">
        <w:t xml:space="preserve"> and sets out the requirements for </w:t>
      </w:r>
      <w:r w:rsidRPr="009D5674">
        <w:rPr>
          <w:rStyle w:val="Bold"/>
        </w:rPr>
        <w:t>service providers</w:t>
      </w:r>
      <w:r w:rsidRPr="006668AA">
        <w:t xml:space="preserve"> to complete the template. This </w:t>
      </w:r>
      <w:r w:rsidRPr="009D5674">
        <w:rPr>
          <w:rStyle w:val="Bold"/>
        </w:rPr>
        <w:t>Guideline</w:t>
      </w:r>
      <w:r w:rsidRPr="006668AA">
        <w:t xml:space="preserve"> is to be read in conjunction with the Financial Reporting Guideline for </w:t>
      </w:r>
      <w:r w:rsidR="00F668FB">
        <w:t>N</w:t>
      </w:r>
      <w:r w:rsidRPr="006668AA">
        <w:t xml:space="preserve">on-scheme </w:t>
      </w:r>
      <w:r w:rsidR="00F668FB">
        <w:t>P</w:t>
      </w:r>
      <w:r w:rsidRPr="006668AA">
        <w:t xml:space="preserve">ipelines Explanatory Statement.  </w:t>
      </w:r>
    </w:p>
    <w:p w14:paraId="6016CC7A" w14:textId="77777777" w:rsidR="008F7448" w:rsidRPr="006668AA" w:rsidRDefault="008F7448" w:rsidP="008F7448">
      <w:r w:rsidRPr="006668AA">
        <w:t xml:space="preserve">This </w:t>
      </w:r>
      <w:r w:rsidRPr="009D5674">
        <w:rPr>
          <w:rStyle w:val="Bold"/>
        </w:rPr>
        <w:t>Guideline</w:t>
      </w:r>
      <w:r w:rsidRPr="006668AA">
        <w:t xml:space="preserve"> prescribes:</w:t>
      </w:r>
    </w:p>
    <w:p w14:paraId="65AF5FCD" w14:textId="64C7C2E0" w:rsidR="008F7448" w:rsidRPr="006668AA" w:rsidRDefault="008F7448" w:rsidP="008F7448">
      <w:pPr>
        <w:pStyle w:val="ListBullet"/>
      </w:pPr>
      <w:r w:rsidRPr="006668AA">
        <w:t>the form and content of financial infor</w:t>
      </w:r>
      <w:r w:rsidR="006C518B">
        <w:t>mation required to be published</w:t>
      </w:r>
    </w:p>
    <w:p w14:paraId="13FB2281" w14:textId="3901D3DA" w:rsidR="008F7448" w:rsidRPr="006668AA" w:rsidRDefault="008F7448" w:rsidP="008F7448">
      <w:pPr>
        <w:pStyle w:val="ListBullet"/>
      </w:pPr>
      <w:r w:rsidRPr="006668AA">
        <w:t>the methodology, principles and inputs used to calc</w:t>
      </w:r>
      <w:r w:rsidR="006C518B">
        <w:t>ulate the financial information</w:t>
      </w:r>
    </w:p>
    <w:p w14:paraId="246758FA" w14:textId="40D3B1C0" w:rsidR="008F7448" w:rsidRPr="006668AA" w:rsidRDefault="008F7448" w:rsidP="008F7448">
      <w:pPr>
        <w:pStyle w:val="ListBullet"/>
      </w:pPr>
      <w:r w:rsidRPr="006668AA">
        <w:t xml:space="preserve">the form and content of the </w:t>
      </w:r>
      <w:r w:rsidRPr="009D5674">
        <w:rPr>
          <w:rStyle w:val="Bold"/>
        </w:rPr>
        <w:t>weighted average price information</w:t>
      </w:r>
      <w:r w:rsidR="006C518B">
        <w:t xml:space="preserve"> to be published</w:t>
      </w:r>
    </w:p>
    <w:p w14:paraId="2BCD2572" w14:textId="63216CA9" w:rsidR="008F7448" w:rsidRPr="006668AA" w:rsidRDefault="008F7448" w:rsidP="008F7448">
      <w:pPr>
        <w:pStyle w:val="ListBullet"/>
      </w:pPr>
      <w:r w:rsidRPr="006668AA">
        <w:t xml:space="preserve">the methodology, principles and inputs used to calculate the </w:t>
      </w:r>
      <w:r w:rsidRPr="009D5674">
        <w:rPr>
          <w:rStyle w:val="Bold"/>
        </w:rPr>
        <w:t>weighted average price information</w:t>
      </w:r>
      <w:r w:rsidR="006C518B">
        <w:t>,</w:t>
      </w:r>
      <w:r w:rsidRPr="006668AA">
        <w:t xml:space="preserve"> and</w:t>
      </w:r>
    </w:p>
    <w:p w14:paraId="782249D9" w14:textId="77777777" w:rsidR="008F7448" w:rsidRDefault="008F7448" w:rsidP="008F7448">
      <w:pPr>
        <w:pStyle w:val="ListBullet"/>
      </w:pPr>
      <w:r w:rsidRPr="006668AA">
        <w:t>the manner in which the above information must be certified by an independent auditor.</w:t>
      </w:r>
    </w:p>
    <w:p w14:paraId="5677F5F4" w14:textId="77777777" w:rsidR="008F7448" w:rsidRPr="006668AA" w:rsidRDefault="008F7448" w:rsidP="00685983">
      <w:pPr>
        <w:pStyle w:val="Heading2"/>
        <w:keepNext/>
        <w:numPr>
          <w:ilvl w:val="1"/>
          <w:numId w:val="32"/>
        </w:numPr>
        <w:tabs>
          <w:tab w:val="left" w:pos="680"/>
        </w:tabs>
        <w:ind w:left="680" w:hanging="680"/>
      </w:pPr>
      <w:bookmarkStart w:id="6" w:name="_Toc499898210"/>
      <w:bookmarkStart w:id="7" w:name="_Toc501379501"/>
      <w:r w:rsidRPr="006668AA">
        <w:lastRenderedPageBreak/>
        <w:t>Application of this Guideline</w:t>
      </w:r>
      <w:bookmarkEnd w:id="6"/>
      <w:bookmarkEnd w:id="7"/>
    </w:p>
    <w:p w14:paraId="53236FAD" w14:textId="77777777" w:rsidR="008F7448" w:rsidRPr="006668AA" w:rsidRDefault="008F7448" w:rsidP="00685983">
      <w:pPr>
        <w:pStyle w:val="Heading3"/>
        <w:keepNext/>
        <w:numPr>
          <w:ilvl w:val="2"/>
          <w:numId w:val="32"/>
        </w:numPr>
        <w:tabs>
          <w:tab w:val="left" w:pos="1021"/>
        </w:tabs>
        <w:ind w:left="1021" w:hanging="1021"/>
      </w:pPr>
      <w:bookmarkStart w:id="8" w:name="_Toc499898211"/>
      <w:bookmarkStart w:id="9" w:name="_Toc501379502"/>
      <w:r w:rsidRPr="006668AA">
        <w:t>Legal framework</w:t>
      </w:r>
      <w:bookmarkEnd w:id="8"/>
      <w:bookmarkEnd w:id="9"/>
    </w:p>
    <w:p w14:paraId="1180181E" w14:textId="77777777" w:rsidR="008F7448" w:rsidRPr="006668AA" w:rsidRDefault="008F7448" w:rsidP="008F7448">
      <w:r w:rsidRPr="006668AA">
        <w:t>The National Gas Law (</w:t>
      </w:r>
      <w:r w:rsidRPr="009D5674">
        <w:rPr>
          <w:rStyle w:val="Bold"/>
        </w:rPr>
        <w:t>NGL</w:t>
      </w:r>
      <w:r w:rsidRPr="006668AA">
        <w:t xml:space="preserve">) is set out in the schedule to the </w:t>
      </w:r>
      <w:r w:rsidRPr="009D5674">
        <w:rPr>
          <w:rStyle w:val="BookTitle"/>
        </w:rPr>
        <w:t>National Gas (South Australia) Act 2008</w:t>
      </w:r>
      <w:r w:rsidRPr="006668AA">
        <w:t xml:space="preserve"> (SA). The </w:t>
      </w:r>
      <w:r w:rsidRPr="009D5674">
        <w:rPr>
          <w:rStyle w:val="Bold"/>
        </w:rPr>
        <w:t>NGL</w:t>
      </w:r>
      <w:r w:rsidRPr="006668AA">
        <w:t xml:space="preserve"> applies in each participating jurisdiction (other than Western Australia) under application legislation of each jurisdiction. </w:t>
      </w:r>
    </w:p>
    <w:p w14:paraId="7A29E952" w14:textId="77777777" w:rsidR="008F7448" w:rsidRPr="006668AA" w:rsidRDefault="008F7448" w:rsidP="008F7448">
      <w:r w:rsidRPr="006668AA">
        <w:t xml:space="preserve">The </w:t>
      </w:r>
      <w:r w:rsidRPr="009D5674">
        <w:rPr>
          <w:rStyle w:val="Bold"/>
        </w:rPr>
        <w:t>NGR</w:t>
      </w:r>
      <w:r w:rsidRPr="006668AA">
        <w:t xml:space="preserve"> are made under the </w:t>
      </w:r>
      <w:r w:rsidRPr="009D5674">
        <w:rPr>
          <w:rStyle w:val="Bold"/>
        </w:rPr>
        <w:t>NGL</w:t>
      </w:r>
      <w:r w:rsidRPr="006668AA">
        <w:t xml:space="preserve"> and have the force of law.  </w:t>
      </w:r>
    </w:p>
    <w:p w14:paraId="34E8F85C" w14:textId="77777777" w:rsidR="008F7448" w:rsidRPr="006668AA" w:rsidRDefault="008F7448" w:rsidP="008F7448">
      <w:r w:rsidRPr="009D5674">
        <w:rPr>
          <w:rStyle w:val="BookTitle"/>
        </w:rPr>
        <w:t>The National Gas (South Australia) (Pipelines Access—Arbitration) Amendment Act 2017</w:t>
      </w:r>
      <w:r w:rsidRPr="006668AA">
        <w:t xml:space="preserve"> amended the </w:t>
      </w:r>
      <w:r w:rsidRPr="009D5674">
        <w:rPr>
          <w:rStyle w:val="Bold"/>
        </w:rPr>
        <w:t>NGL</w:t>
      </w:r>
      <w:r w:rsidRPr="006668AA">
        <w:t xml:space="preserve">. It introduced a new section 83A (relating to information) and a new Chapter 6A, amended section 271 and gave the South Australian Minister the power to make the initial rules about, among other things, access proposals, access disputes and arbitrations under Chapter 6A.  </w:t>
      </w:r>
    </w:p>
    <w:p w14:paraId="688CA7C7" w14:textId="4AAE7250" w:rsidR="008F7448" w:rsidRPr="006668AA" w:rsidRDefault="008F7448" w:rsidP="008F7448">
      <w:r w:rsidRPr="006668AA">
        <w:t xml:space="preserve">The initial </w:t>
      </w:r>
      <w:r w:rsidRPr="009D5674">
        <w:rPr>
          <w:rStyle w:val="Bold"/>
        </w:rPr>
        <w:t>NGR</w:t>
      </w:r>
      <w:r w:rsidRPr="006668AA">
        <w:t xml:space="preserve"> made by the Minister comprise</w:t>
      </w:r>
      <w:r w:rsidR="00D80A46">
        <w:t>d of</w:t>
      </w:r>
      <w:r w:rsidRPr="006668AA">
        <w:t xml:space="preserve"> a new Part 23 in the </w:t>
      </w:r>
      <w:r w:rsidRPr="009D5674">
        <w:rPr>
          <w:rStyle w:val="Bold"/>
        </w:rPr>
        <w:t>NGR</w:t>
      </w:r>
      <w:r w:rsidRPr="006668AA">
        <w:t xml:space="preserve"> and a new Schedule 4 to the </w:t>
      </w:r>
      <w:r w:rsidRPr="009D5674">
        <w:rPr>
          <w:rStyle w:val="Bold"/>
        </w:rPr>
        <w:t>NGR</w:t>
      </w:r>
      <w:r w:rsidRPr="006668AA">
        <w:t>. Schedule 4 sets out derogations and transitional provisions.</w:t>
      </w:r>
    </w:p>
    <w:p w14:paraId="770D6CA2" w14:textId="77777777" w:rsidR="008F7448" w:rsidRPr="006668AA" w:rsidRDefault="008F7448" w:rsidP="008F7448">
      <w:r w:rsidRPr="006668AA">
        <w:t xml:space="preserve">This </w:t>
      </w:r>
      <w:r w:rsidRPr="009D5674">
        <w:rPr>
          <w:rStyle w:val="Bold"/>
        </w:rPr>
        <w:t>Guideline</w:t>
      </w:r>
      <w:r w:rsidRPr="006668AA">
        <w:t xml:space="preserve"> should be read in conjunction with:</w:t>
      </w:r>
    </w:p>
    <w:p w14:paraId="590D7FE8" w14:textId="77777777" w:rsidR="008F7448" w:rsidRPr="006668AA" w:rsidRDefault="008F7448" w:rsidP="008F7448">
      <w:pPr>
        <w:pStyle w:val="ListBullet"/>
      </w:pPr>
      <w:r w:rsidRPr="006668AA">
        <w:t>the National Gas (South Australia) Act 2008 (</w:t>
      </w:r>
      <w:r w:rsidRPr="009D5674">
        <w:rPr>
          <w:rStyle w:val="Bold"/>
        </w:rPr>
        <w:t>NGL</w:t>
      </w:r>
      <w:r w:rsidRPr="006668AA">
        <w:t>)</w:t>
      </w:r>
    </w:p>
    <w:p w14:paraId="75F0C743" w14:textId="77777777" w:rsidR="008F7448" w:rsidRPr="006668AA" w:rsidRDefault="008F7448" w:rsidP="008F7448">
      <w:pPr>
        <w:pStyle w:val="ListBullet"/>
      </w:pPr>
      <w:r w:rsidRPr="006668AA">
        <w:t>the National Gas Rules (</w:t>
      </w:r>
      <w:r w:rsidRPr="009D5674">
        <w:rPr>
          <w:rStyle w:val="Bold"/>
        </w:rPr>
        <w:t>NGR</w:t>
      </w:r>
      <w:r w:rsidRPr="006668AA">
        <w:t>) and, in particular Part 23</w:t>
      </w:r>
    </w:p>
    <w:p w14:paraId="31194954" w14:textId="2642A49E" w:rsidR="008F7448" w:rsidRPr="006668AA" w:rsidRDefault="008F7448" w:rsidP="00F668FB">
      <w:pPr>
        <w:pStyle w:val="ListBullet"/>
      </w:pPr>
      <w:r w:rsidRPr="006668AA">
        <w:t>the Non-scheme Pipeline Arbitration Guide</w:t>
      </w:r>
      <w:r w:rsidR="00F668FB">
        <w:rPr>
          <w:rStyle w:val="FootnoteReference"/>
        </w:rPr>
        <w:footnoteReference w:id="2"/>
      </w:r>
      <w:r w:rsidR="00F668FB">
        <w:t xml:space="preserve"> </w:t>
      </w:r>
    </w:p>
    <w:p w14:paraId="321EFC40" w14:textId="486B50C5" w:rsidR="008F7448" w:rsidRDefault="008F7448" w:rsidP="008F7448">
      <w:pPr>
        <w:pStyle w:val="ListBullet"/>
      </w:pPr>
      <w:r w:rsidRPr="006668AA">
        <w:t>the Gas Pipeline Information Disclosure and Arbitration Framework</w:t>
      </w:r>
      <w:r w:rsidR="00940C9F">
        <w:t>.</w:t>
      </w:r>
      <w:r w:rsidR="00F668FB">
        <w:rPr>
          <w:rStyle w:val="FootnoteReference"/>
        </w:rPr>
        <w:footnoteReference w:id="3"/>
      </w:r>
    </w:p>
    <w:p w14:paraId="69BFE9D5" w14:textId="77777777" w:rsidR="008F7448" w:rsidRPr="00C1269A" w:rsidRDefault="008F7448" w:rsidP="00685983">
      <w:pPr>
        <w:pStyle w:val="Heading3"/>
        <w:numPr>
          <w:ilvl w:val="2"/>
          <w:numId w:val="32"/>
        </w:numPr>
        <w:tabs>
          <w:tab w:val="left" w:pos="1021"/>
        </w:tabs>
        <w:ind w:left="1021" w:hanging="1021"/>
      </w:pPr>
      <w:bookmarkStart w:id="10" w:name="_Toc499898212"/>
      <w:bookmarkStart w:id="11" w:name="_Toc501379503"/>
      <w:r w:rsidRPr="00C1269A">
        <w:t>The role of the AER</w:t>
      </w:r>
      <w:bookmarkEnd w:id="10"/>
      <w:bookmarkEnd w:id="11"/>
    </w:p>
    <w:p w14:paraId="027A6E45" w14:textId="77777777" w:rsidR="008F7448" w:rsidRPr="00C1269A" w:rsidRDefault="008F7448" w:rsidP="008F7448">
      <w:r w:rsidRPr="00C1269A">
        <w:t xml:space="preserve">The </w:t>
      </w:r>
      <w:r w:rsidRPr="009D5674">
        <w:rPr>
          <w:rStyle w:val="Bold"/>
        </w:rPr>
        <w:t>AER</w:t>
      </w:r>
      <w:r w:rsidRPr="00C1269A">
        <w:t xml:space="preserve"> is an independent statutory authority established under Part IIIAA of the </w:t>
      </w:r>
      <w:r w:rsidRPr="009D5674">
        <w:rPr>
          <w:rStyle w:val="BookTitle"/>
        </w:rPr>
        <w:t>Competition and Consumer Act 2010</w:t>
      </w:r>
      <w:r w:rsidRPr="00C1269A">
        <w:t xml:space="preserve"> (Commonwealth). </w:t>
      </w:r>
    </w:p>
    <w:p w14:paraId="2DE4F109" w14:textId="77777777" w:rsidR="008F7448" w:rsidRPr="00C1269A" w:rsidRDefault="008F7448" w:rsidP="008F7448">
      <w:r w:rsidRPr="00C1269A">
        <w:t xml:space="preserve">The </w:t>
      </w:r>
      <w:r w:rsidRPr="009D5674">
        <w:rPr>
          <w:rStyle w:val="Bold"/>
        </w:rPr>
        <w:t>AER</w:t>
      </w:r>
      <w:r w:rsidRPr="00C1269A">
        <w:t xml:space="preserve"> has two roles under Chapter 6A of the </w:t>
      </w:r>
      <w:r w:rsidRPr="009D5674">
        <w:rPr>
          <w:rStyle w:val="Bold"/>
        </w:rPr>
        <w:t>NGL</w:t>
      </w:r>
      <w:r w:rsidRPr="00C1269A">
        <w:t xml:space="preserve"> and Part 23 of the </w:t>
      </w:r>
      <w:r w:rsidRPr="009D5674">
        <w:rPr>
          <w:rStyle w:val="Bold"/>
        </w:rPr>
        <w:t>NGR</w:t>
      </w:r>
      <w:r w:rsidRPr="00C1269A">
        <w:t xml:space="preserve">, as both regulator and scheme administrator. This </w:t>
      </w:r>
      <w:r w:rsidRPr="009D5674">
        <w:rPr>
          <w:rStyle w:val="Bold"/>
        </w:rPr>
        <w:t>Guideline</w:t>
      </w:r>
      <w:r w:rsidRPr="00C1269A">
        <w:t xml:space="preserve"> is published by the </w:t>
      </w:r>
      <w:r w:rsidRPr="009D5674">
        <w:rPr>
          <w:rStyle w:val="Bold"/>
        </w:rPr>
        <w:t>AER</w:t>
      </w:r>
      <w:r w:rsidRPr="00C1269A">
        <w:t xml:space="preserve"> in its capacity as regulator.</w:t>
      </w:r>
    </w:p>
    <w:p w14:paraId="42FFA0F1" w14:textId="77777777" w:rsidR="008F7448" w:rsidRPr="00C1269A" w:rsidRDefault="008F7448" w:rsidP="008F7448">
      <w:r w:rsidRPr="00C1269A">
        <w:t xml:space="preserve">As regulator, the </w:t>
      </w:r>
      <w:r w:rsidRPr="009D5674">
        <w:rPr>
          <w:rStyle w:val="Bold"/>
        </w:rPr>
        <w:t>AER</w:t>
      </w:r>
      <w:r w:rsidRPr="00C1269A">
        <w:t xml:space="preserve"> has the monitoring, investigative and enforcement powers conferred on it by the </w:t>
      </w:r>
      <w:r w:rsidRPr="009D5674">
        <w:rPr>
          <w:rStyle w:val="Bold"/>
        </w:rPr>
        <w:t>NGL</w:t>
      </w:r>
      <w:r w:rsidRPr="00C1269A">
        <w:t xml:space="preserve">. The enforcement options available to the </w:t>
      </w:r>
      <w:r w:rsidRPr="009D5674">
        <w:rPr>
          <w:rStyle w:val="Bold"/>
        </w:rPr>
        <w:t>AER</w:t>
      </w:r>
      <w:r w:rsidRPr="00C1269A">
        <w:t xml:space="preserve"> depend, in part, on whether the provisions in the </w:t>
      </w:r>
      <w:r w:rsidRPr="009D5674">
        <w:rPr>
          <w:rStyle w:val="Bold"/>
        </w:rPr>
        <w:t>NGL</w:t>
      </w:r>
      <w:r w:rsidRPr="00C1269A">
        <w:t xml:space="preserve"> or </w:t>
      </w:r>
      <w:r w:rsidRPr="009D5674">
        <w:rPr>
          <w:rStyle w:val="Bold"/>
        </w:rPr>
        <w:t>NGR</w:t>
      </w:r>
      <w:r w:rsidRPr="00C1269A">
        <w:t xml:space="preserve"> are designated as civil penalty provisions and/or conduct provisions in the </w:t>
      </w:r>
      <w:r w:rsidRPr="009D5674">
        <w:rPr>
          <w:rStyle w:val="Bold"/>
        </w:rPr>
        <w:t>NGL</w:t>
      </w:r>
      <w:r w:rsidRPr="00C1269A">
        <w:t xml:space="preserve"> or the regulations made under the </w:t>
      </w:r>
      <w:r w:rsidRPr="009D5674">
        <w:rPr>
          <w:rStyle w:val="Bold"/>
        </w:rPr>
        <w:t>NGL</w:t>
      </w:r>
      <w:r w:rsidRPr="00C1269A">
        <w:t>.</w:t>
      </w:r>
    </w:p>
    <w:p w14:paraId="63CE10A5" w14:textId="77777777" w:rsidR="008F7448" w:rsidRPr="00C1269A" w:rsidRDefault="008F7448" w:rsidP="00685983">
      <w:pPr>
        <w:pStyle w:val="Heading3"/>
        <w:keepNext/>
        <w:numPr>
          <w:ilvl w:val="2"/>
          <w:numId w:val="32"/>
        </w:numPr>
        <w:tabs>
          <w:tab w:val="left" w:pos="1021"/>
        </w:tabs>
        <w:ind w:left="1021" w:hanging="1021"/>
      </w:pPr>
      <w:bookmarkStart w:id="12" w:name="_Toc499898213"/>
      <w:bookmarkStart w:id="13" w:name="_Toc501379504"/>
      <w:r w:rsidRPr="00C1269A">
        <w:t>Commencement</w:t>
      </w:r>
      <w:bookmarkEnd w:id="12"/>
      <w:bookmarkEnd w:id="13"/>
    </w:p>
    <w:p w14:paraId="736174A3" w14:textId="49C43880" w:rsidR="008F7448" w:rsidRPr="00C1269A" w:rsidRDefault="008F7448" w:rsidP="008F7448">
      <w:r w:rsidRPr="00C1269A">
        <w:t xml:space="preserve">This </w:t>
      </w:r>
      <w:r w:rsidRPr="00AD19E8">
        <w:rPr>
          <w:b/>
        </w:rPr>
        <w:t>Guideline</w:t>
      </w:r>
      <w:r w:rsidRPr="00C1269A">
        <w:t xml:space="preserve"> commences on </w:t>
      </w:r>
      <w:r w:rsidR="00016721">
        <w:t>1 January 2018</w:t>
      </w:r>
      <w:r w:rsidRPr="00C1269A">
        <w:t>. Further detail regarding transitional reporting following this date is provided in Section 2.1.</w:t>
      </w:r>
    </w:p>
    <w:p w14:paraId="7CC4843A" w14:textId="77777777" w:rsidR="008F7448" w:rsidRPr="00C1269A" w:rsidRDefault="008F7448" w:rsidP="00685983">
      <w:pPr>
        <w:pStyle w:val="Heading3"/>
        <w:keepNext/>
        <w:numPr>
          <w:ilvl w:val="2"/>
          <w:numId w:val="32"/>
        </w:numPr>
        <w:tabs>
          <w:tab w:val="left" w:pos="1021"/>
        </w:tabs>
        <w:ind w:left="1021" w:hanging="1021"/>
      </w:pPr>
      <w:bookmarkStart w:id="14" w:name="_Toc499898214"/>
      <w:bookmarkStart w:id="15" w:name="_Toc501379505"/>
      <w:r w:rsidRPr="00C1269A">
        <w:lastRenderedPageBreak/>
        <w:t>Application</w:t>
      </w:r>
      <w:bookmarkEnd w:id="14"/>
      <w:bookmarkEnd w:id="15"/>
    </w:p>
    <w:p w14:paraId="1A119E62" w14:textId="2A726871" w:rsidR="008F7448" w:rsidRPr="00C1269A" w:rsidRDefault="008F7448" w:rsidP="008F7448">
      <w:r w:rsidRPr="00C1269A">
        <w:t xml:space="preserve">The information disclosure and arbitration framework, as articulated in Part 23 of the </w:t>
      </w:r>
      <w:r w:rsidRPr="009D5674">
        <w:rPr>
          <w:rStyle w:val="Bold"/>
        </w:rPr>
        <w:t>NGR</w:t>
      </w:r>
      <w:r w:rsidRPr="00C1269A">
        <w:t xml:space="preserve">, applies to non-scheme </w:t>
      </w:r>
      <w:r w:rsidRPr="009D5674">
        <w:rPr>
          <w:rStyle w:val="Bold"/>
        </w:rPr>
        <w:t>transmission</w:t>
      </w:r>
      <w:r w:rsidRPr="00C1269A">
        <w:t xml:space="preserve"> and </w:t>
      </w:r>
      <w:r w:rsidRPr="009D5674">
        <w:rPr>
          <w:rStyle w:val="Bold"/>
        </w:rPr>
        <w:t>distribution pipelines</w:t>
      </w:r>
      <w:r w:rsidRPr="00C1269A">
        <w:t>. The term “non-scheme pipeline” is defined in s</w:t>
      </w:r>
      <w:r w:rsidR="005016B3">
        <w:t>.</w:t>
      </w:r>
      <w:r w:rsidRPr="00C1269A">
        <w:t xml:space="preserve"> 83A of the </w:t>
      </w:r>
      <w:r w:rsidRPr="009D5674">
        <w:rPr>
          <w:rStyle w:val="Bold"/>
        </w:rPr>
        <w:t>NGL</w:t>
      </w:r>
      <w:r w:rsidRPr="00C1269A">
        <w:t xml:space="preserve"> as a </w:t>
      </w:r>
      <w:r w:rsidRPr="009D5674">
        <w:rPr>
          <w:rStyle w:val="Bold"/>
        </w:rPr>
        <w:t>transmission</w:t>
      </w:r>
      <w:r w:rsidRPr="00C1269A">
        <w:t xml:space="preserve"> or </w:t>
      </w:r>
      <w:r w:rsidRPr="009D5674">
        <w:rPr>
          <w:rStyle w:val="Bold"/>
        </w:rPr>
        <w:t>distribution pipeline</w:t>
      </w:r>
      <w:r w:rsidRPr="00C1269A">
        <w:t xml:space="preserve"> that is not a scheme pipeline, while the term “scheme pipeline” is defined in s</w:t>
      </w:r>
      <w:r w:rsidR="005016B3">
        <w:t>.</w:t>
      </w:r>
      <w:r w:rsidRPr="00C1269A">
        <w:t xml:space="preserve"> 2 of the </w:t>
      </w:r>
      <w:r w:rsidRPr="009D5674">
        <w:rPr>
          <w:rStyle w:val="Bold"/>
        </w:rPr>
        <w:t>NGL</w:t>
      </w:r>
      <w:r w:rsidRPr="00C1269A">
        <w:t xml:space="preserve"> as:</w:t>
      </w:r>
    </w:p>
    <w:p w14:paraId="30F5CC13" w14:textId="77777777" w:rsidR="008F7448" w:rsidRPr="00C1269A" w:rsidRDefault="008F7448" w:rsidP="008F7448">
      <w:pPr>
        <w:pStyle w:val="ListBullet"/>
      </w:pPr>
      <w:r w:rsidRPr="00C1269A">
        <w:t xml:space="preserve">a covered pipeline; or </w:t>
      </w:r>
    </w:p>
    <w:p w14:paraId="60A2D0C3" w14:textId="77777777" w:rsidR="008F7448" w:rsidRPr="00C1269A" w:rsidRDefault="008F7448" w:rsidP="008F7448">
      <w:pPr>
        <w:pStyle w:val="ListBullet"/>
      </w:pPr>
      <w:r w:rsidRPr="00C1269A">
        <w:t>an international pipeline to which a price regulation exemption applies.</w:t>
      </w:r>
    </w:p>
    <w:p w14:paraId="612FBD34" w14:textId="77777777" w:rsidR="008F7448" w:rsidRPr="00C1269A" w:rsidRDefault="008F7448" w:rsidP="00685983">
      <w:pPr>
        <w:pStyle w:val="Heading3"/>
        <w:numPr>
          <w:ilvl w:val="2"/>
          <w:numId w:val="32"/>
        </w:numPr>
        <w:tabs>
          <w:tab w:val="left" w:pos="1021"/>
        </w:tabs>
        <w:ind w:left="1021" w:hanging="1021"/>
      </w:pPr>
      <w:bookmarkStart w:id="16" w:name="_Toc499898215"/>
      <w:bookmarkStart w:id="17" w:name="_Toc501379506"/>
      <w:r w:rsidRPr="00C1269A">
        <w:t>Process for revisions</w:t>
      </w:r>
      <w:bookmarkEnd w:id="16"/>
      <w:bookmarkEnd w:id="17"/>
      <w:r w:rsidRPr="00C1269A">
        <w:t xml:space="preserve"> </w:t>
      </w:r>
    </w:p>
    <w:p w14:paraId="7F7A5119" w14:textId="1032461A" w:rsidR="008F7448" w:rsidRDefault="008F7448" w:rsidP="008F7448">
      <w:r w:rsidRPr="00C1269A">
        <w:t xml:space="preserve">The </w:t>
      </w:r>
      <w:r w:rsidRPr="009D5674">
        <w:rPr>
          <w:rStyle w:val="Bold"/>
        </w:rPr>
        <w:t>AER</w:t>
      </w:r>
      <w:r w:rsidRPr="00C1269A">
        <w:t xml:space="preserve"> may amend or replace this </w:t>
      </w:r>
      <w:r w:rsidRPr="009D5674">
        <w:rPr>
          <w:rStyle w:val="Bold"/>
        </w:rPr>
        <w:t>Guideline</w:t>
      </w:r>
      <w:r w:rsidRPr="00C1269A">
        <w:t xml:space="preserve"> from time to time, in accordance with r</w:t>
      </w:r>
      <w:r w:rsidR="005016B3">
        <w:t>.</w:t>
      </w:r>
      <w:r w:rsidRPr="00C1269A">
        <w:t xml:space="preserve"> 557(3) of the </w:t>
      </w:r>
      <w:r w:rsidRPr="009D5674">
        <w:rPr>
          <w:rStyle w:val="Bold"/>
        </w:rPr>
        <w:t>NGR</w:t>
      </w:r>
      <w:r w:rsidRPr="00C1269A">
        <w:t xml:space="preserve"> and the standard consultative procedure in r</w:t>
      </w:r>
      <w:r w:rsidR="005016B3">
        <w:t>.</w:t>
      </w:r>
      <w:r w:rsidRPr="00C1269A">
        <w:t xml:space="preserve"> 8 of the </w:t>
      </w:r>
      <w:r w:rsidRPr="009D5674">
        <w:rPr>
          <w:rStyle w:val="Bold"/>
        </w:rPr>
        <w:t>NGR</w:t>
      </w:r>
      <w:r w:rsidRPr="00C1269A">
        <w:t xml:space="preserve">.  A date of issue will identify each version of this </w:t>
      </w:r>
      <w:r w:rsidRPr="009D5674">
        <w:rPr>
          <w:rStyle w:val="Bold"/>
        </w:rPr>
        <w:t>Guideline</w:t>
      </w:r>
      <w:r w:rsidRPr="00C1269A">
        <w:t>.</w:t>
      </w:r>
    </w:p>
    <w:p w14:paraId="12862ACA" w14:textId="77777777" w:rsidR="008F7448" w:rsidRPr="00C1269A" w:rsidRDefault="008F7448" w:rsidP="00685983">
      <w:pPr>
        <w:pStyle w:val="Heading2"/>
        <w:numPr>
          <w:ilvl w:val="1"/>
          <w:numId w:val="32"/>
        </w:numPr>
        <w:tabs>
          <w:tab w:val="left" w:pos="680"/>
        </w:tabs>
        <w:ind w:left="680" w:hanging="680"/>
      </w:pPr>
      <w:bookmarkStart w:id="18" w:name="_Toc499202986"/>
      <w:bookmarkStart w:id="19" w:name="_Toc499898216"/>
      <w:bookmarkStart w:id="20" w:name="_Toc501379507"/>
      <w:r w:rsidRPr="00C1269A">
        <w:t>Interpretation</w:t>
      </w:r>
      <w:bookmarkEnd w:id="18"/>
      <w:bookmarkEnd w:id="19"/>
      <w:bookmarkEnd w:id="20"/>
      <w:r w:rsidRPr="00C1269A">
        <w:t xml:space="preserve"> </w:t>
      </w:r>
    </w:p>
    <w:p w14:paraId="402440DA" w14:textId="77777777" w:rsidR="008F7448" w:rsidRPr="00C1269A" w:rsidRDefault="008F7448" w:rsidP="008F7448">
      <w:r w:rsidRPr="00C1269A">
        <w:t xml:space="preserve">In this </w:t>
      </w:r>
      <w:r w:rsidRPr="009D5674">
        <w:rPr>
          <w:rStyle w:val="Bold"/>
        </w:rPr>
        <w:t>Guideline</w:t>
      </w:r>
      <w:r w:rsidRPr="00C1269A">
        <w:t xml:space="preserve">, unless the contrary intention appears: </w:t>
      </w:r>
    </w:p>
    <w:p w14:paraId="49D8D13F" w14:textId="77777777" w:rsidR="008F7448" w:rsidRPr="00C1269A" w:rsidRDefault="008F7448" w:rsidP="008F7448">
      <w:pPr>
        <w:pStyle w:val="ListBullet"/>
      </w:pPr>
      <w:r w:rsidRPr="00C1269A">
        <w:t xml:space="preserve">A term in bold type that is expressly defined in Section 1.4 of this </w:t>
      </w:r>
      <w:r w:rsidRPr="009D5674">
        <w:rPr>
          <w:rStyle w:val="Bold"/>
        </w:rPr>
        <w:t>Guideline</w:t>
      </w:r>
      <w:r w:rsidRPr="00C1269A">
        <w:t xml:space="preserve"> has the meaning set out in that Section.  </w:t>
      </w:r>
    </w:p>
    <w:p w14:paraId="1DE046DD" w14:textId="77777777" w:rsidR="008F7448" w:rsidRPr="00C1269A" w:rsidRDefault="008F7448" w:rsidP="008F7448">
      <w:pPr>
        <w:pStyle w:val="ListBullet"/>
      </w:pPr>
      <w:r w:rsidRPr="00C1269A">
        <w:t xml:space="preserve">A term in bold type that is not expressly defined in Section 1.4 of this </w:t>
      </w:r>
      <w:r w:rsidRPr="009D5674">
        <w:rPr>
          <w:rStyle w:val="Bold"/>
        </w:rPr>
        <w:t>Guideline</w:t>
      </w:r>
      <w:r w:rsidRPr="00C1269A">
        <w:t xml:space="preserve"> has the same meaning it has in the </w:t>
      </w:r>
      <w:r w:rsidRPr="009D5674">
        <w:rPr>
          <w:rStyle w:val="Bold"/>
        </w:rPr>
        <w:t>NGR</w:t>
      </w:r>
      <w:r w:rsidRPr="00C1269A">
        <w:t xml:space="preserve">.  </w:t>
      </w:r>
    </w:p>
    <w:p w14:paraId="400B521E" w14:textId="77777777" w:rsidR="008F7448" w:rsidRPr="00C1269A" w:rsidRDefault="008F7448" w:rsidP="008F7448">
      <w:pPr>
        <w:pStyle w:val="ListBullet"/>
      </w:pPr>
      <w:r w:rsidRPr="00C1269A">
        <w:t xml:space="preserve">The singular includes the plural, and vice versa. </w:t>
      </w:r>
    </w:p>
    <w:p w14:paraId="0D5A2DD5" w14:textId="77777777" w:rsidR="008F7448" w:rsidRPr="00C1269A" w:rsidRDefault="008F7448" w:rsidP="008F7448">
      <w:pPr>
        <w:pStyle w:val="ListBullet"/>
      </w:pPr>
      <w:r w:rsidRPr="00C1269A">
        <w:t>A reference to any legislation, legislative instrument or other instrument is a reference to that legislation or instrument as in force from time to time.</w:t>
      </w:r>
    </w:p>
    <w:p w14:paraId="579CEB31" w14:textId="77777777" w:rsidR="008F7448" w:rsidRDefault="008F7448" w:rsidP="008F7448">
      <w:pPr>
        <w:pStyle w:val="ListBullet"/>
      </w:pPr>
      <w:r w:rsidRPr="00C1269A">
        <w:t xml:space="preserve">Explanations in this </w:t>
      </w:r>
      <w:r w:rsidRPr="009D5674">
        <w:rPr>
          <w:rStyle w:val="Bold"/>
        </w:rPr>
        <w:t>Guideline</w:t>
      </w:r>
      <w:r w:rsidRPr="00C1269A">
        <w:t xml:space="preserve"> about why certain information is required are provided for guidance only. They do not limit in any way the </w:t>
      </w:r>
      <w:r w:rsidRPr="009D5674">
        <w:rPr>
          <w:rStyle w:val="Bold"/>
        </w:rPr>
        <w:t>AER</w:t>
      </w:r>
      <w:r w:rsidRPr="00C1269A">
        <w:t>’s objectives, functions or powers.</w:t>
      </w:r>
    </w:p>
    <w:p w14:paraId="39F79416" w14:textId="77777777" w:rsidR="008F7448" w:rsidRPr="00C1269A" w:rsidRDefault="008F7448" w:rsidP="00685983">
      <w:pPr>
        <w:pStyle w:val="Heading2"/>
        <w:numPr>
          <w:ilvl w:val="1"/>
          <w:numId w:val="32"/>
        </w:numPr>
        <w:tabs>
          <w:tab w:val="left" w:pos="680"/>
        </w:tabs>
        <w:ind w:left="680" w:hanging="680"/>
      </w:pPr>
      <w:bookmarkStart w:id="21" w:name="_Toc499898217"/>
      <w:bookmarkStart w:id="22" w:name="_Toc501379508"/>
      <w:r w:rsidRPr="00C1269A">
        <w:t>Definitions</w:t>
      </w:r>
      <w:bookmarkEnd w:id="21"/>
      <w:bookmarkEnd w:id="22"/>
    </w:p>
    <w:p w14:paraId="69F8EF4C" w14:textId="77777777" w:rsidR="008F7448" w:rsidRPr="00C1269A" w:rsidRDefault="008F7448" w:rsidP="008F7448">
      <w:r w:rsidRPr="00C1269A">
        <w:t xml:space="preserve">In this </w:t>
      </w:r>
      <w:r w:rsidRPr="009D5674">
        <w:rPr>
          <w:rStyle w:val="Bold"/>
        </w:rPr>
        <w:t>Guideline</w:t>
      </w:r>
      <w:r w:rsidRPr="00C1269A">
        <w:t>:</w:t>
      </w:r>
    </w:p>
    <w:p w14:paraId="0E01389D" w14:textId="77777777" w:rsidR="008F7448" w:rsidRPr="00C1269A" w:rsidRDefault="008F7448" w:rsidP="008F7448">
      <w:pPr>
        <w:pStyle w:val="ListBullet"/>
      </w:pPr>
      <w:r w:rsidRPr="009D5674">
        <w:rPr>
          <w:rStyle w:val="Bold"/>
        </w:rPr>
        <w:t>AASB</w:t>
      </w:r>
      <w:r w:rsidRPr="00C1269A">
        <w:t xml:space="preserve"> means the accounting standards prescribed by the Australian Accounting Standards Board.</w:t>
      </w:r>
    </w:p>
    <w:p w14:paraId="5FE59821" w14:textId="77777777" w:rsidR="008F7448" w:rsidRPr="00C1269A" w:rsidRDefault="008F7448" w:rsidP="008F7448">
      <w:pPr>
        <w:pStyle w:val="ListBullet"/>
      </w:pPr>
      <w:r w:rsidRPr="009D5674">
        <w:rPr>
          <w:rStyle w:val="Bold"/>
        </w:rPr>
        <w:t>AER</w:t>
      </w:r>
      <w:r w:rsidRPr="00C1269A">
        <w:t xml:space="preserve"> refers to the Australian Energy Regulator. </w:t>
      </w:r>
    </w:p>
    <w:p w14:paraId="26A01C2B" w14:textId="7768FD61" w:rsidR="008F7448" w:rsidRDefault="008F7448" w:rsidP="008F7448">
      <w:pPr>
        <w:pStyle w:val="ListBullet"/>
      </w:pPr>
      <w:r w:rsidRPr="009D5674">
        <w:rPr>
          <w:rStyle w:val="Bold"/>
        </w:rPr>
        <w:t>capital base</w:t>
      </w:r>
      <w:r w:rsidRPr="00C1269A">
        <w:t xml:space="preserve">, </w:t>
      </w:r>
      <w:r w:rsidRPr="00272576">
        <w:rPr>
          <w:rFonts w:hint="eastAsia"/>
        </w:rPr>
        <w:t xml:space="preserve">in relation to a pipeline, means the capital amount to be attributed, in accordance with this </w:t>
      </w:r>
      <w:r w:rsidRPr="004A767C">
        <w:rPr>
          <w:rFonts w:hint="eastAsia"/>
          <w:b/>
        </w:rPr>
        <w:t>Guideline</w:t>
      </w:r>
      <w:r w:rsidRPr="00272576">
        <w:rPr>
          <w:rFonts w:hint="eastAsia"/>
        </w:rPr>
        <w:t xml:space="preserve">, to </w:t>
      </w:r>
      <w:r w:rsidRPr="004A767C">
        <w:rPr>
          <w:rFonts w:hint="eastAsia"/>
          <w:b/>
        </w:rPr>
        <w:t>pipeline assets</w:t>
      </w:r>
      <w:r w:rsidRPr="00272576">
        <w:rPr>
          <w:rFonts w:hint="eastAsia"/>
        </w:rPr>
        <w:t xml:space="preserve">. The capital base calculation methodology differs for section 3 and section 4. In section 3 acquisition costs </w:t>
      </w:r>
      <w:r w:rsidR="001D15FE" w:rsidRPr="00272576">
        <w:t>can</w:t>
      </w:r>
      <w:r w:rsidRPr="00272576">
        <w:rPr>
          <w:rFonts w:hint="eastAsia"/>
        </w:rPr>
        <w:t xml:space="preserve"> be used where certain criteria are met. In section </w:t>
      </w:r>
      <w:r>
        <w:t>4</w:t>
      </w:r>
      <w:r w:rsidRPr="00272576">
        <w:rPr>
          <w:rFonts w:hint="eastAsia"/>
        </w:rPr>
        <w:t xml:space="preserve">, </w:t>
      </w:r>
      <w:r w:rsidRPr="00940C9F">
        <w:rPr>
          <w:rFonts w:hint="eastAsia"/>
          <w:b/>
        </w:rPr>
        <w:t>construction cost</w:t>
      </w:r>
      <w:r w:rsidRPr="00272576">
        <w:rPr>
          <w:rFonts w:hint="eastAsia"/>
        </w:rPr>
        <w:t xml:space="preserve"> is to be used, and where this is not available, an estimate provided.  </w:t>
      </w:r>
    </w:p>
    <w:p w14:paraId="6765640D" w14:textId="77777777" w:rsidR="008F7448" w:rsidRPr="006A1A83" w:rsidRDefault="008F7448" w:rsidP="008F7448">
      <w:pPr>
        <w:pStyle w:val="ListBullet"/>
        <w:rPr>
          <w:rStyle w:val="Bold"/>
          <w:b w:val="0"/>
          <w:bCs w:val="0"/>
        </w:rPr>
      </w:pPr>
      <w:r w:rsidRPr="006A1A83">
        <w:rPr>
          <w:rStyle w:val="Bold"/>
        </w:rPr>
        <w:t>capital expenditure</w:t>
      </w:r>
      <w:r w:rsidRPr="006A1A83">
        <w:t xml:space="preserve"> means pipeline expenditure of a capital nature that complies with the criteria specified in Section 3.2.2.</w:t>
      </w:r>
    </w:p>
    <w:p w14:paraId="37BC3D09" w14:textId="77777777" w:rsidR="008F7448" w:rsidRDefault="008F7448" w:rsidP="008F7448">
      <w:pPr>
        <w:pStyle w:val="ListBullet"/>
      </w:pPr>
      <w:r w:rsidRPr="009D5674">
        <w:rPr>
          <w:rStyle w:val="Bold"/>
        </w:rPr>
        <w:t>commencement date</w:t>
      </w:r>
      <w:r w:rsidRPr="00C1269A">
        <w:t xml:space="preserve"> means 1 January 2018.</w:t>
      </w:r>
    </w:p>
    <w:p w14:paraId="4B7E54D7" w14:textId="0FCC2053" w:rsidR="008F7448" w:rsidRPr="00C1269A" w:rsidRDefault="008F7448" w:rsidP="008F7448">
      <w:pPr>
        <w:pStyle w:val="ListBullet"/>
      </w:pPr>
      <w:r w:rsidRPr="00A3674D">
        <w:rPr>
          <w:rStyle w:val="Strong"/>
        </w:rPr>
        <w:lastRenderedPageBreak/>
        <w:t>construction cost</w:t>
      </w:r>
      <w:r w:rsidRPr="00272576">
        <w:rPr>
          <w:rFonts w:hint="eastAsia"/>
        </w:rPr>
        <w:t xml:space="preserve"> </w:t>
      </w:r>
      <w:r>
        <w:t>means the costs of construction of an asset. T</w:t>
      </w:r>
      <w:r w:rsidRPr="00272576">
        <w:t>he</w:t>
      </w:r>
      <w:r w:rsidRPr="00272576">
        <w:rPr>
          <w:rFonts w:hint="eastAsia"/>
        </w:rPr>
        <w:t xml:space="preserve"> </w:t>
      </w:r>
      <w:r w:rsidRPr="00940C9F">
        <w:rPr>
          <w:rFonts w:hint="eastAsia"/>
          <w:b/>
        </w:rPr>
        <w:t>construction costs</w:t>
      </w:r>
      <w:r w:rsidRPr="00272576">
        <w:rPr>
          <w:rFonts w:hint="eastAsia"/>
        </w:rPr>
        <w:t xml:space="preserve"> for </w:t>
      </w:r>
      <w:r w:rsidRPr="00A3674D">
        <w:rPr>
          <w:rStyle w:val="Strong"/>
        </w:rPr>
        <w:t>pipeline assets</w:t>
      </w:r>
      <w:r w:rsidRPr="00272576">
        <w:rPr>
          <w:rFonts w:hint="eastAsia"/>
        </w:rPr>
        <w:t xml:space="preserve"> </w:t>
      </w:r>
      <w:r w:rsidR="001D15FE" w:rsidRPr="00272576">
        <w:t>can</w:t>
      </w:r>
      <w:r w:rsidRPr="00272576">
        <w:rPr>
          <w:rFonts w:hint="eastAsia"/>
        </w:rPr>
        <w:t xml:space="preserve"> be capitalised where they meet the requirements for capitalisation according to the </w:t>
      </w:r>
      <w:r w:rsidRPr="00A3674D">
        <w:rPr>
          <w:rStyle w:val="Strong"/>
        </w:rPr>
        <w:t>AASB</w:t>
      </w:r>
      <w:r w:rsidRPr="00272576">
        <w:rPr>
          <w:rFonts w:hint="eastAsia"/>
        </w:rPr>
        <w:t xml:space="preserve">. Where an asset was not constructed by the </w:t>
      </w:r>
      <w:r w:rsidRPr="004A767C">
        <w:rPr>
          <w:rFonts w:hint="eastAsia"/>
          <w:b/>
        </w:rPr>
        <w:t>service provider</w:t>
      </w:r>
      <w:r w:rsidRPr="00272576">
        <w:rPr>
          <w:rFonts w:hint="eastAsia"/>
        </w:rPr>
        <w:t>, the acquisition cost should be used for section 3 only. Acquisition cost is not to be used for section 4.</w:t>
      </w:r>
    </w:p>
    <w:p w14:paraId="48899C63" w14:textId="77777777" w:rsidR="008F7448" w:rsidRPr="00C1269A" w:rsidRDefault="008F7448" w:rsidP="008F7448">
      <w:pPr>
        <w:pStyle w:val="ListBullet"/>
      </w:pPr>
      <w:r w:rsidRPr="009D5674">
        <w:rPr>
          <w:rStyle w:val="Bold"/>
        </w:rPr>
        <w:t>depreciation</w:t>
      </w:r>
      <w:r w:rsidRPr="00C1269A">
        <w:t xml:space="preserve"> means depreciation of the </w:t>
      </w:r>
      <w:r w:rsidRPr="009D5674">
        <w:rPr>
          <w:rStyle w:val="Bold"/>
        </w:rPr>
        <w:t>capital base</w:t>
      </w:r>
      <w:r w:rsidRPr="006A1A83">
        <w:t xml:space="preserve"> for section 3 calculated using methods available under the </w:t>
      </w:r>
      <w:r w:rsidRPr="00A3674D">
        <w:rPr>
          <w:rStyle w:val="Strong"/>
        </w:rPr>
        <w:t>AASB</w:t>
      </w:r>
      <w:r w:rsidRPr="006A1A83">
        <w:t xml:space="preserve">. Depreciation calculated using methods available under the </w:t>
      </w:r>
      <w:r w:rsidRPr="00A3674D">
        <w:rPr>
          <w:rStyle w:val="Strong"/>
        </w:rPr>
        <w:t>AASB</w:t>
      </w:r>
      <w:r w:rsidRPr="006A1A83">
        <w:t xml:space="preserve"> does not apply the in section 4 calculation.</w:t>
      </w:r>
    </w:p>
    <w:p w14:paraId="62416B76" w14:textId="59891ACC" w:rsidR="008F7448" w:rsidRPr="00C1269A" w:rsidRDefault="008F7448" w:rsidP="008F7448">
      <w:pPr>
        <w:pStyle w:val="ListBullet"/>
      </w:pPr>
      <w:r w:rsidRPr="009D5674">
        <w:rPr>
          <w:rStyle w:val="Bold"/>
        </w:rPr>
        <w:t>exemption</w:t>
      </w:r>
      <w:r w:rsidRPr="00C1269A">
        <w:t xml:space="preserve"> means an exemption granted by the </w:t>
      </w:r>
      <w:r w:rsidRPr="0039570D">
        <w:rPr>
          <w:rStyle w:val="Bold"/>
        </w:rPr>
        <w:t>AER</w:t>
      </w:r>
      <w:r w:rsidRPr="00C1269A">
        <w:t xml:space="preserve"> in accordance with Division 6 of </w:t>
      </w:r>
      <w:r w:rsidR="00D10410">
        <w:t xml:space="preserve">Part 23 of </w:t>
      </w:r>
      <w:r w:rsidRPr="00C1269A">
        <w:t xml:space="preserve">the </w:t>
      </w:r>
      <w:r w:rsidRPr="0039570D">
        <w:rPr>
          <w:rStyle w:val="Bold"/>
        </w:rPr>
        <w:t>NGR</w:t>
      </w:r>
      <w:r w:rsidRPr="00C1269A">
        <w:t>.</w:t>
      </w:r>
    </w:p>
    <w:p w14:paraId="02C4847C" w14:textId="77777777" w:rsidR="008F7448" w:rsidRPr="00C1269A" w:rsidRDefault="008F7448" w:rsidP="008F7448">
      <w:pPr>
        <w:pStyle w:val="ListBullet"/>
      </w:pPr>
      <w:r w:rsidRPr="0039570D">
        <w:rPr>
          <w:rStyle w:val="Bold"/>
        </w:rPr>
        <w:t>financial reporting template</w:t>
      </w:r>
      <w:r w:rsidRPr="00C1269A">
        <w:t xml:space="preserve"> means the financial reporting template for non-scheme pipelines developed in accordance with this </w:t>
      </w:r>
      <w:r w:rsidRPr="0039570D">
        <w:rPr>
          <w:rStyle w:val="Bold"/>
        </w:rPr>
        <w:t>Guideline</w:t>
      </w:r>
      <w:r w:rsidRPr="00C1269A">
        <w:t xml:space="preserve"> using the format, structure and calculation methodology provided.</w:t>
      </w:r>
    </w:p>
    <w:p w14:paraId="481B2AC4" w14:textId="77777777" w:rsidR="008F7448" w:rsidRPr="00C1269A" w:rsidRDefault="008F7448" w:rsidP="008F7448">
      <w:pPr>
        <w:pStyle w:val="ListBullet"/>
      </w:pPr>
      <w:r w:rsidRPr="0039570D">
        <w:rPr>
          <w:rStyle w:val="Bold"/>
        </w:rPr>
        <w:t>GMRG</w:t>
      </w:r>
      <w:r w:rsidRPr="00C1269A">
        <w:t xml:space="preserve"> refers to the Gas Market Reform Group.</w:t>
      </w:r>
    </w:p>
    <w:p w14:paraId="55447101" w14:textId="78CA7C03" w:rsidR="008F7448" w:rsidRPr="00C1269A" w:rsidRDefault="008F7448" w:rsidP="008F7448">
      <w:pPr>
        <w:pStyle w:val="ListBullet"/>
      </w:pPr>
      <w:r w:rsidRPr="0039570D">
        <w:rPr>
          <w:rStyle w:val="Bold"/>
        </w:rPr>
        <w:t>Guideline</w:t>
      </w:r>
      <w:r w:rsidRPr="00C1269A">
        <w:t xml:space="preserve"> refers to the financial reporting guideline for non-scheme pipelines.</w:t>
      </w:r>
    </w:p>
    <w:p w14:paraId="3DB00F00" w14:textId="6719A676" w:rsidR="008F7448" w:rsidRPr="00C1269A" w:rsidRDefault="008F7448" w:rsidP="008F7448">
      <w:pPr>
        <w:pStyle w:val="ListBullet"/>
      </w:pPr>
      <w:r w:rsidRPr="0039570D">
        <w:rPr>
          <w:rStyle w:val="Bold"/>
        </w:rPr>
        <w:t>initial financial reporting and average weighted prices</w:t>
      </w:r>
      <w:r w:rsidRPr="00C1269A">
        <w:t xml:space="preserve"> has the meaning set out in Schedule 4</w:t>
      </w:r>
      <w:r w:rsidR="005016B3">
        <w:t>,</w:t>
      </w:r>
      <w:r w:rsidRPr="00C1269A">
        <w:t xml:space="preserve"> Part 1 of the </w:t>
      </w:r>
      <w:r w:rsidRPr="0039570D">
        <w:rPr>
          <w:rStyle w:val="Bold"/>
        </w:rPr>
        <w:t>NGR</w:t>
      </w:r>
      <w:r w:rsidRPr="00C1269A">
        <w:t xml:space="preserve"> and refers to the information prepared for an initial six-month period.</w:t>
      </w:r>
    </w:p>
    <w:p w14:paraId="263C5276" w14:textId="77777777" w:rsidR="008F7448" w:rsidRPr="00C1269A" w:rsidRDefault="008F7448" w:rsidP="008F7448">
      <w:pPr>
        <w:pStyle w:val="ListBullet"/>
      </w:pPr>
      <w:r w:rsidRPr="0039570D">
        <w:rPr>
          <w:rStyle w:val="Bold"/>
        </w:rPr>
        <w:t>NGL</w:t>
      </w:r>
      <w:r w:rsidRPr="00C1269A">
        <w:t xml:space="preserve"> refers to the National Gas Law.</w:t>
      </w:r>
    </w:p>
    <w:p w14:paraId="73343C13" w14:textId="77777777" w:rsidR="008F7448" w:rsidRPr="00C1269A" w:rsidRDefault="008F7448" w:rsidP="008F7448">
      <w:pPr>
        <w:pStyle w:val="ListBullet"/>
      </w:pPr>
      <w:r w:rsidRPr="0039570D">
        <w:rPr>
          <w:rStyle w:val="Bold"/>
        </w:rPr>
        <w:t>NGR</w:t>
      </w:r>
      <w:r w:rsidRPr="00C1269A">
        <w:t xml:space="preserve"> refers to the National Gas Rules.</w:t>
      </w:r>
    </w:p>
    <w:p w14:paraId="35F1A27C" w14:textId="77777777" w:rsidR="008F7448" w:rsidRPr="00C1269A" w:rsidRDefault="008F7448" w:rsidP="008F7448">
      <w:pPr>
        <w:pStyle w:val="ListBullet"/>
      </w:pPr>
      <w:r w:rsidRPr="0039570D">
        <w:rPr>
          <w:rStyle w:val="Bold"/>
        </w:rPr>
        <w:t>operating expenditure</w:t>
      </w:r>
      <w:r w:rsidRPr="00C1269A">
        <w:t xml:space="preserve"> means operating, maintenance and other costs and expenditure of a non-capital nature incurred in providing pipeline services.</w:t>
      </w:r>
      <w:r>
        <w:t xml:space="preserve"> For section 3 </w:t>
      </w:r>
      <w:r w:rsidRPr="00A3674D">
        <w:rPr>
          <w:rStyle w:val="Strong"/>
        </w:rPr>
        <w:t>operating expenditure</w:t>
      </w:r>
      <w:r w:rsidRPr="006A1A83">
        <w:t xml:space="preserve"> includes any </w:t>
      </w:r>
      <w:r w:rsidRPr="00A3674D">
        <w:rPr>
          <w:rStyle w:val="Strong"/>
        </w:rPr>
        <w:t>depreciation</w:t>
      </w:r>
      <w:r w:rsidRPr="006A1A83">
        <w:t xml:space="preserve"> and amortisation expenses but excludes interest and tax. For section 4 depreciation and amortisation expenses, interest and tax are excluded.</w:t>
      </w:r>
    </w:p>
    <w:p w14:paraId="11F33303" w14:textId="77777777" w:rsidR="008F7448" w:rsidRPr="00C1269A" w:rsidRDefault="008F7448" w:rsidP="008F7448">
      <w:pPr>
        <w:pStyle w:val="ListBullet"/>
      </w:pPr>
      <w:r w:rsidRPr="0039570D">
        <w:rPr>
          <w:rStyle w:val="Bold"/>
        </w:rPr>
        <w:t>pipeline</w:t>
      </w:r>
      <w:r w:rsidRPr="00C1269A">
        <w:t xml:space="preserve"> has the meaning in the </w:t>
      </w:r>
      <w:r w:rsidRPr="0039570D">
        <w:rPr>
          <w:rStyle w:val="Bold"/>
        </w:rPr>
        <w:t>NGL</w:t>
      </w:r>
      <w:r w:rsidRPr="00C1269A">
        <w:t>.</w:t>
      </w:r>
    </w:p>
    <w:p w14:paraId="12B49609" w14:textId="77777777" w:rsidR="008F7448" w:rsidRPr="00C1269A" w:rsidRDefault="008F7448" w:rsidP="008F7448">
      <w:pPr>
        <w:pStyle w:val="ListBullet"/>
      </w:pPr>
      <w:r w:rsidRPr="0039570D">
        <w:rPr>
          <w:rStyle w:val="Bold"/>
        </w:rPr>
        <w:t>pipeline assets</w:t>
      </w:r>
      <w:r w:rsidRPr="00C1269A">
        <w:t xml:space="preserve"> in relation to a pipeline, means capital assets that constitute the pipeline or are otherwise used by the </w:t>
      </w:r>
      <w:r w:rsidRPr="0039570D">
        <w:rPr>
          <w:rStyle w:val="Bold"/>
        </w:rPr>
        <w:t>service provider</w:t>
      </w:r>
      <w:r w:rsidRPr="00C1269A">
        <w:t xml:space="preserve"> to provide services, including </w:t>
      </w:r>
      <w:r w:rsidRPr="00940C9F">
        <w:rPr>
          <w:b/>
        </w:rPr>
        <w:t>construction costs</w:t>
      </w:r>
      <w:r w:rsidRPr="00C1269A">
        <w:t xml:space="preserve"> capitalised (or acquisition costs capitalised where allowed </w:t>
      </w:r>
      <w:r>
        <w:t>in section 3 only</w:t>
      </w:r>
      <w:r w:rsidRPr="00C1269A">
        <w:t>), capitalised maintenance, any other capital improvements.</w:t>
      </w:r>
    </w:p>
    <w:p w14:paraId="34EC84D4" w14:textId="77777777" w:rsidR="008F7448" w:rsidRDefault="008F7448" w:rsidP="008F7448">
      <w:pPr>
        <w:pStyle w:val="ListBullet"/>
      </w:pPr>
      <w:r w:rsidRPr="0039570D">
        <w:rPr>
          <w:rStyle w:val="Bold"/>
        </w:rPr>
        <w:t>prospective user</w:t>
      </w:r>
      <w:r w:rsidRPr="00C1269A">
        <w:t xml:space="preserve"> has the meaning in section 216B of the </w:t>
      </w:r>
      <w:r w:rsidRPr="0039570D">
        <w:rPr>
          <w:rStyle w:val="Bold"/>
        </w:rPr>
        <w:t>NGL</w:t>
      </w:r>
      <w:r w:rsidRPr="00C1269A">
        <w:t xml:space="preserve"> and is used to refer to existing and prospective shippers (it is used interchangeably with the term shipper).</w:t>
      </w:r>
    </w:p>
    <w:p w14:paraId="70B07D46" w14:textId="77777777" w:rsidR="008F7448" w:rsidRDefault="008F7448" w:rsidP="008F7448">
      <w:pPr>
        <w:pStyle w:val="ListBullet"/>
      </w:pPr>
      <w:r w:rsidRPr="0039570D">
        <w:rPr>
          <w:rStyle w:val="Bold"/>
        </w:rPr>
        <w:t xml:space="preserve">related </w:t>
      </w:r>
      <w:r>
        <w:rPr>
          <w:rStyle w:val="Bold"/>
        </w:rPr>
        <w:t>party</w:t>
      </w:r>
      <w:r w:rsidRPr="00C1269A">
        <w:t xml:space="preserve"> has the meaning given to it in the </w:t>
      </w:r>
      <w:r w:rsidRPr="0039570D">
        <w:rPr>
          <w:rStyle w:val="BookTitle"/>
        </w:rPr>
        <w:t>Corporations Act 2001</w:t>
      </w:r>
      <w:r>
        <w:t>.</w:t>
      </w:r>
    </w:p>
    <w:p w14:paraId="3DC2D27A" w14:textId="77777777" w:rsidR="008F7448" w:rsidRPr="00C1269A" w:rsidRDefault="008F7448" w:rsidP="008F7448">
      <w:pPr>
        <w:pStyle w:val="ListBullet"/>
      </w:pPr>
      <w:r w:rsidRPr="0039570D">
        <w:rPr>
          <w:rStyle w:val="Bold"/>
        </w:rPr>
        <w:t>reporting period</w:t>
      </w:r>
      <w:r w:rsidRPr="00C1269A">
        <w:t xml:space="preserve"> means the annual financial year for which the </w:t>
      </w:r>
      <w:r w:rsidRPr="00C93FB3">
        <w:rPr>
          <w:rStyle w:val="Bold"/>
          <w:b w:val="0"/>
        </w:rPr>
        <w:t>reporting entity</w:t>
      </w:r>
      <w:r w:rsidRPr="00C1269A">
        <w:t xml:space="preserve"> ordinarily prepares financial information.</w:t>
      </w:r>
    </w:p>
    <w:p w14:paraId="76116975" w14:textId="77777777" w:rsidR="008F7448" w:rsidRPr="00C1269A" w:rsidRDefault="008F7448" w:rsidP="008F7448">
      <w:pPr>
        <w:pStyle w:val="ListBullet"/>
      </w:pPr>
      <w:r w:rsidRPr="0039570D">
        <w:rPr>
          <w:rStyle w:val="Bold"/>
        </w:rPr>
        <w:t>return of capital</w:t>
      </w:r>
      <w:r w:rsidRPr="00C1269A">
        <w:t xml:space="preserve"> has th</w:t>
      </w:r>
      <w:r>
        <w:t>e meaning specified in Section 4</w:t>
      </w:r>
      <w:r w:rsidRPr="00C1269A">
        <w:t xml:space="preserve">. </w:t>
      </w:r>
    </w:p>
    <w:p w14:paraId="2660A088" w14:textId="77777777" w:rsidR="004A767C" w:rsidRPr="00C1269A" w:rsidRDefault="004A767C" w:rsidP="004A767C">
      <w:pPr>
        <w:pStyle w:val="ListBullet"/>
      </w:pPr>
      <w:r w:rsidRPr="0039570D">
        <w:rPr>
          <w:rStyle w:val="Bold"/>
        </w:rPr>
        <w:t>service provider</w:t>
      </w:r>
      <w:r w:rsidRPr="00C1269A">
        <w:t xml:space="preserve"> of a pipeline has the meaning given in section 8 of the </w:t>
      </w:r>
      <w:r w:rsidRPr="0039570D">
        <w:rPr>
          <w:rStyle w:val="Bold"/>
        </w:rPr>
        <w:t>NGL</w:t>
      </w:r>
      <w:r w:rsidRPr="00C1269A">
        <w:t xml:space="preserve">. </w:t>
      </w:r>
    </w:p>
    <w:p w14:paraId="1507B73A" w14:textId="77777777" w:rsidR="008F7448" w:rsidRPr="00C1269A" w:rsidRDefault="008F7448" w:rsidP="008F7448">
      <w:pPr>
        <w:pStyle w:val="ListBullet"/>
      </w:pPr>
      <w:r w:rsidRPr="0039570D">
        <w:rPr>
          <w:rStyle w:val="Bold"/>
        </w:rPr>
        <w:t>shared supporting assets</w:t>
      </w:r>
      <w:r w:rsidRPr="00C1269A">
        <w:t xml:space="preserve"> are assets used to support the operation of multiple pipelines and/or other revenue generating activities other than just the pipeline. Where an asset is used to support the operation of multiple pipelines or other </w:t>
      </w:r>
      <w:r w:rsidRPr="00C1269A">
        <w:lastRenderedPageBreak/>
        <w:t xml:space="preserve">revenue generating activities, an apportionment of the asset is required as outlined in Section </w:t>
      </w:r>
      <w:r>
        <w:t>3.2.1</w:t>
      </w:r>
      <w:r w:rsidRPr="00C1269A">
        <w:t xml:space="preserve">. </w:t>
      </w:r>
    </w:p>
    <w:p w14:paraId="640CDA26" w14:textId="77777777" w:rsidR="008F7448" w:rsidRDefault="008F7448" w:rsidP="008F7448">
      <w:pPr>
        <w:pStyle w:val="ListBullet"/>
      </w:pPr>
      <w:r w:rsidRPr="0039570D">
        <w:rPr>
          <w:rStyle w:val="Bold"/>
        </w:rPr>
        <w:t>weighted average price information</w:t>
      </w:r>
      <w:r w:rsidRPr="00C1269A">
        <w:t xml:space="preserve"> has the meaning defined in section 556 of the </w:t>
      </w:r>
      <w:r w:rsidRPr="0039570D">
        <w:rPr>
          <w:rStyle w:val="Bold"/>
        </w:rPr>
        <w:t>NGR</w:t>
      </w:r>
      <w:r w:rsidRPr="00C1269A">
        <w:t>.</w:t>
      </w:r>
    </w:p>
    <w:p w14:paraId="5C19D8D7" w14:textId="77777777" w:rsidR="008F7448" w:rsidRPr="00C1269A" w:rsidRDefault="008F7448" w:rsidP="00685983">
      <w:pPr>
        <w:pStyle w:val="Heading2"/>
        <w:numPr>
          <w:ilvl w:val="1"/>
          <w:numId w:val="32"/>
        </w:numPr>
        <w:tabs>
          <w:tab w:val="left" w:pos="680"/>
        </w:tabs>
        <w:ind w:left="680" w:hanging="680"/>
      </w:pPr>
      <w:bookmarkStart w:id="23" w:name="_Toc499898218"/>
      <w:bookmarkStart w:id="24" w:name="_Toc501379509"/>
      <w:r w:rsidRPr="00C1269A">
        <w:t>Other issues</w:t>
      </w:r>
      <w:bookmarkEnd w:id="23"/>
      <w:bookmarkEnd w:id="24"/>
    </w:p>
    <w:p w14:paraId="66A0A5AA" w14:textId="77777777" w:rsidR="008F7448" w:rsidRPr="00C1269A" w:rsidRDefault="008F7448" w:rsidP="00685983">
      <w:pPr>
        <w:pStyle w:val="Heading3"/>
        <w:numPr>
          <w:ilvl w:val="2"/>
          <w:numId w:val="32"/>
        </w:numPr>
        <w:tabs>
          <w:tab w:val="left" w:pos="1021"/>
        </w:tabs>
        <w:ind w:left="1021" w:hanging="1021"/>
      </w:pPr>
      <w:bookmarkStart w:id="25" w:name="_Toc499898219"/>
      <w:bookmarkStart w:id="26" w:name="_Toc501379510"/>
      <w:r w:rsidRPr="00C1269A">
        <w:t>Establish and maintain accounts</w:t>
      </w:r>
      <w:bookmarkEnd w:id="25"/>
      <w:bookmarkEnd w:id="26"/>
    </w:p>
    <w:p w14:paraId="3C006ABC" w14:textId="77777777" w:rsidR="008F7448" w:rsidRDefault="008F7448" w:rsidP="008F7448">
      <w:r w:rsidRPr="00C1269A">
        <w:t xml:space="preserve">To enable </w:t>
      </w:r>
      <w:r w:rsidRPr="0039570D">
        <w:rPr>
          <w:rStyle w:val="Bold"/>
        </w:rPr>
        <w:t>service providers</w:t>
      </w:r>
      <w:r w:rsidRPr="00C1269A">
        <w:t xml:space="preserve"> to meet the </w:t>
      </w:r>
      <w:r>
        <w:t>assurance</w:t>
      </w:r>
      <w:r w:rsidRPr="00C1269A">
        <w:t xml:space="preserve"> requirements discussed at Section </w:t>
      </w:r>
      <w:r>
        <w:t>8</w:t>
      </w:r>
      <w:r w:rsidRPr="00C1269A">
        <w:t xml:space="preserve"> of this </w:t>
      </w:r>
      <w:r w:rsidRPr="0039570D">
        <w:rPr>
          <w:rStyle w:val="Bold"/>
        </w:rPr>
        <w:t>Guideline</w:t>
      </w:r>
      <w:r w:rsidRPr="00C1269A">
        <w:t xml:space="preserve"> (below), appropriate internal accounting procedures must be established and maintained by the </w:t>
      </w:r>
      <w:r w:rsidRPr="0039570D">
        <w:rPr>
          <w:rStyle w:val="Bold"/>
        </w:rPr>
        <w:t>service provider</w:t>
      </w:r>
      <w:r w:rsidRPr="00C1269A">
        <w:t xml:space="preserve">. These internal accounting procedures must allow the </w:t>
      </w:r>
      <w:r w:rsidRPr="0039570D">
        <w:rPr>
          <w:rStyle w:val="Bold"/>
        </w:rPr>
        <w:t>service provider</w:t>
      </w:r>
      <w:r w:rsidRPr="00C1269A">
        <w:t xml:space="preserve"> to demonstrate the extent and nature of transactions associated with each non-scheme pipeline, and the allocation of applicable revenues, costs and assets.</w:t>
      </w:r>
    </w:p>
    <w:p w14:paraId="770B916D" w14:textId="77777777" w:rsidR="008F7448" w:rsidRPr="00C1269A" w:rsidRDefault="008F7448" w:rsidP="00685983">
      <w:pPr>
        <w:pStyle w:val="Heading3"/>
        <w:numPr>
          <w:ilvl w:val="2"/>
          <w:numId w:val="32"/>
        </w:numPr>
        <w:tabs>
          <w:tab w:val="left" w:pos="1021"/>
        </w:tabs>
        <w:ind w:left="1021" w:hanging="1021"/>
      </w:pPr>
      <w:bookmarkStart w:id="27" w:name="_Toc499898220"/>
      <w:bookmarkStart w:id="28" w:name="_Toc501379511"/>
      <w:r w:rsidRPr="00C1269A">
        <w:t>Inflation</w:t>
      </w:r>
      <w:bookmarkEnd w:id="27"/>
      <w:bookmarkEnd w:id="28"/>
    </w:p>
    <w:p w14:paraId="11D6E85A" w14:textId="77777777" w:rsidR="008F7448" w:rsidRPr="00C1269A" w:rsidRDefault="008F7448" w:rsidP="008F7448">
      <w:r w:rsidRPr="00C1269A">
        <w:t xml:space="preserve">No values provided in the </w:t>
      </w:r>
      <w:r w:rsidRPr="0039570D">
        <w:rPr>
          <w:rStyle w:val="Bold"/>
        </w:rPr>
        <w:t>financial reporting template</w:t>
      </w:r>
      <w:r w:rsidRPr="00C1269A">
        <w:t xml:space="preserve"> for the current or previous year are to be restated for inflation. </w:t>
      </w:r>
    </w:p>
    <w:p w14:paraId="7C9C91F1" w14:textId="77777777" w:rsidR="008F7448" w:rsidRPr="00C1269A" w:rsidRDefault="008F7448" w:rsidP="008F7448">
      <w:r w:rsidRPr="00C1269A">
        <w:t xml:space="preserve">This includes </w:t>
      </w:r>
      <w:r w:rsidRPr="0039570D">
        <w:rPr>
          <w:rStyle w:val="Bold"/>
        </w:rPr>
        <w:t>pipeline assets</w:t>
      </w:r>
      <w:r w:rsidRPr="00C1269A">
        <w:t xml:space="preserve"> which are not to be indexed from the date of construction/acquisition.</w:t>
      </w:r>
    </w:p>
    <w:p w14:paraId="1D97D52C" w14:textId="77777777" w:rsidR="008F7448" w:rsidRPr="00C1269A" w:rsidRDefault="008F7448" w:rsidP="00685983">
      <w:pPr>
        <w:pStyle w:val="Heading3"/>
        <w:numPr>
          <w:ilvl w:val="2"/>
          <w:numId w:val="32"/>
        </w:numPr>
        <w:tabs>
          <w:tab w:val="left" w:pos="1021"/>
        </w:tabs>
        <w:ind w:left="1021" w:hanging="1021"/>
      </w:pPr>
      <w:bookmarkStart w:id="29" w:name="_Toc499898221"/>
      <w:bookmarkStart w:id="30" w:name="_Toc501379512"/>
      <w:r w:rsidRPr="00C1269A">
        <w:t>Currency and GST</w:t>
      </w:r>
      <w:bookmarkEnd w:id="29"/>
      <w:bookmarkEnd w:id="30"/>
    </w:p>
    <w:p w14:paraId="64D9ADF5" w14:textId="0C0AAB7D" w:rsidR="008F7448" w:rsidRPr="00C1269A" w:rsidRDefault="008F7448" w:rsidP="008F7448">
      <w:r w:rsidRPr="00C1269A">
        <w:t xml:space="preserve">All financial information </w:t>
      </w:r>
      <w:r w:rsidR="000028F3">
        <w:t>must</w:t>
      </w:r>
      <w:r w:rsidRPr="00C1269A">
        <w:t xml:space="preserve"> be presented in Australian dollars. Where currency is required to be converted to Australian dollars, the requirements in the relevant </w:t>
      </w:r>
      <w:r w:rsidRPr="0039570D">
        <w:rPr>
          <w:rStyle w:val="Bold"/>
        </w:rPr>
        <w:t>AASB</w:t>
      </w:r>
      <w:r w:rsidRPr="00C1269A">
        <w:t xml:space="preserve"> standard should be followed.</w:t>
      </w:r>
    </w:p>
    <w:p w14:paraId="0DF379F5" w14:textId="77777777" w:rsidR="008F7448" w:rsidRDefault="008F7448" w:rsidP="008F7448">
      <w:r w:rsidRPr="00C1269A">
        <w:t xml:space="preserve">All amounts provided in the </w:t>
      </w:r>
      <w:r w:rsidRPr="0039570D">
        <w:rPr>
          <w:rStyle w:val="Bold"/>
        </w:rPr>
        <w:t>financial reporting template</w:t>
      </w:r>
      <w:r w:rsidRPr="00C1269A">
        <w:t xml:space="preserve"> are required to be provided in Australian Dollars and exclusive of goods and services </w:t>
      </w:r>
      <w:r>
        <w:t>t</w:t>
      </w:r>
      <w:r w:rsidRPr="00C1269A">
        <w:t>ax (GST).</w:t>
      </w:r>
    </w:p>
    <w:p w14:paraId="509A5956" w14:textId="179ADC2F" w:rsidR="008F7448" w:rsidRPr="00E17CE9" w:rsidRDefault="008F7448" w:rsidP="00685983">
      <w:pPr>
        <w:pStyle w:val="Heading2"/>
        <w:numPr>
          <w:ilvl w:val="1"/>
          <w:numId w:val="32"/>
        </w:numPr>
        <w:tabs>
          <w:tab w:val="left" w:pos="680"/>
        </w:tabs>
        <w:ind w:left="680" w:hanging="680"/>
      </w:pPr>
      <w:bookmarkStart w:id="31" w:name="_Toc499898222"/>
      <w:bookmarkStart w:id="32" w:name="_Toc501379513"/>
      <w:r w:rsidRPr="00E17CE9">
        <w:t>Publication</w:t>
      </w:r>
      <w:bookmarkEnd w:id="31"/>
      <w:bookmarkEnd w:id="32"/>
      <w:r w:rsidRPr="00E17CE9">
        <w:t xml:space="preserve"> </w:t>
      </w:r>
    </w:p>
    <w:p w14:paraId="61F07A57" w14:textId="51B467CE" w:rsidR="00444741" w:rsidRDefault="00444741" w:rsidP="008F7448">
      <w:r>
        <w:t xml:space="preserve">All </w:t>
      </w:r>
      <w:r w:rsidRPr="00505EC0">
        <w:rPr>
          <w:b/>
        </w:rPr>
        <w:t>service providers</w:t>
      </w:r>
      <w:r>
        <w:t xml:space="preserve"> are required to publish the information specified in the </w:t>
      </w:r>
      <w:r w:rsidR="00A15430" w:rsidRPr="00A15430">
        <w:rPr>
          <w:b/>
        </w:rPr>
        <w:t>G</w:t>
      </w:r>
      <w:r w:rsidRPr="00A15430">
        <w:rPr>
          <w:b/>
        </w:rPr>
        <w:t>uideline</w:t>
      </w:r>
      <w:r>
        <w:t>.</w:t>
      </w:r>
    </w:p>
    <w:p w14:paraId="4C620DF6" w14:textId="77777777" w:rsidR="008F7448" w:rsidRPr="00C1269A" w:rsidRDefault="008F7448" w:rsidP="008F7448">
      <w:r w:rsidRPr="0094082E">
        <w:t xml:space="preserve">Where more than one entity meets the definition of </w:t>
      </w:r>
      <w:r w:rsidRPr="004A767C">
        <w:rPr>
          <w:b/>
        </w:rPr>
        <w:t>service provider</w:t>
      </w:r>
      <w:r w:rsidRPr="00C1269A">
        <w:t xml:space="preserve">, each </w:t>
      </w:r>
      <w:r w:rsidRPr="000B617F">
        <w:rPr>
          <w:rStyle w:val="Bold"/>
        </w:rPr>
        <w:t>service provider</w:t>
      </w:r>
      <w:r w:rsidRPr="00C1269A">
        <w:t xml:space="preserve"> is taken to be a member of a service provider group for that pipeline.</w:t>
      </w:r>
    </w:p>
    <w:p w14:paraId="68BE6869" w14:textId="7123D054" w:rsidR="008F7448" w:rsidRDefault="008F7448" w:rsidP="008F7448">
      <w:r w:rsidRPr="008B0E22">
        <w:t xml:space="preserve">The members of a </w:t>
      </w:r>
      <w:r w:rsidRPr="000B617F">
        <w:rPr>
          <w:rStyle w:val="Bold"/>
        </w:rPr>
        <w:t>service provider</w:t>
      </w:r>
      <w:r w:rsidRPr="00C1269A">
        <w:t xml:space="preserve"> group </w:t>
      </w:r>
      <w:r w:rsidR="00444741">
        <w:t>are required to publish th</w:t>
      </w:r>
      <w:r w:rsidR="004A767C">
        <w:t xml:space="preserve">e information specified in the </w:t>
      </w:r>
      <w:r w:rsidR="004A767C" w:rsidRPr="004A767C">
        <w:rPr>
          <w:b/>
        </w:rPr>
        <w:t>G</w:t>
      </w:r>
      <w:r w:rsidR="00444741" w:rsidRPr="004A767C">
        <w:rPr>
          <w:b/>
        </w:rPr>
        <w:t>uideline</w:t>
      </w:r>
      <w:r w:rsidR="00444741">
        <w:t xml:space="preserve"> sep</w:t>
      </w:r>
      <w:r w:rsidR="00253E06">
        <w:t>a</w:t>
      </w:r>
      <w:r w:rsidR="00444741">
        <w:t xml:space="preserve">rately. However, </w:t>
      </w:r>
      <w:r w:rsidR="006C518B">
        <w:t>by</w:t>
      </w:r>
      <w:r w:rsidR="00444741">
        <w:t xml:space="preserve"> notif</w:t>
      </w:r>
      <w:r w:rsidR="006C518B">
        <w:t>ying</w:t>
      </w:r>
      <w:r w:rsidR="00444741">
        <w:t xml:space="preserve"> the </w:t>
      </w:r>
      <w:r w:rsidR="00444741" w:rsidRPr="00A15430">
        <w:rPr>
          <w:i/>
        </w:rPr>
        <w:t>AER</w:t>
      </w:r>
      <w:r w:rsidR="00444741">
        <w:t xml:space="preserve"> in writing, members of a </w:t>
      </w:r>
      <w:r w:rsidR="00444741" w:rsidRPr="00505EC0">
        <w:rPr>
          <w:b/>
        </w:rPr>
        <w:t>service provider</w:t>
      </w:r>
      <w:r w:rsidR="00444741">
        <w:t xml:space="preserve"> group</w:t>
      </w:r>
      <w:r w:rsidR="00444741" w:rsidRPr="00C1269A">
        <w:t xml:space="preserve"> </w:t>
      </w:r>
      <w:r w:rsidRPr="00C1269A">
        <w:t xml:space="preserve">may appoint one of the members to be the responsible </w:t>
      </w:r>
      <w:r w:rsidRPr="004A767C">
        <w:rPr>
          <w:b/>
        </w:rPr>
        <w:t>service provider</w:t>
      </w:r>
      <w:r w:rsidRPr="00C1269A">
        <w:t xml:space="preserve"> for the pipeline.</w:t>
      </w:r>
      <w:r w:rsidR="00444741">
        <w:t xml:space="preserve"> The notification must include evidence that all members of the </w:t>
      </w:r>
      <w:r w:rsidR="00444741" w:rsidRPr="00505EC0">
        <w:rPr>
          <w:b/>
        </w:rPr>
        <w:t>service provider</w:t>
      </w:r>
      <w:r w:rsidR="00444741">
        <w:t xml:space="preserve"> group endorse the appointment and that the nominee has access to, and the legal right to publish, the required information.</w:t>
      </w:r>
    </w:p>
    <w:p w14:paraId="6BB88060" w14:textId="77777777" w:rsidR="008F7448" w:rsidRPr="00C1269A" w:rsidRDefault="008F7448" w:rsidP="001C2893">
      <w:pPr>
        <w:keepNext/>
      </w:pPr>
      <w:r>
        <w:t xml:space="preserve">Where a responsible </w:t>
      </w:r>
      <w:r w:rsidRPr="004A767C">
        <w:rPr>
          <w:b/>
        </w:rPr>
        <w:t>service provider</w:t>
      </w:r>
      <w:r>
        <w:t xml:space="preserve"> is appointed by the </w:t>
      </w:r>
      <w:r w:rsidRPr="004A767C">
        <w:rPr>
          <w:b/>
        </w:rPr>
        <w:t>service provider</w:t>
      </w:r>
      <w:r>
        <w:t xml:space="preserve"> group:</w:t>
      </w:r>
    </w:p>
    <w:p w14:paraId="2021C2DC" w14:textId="77777777" w:rsidR="008F7448" w:rsidRPr="000B617F" w:rsidRDefault="008F7448" w:rsidP="001C2893">
      <w:pPr>
        <w:pStyle w:val="Listalphabet"/>
        <w:numPr>
          <w:ilvl w:val="0"/>
          <w:numId w:val="29"/>
        </w:numPr>
        <w:tabs>
          <w:tab w:val="clear" w:pos="340"/>
          <w:tab w:val="left" w:pos="567"/>
        </w:tabs>
        <w:spacing w:line="276" w:lineRule="auto"/>
        <w:ind w:left="567" w:hanging="567"/>
      </w:pPr>
      <w:r w:rsidRPr="000B617F">
        <w:t xml:space="preserve">the responsible </w:t>
      </w:r>
      <w:r w:rsidRPr="00037267">
        <w:rPr>
          <w:rStyle w:val="Bold"/>
        </w:rPr>
        <w:t>service provider</w:t>
      </w:r>
      <w:r w:rsidRPr="000B617F">
        <w:t xml:space="preserve"> is the pipeline reporting entity for the relevant </w:t>
      </w:r>
      <w:r w:rsidRPr="00037267">
        <w:rPr>
          <w:rStyle w:val="Bold"/>
        </w:rPr>
        <w:t>pipeline</w:t>
      </w:r>
      <w:r w:rsidRPr="000B617F">
        <w:t xml:space="preserve">; </w:t>
      </w:r>
    </w:p>
    <w:p w14:paraId="4A3D3F9F" w14:textId="77777777" w:rsidR="008F7448" w:rsidRPr="000B617F" w:rsidRDefault="008F7448" w:rsidP="001C2893">
      <w:pPr>
        <w:pStyle w:val="Listalphabet"/>
        <w:numPr>
          <w:ilvl w:val="0"/>
          <w:numId w:val="29"/>
        </w:numPr>
        <w:tabs>
          <w:tab w:val="clear" w:pos="340"/>
          <w:tab w:val="left" w:pos="567"/>
        </w:tabs>
        <w:spacing w:line="276" w:lineRule="auto"/>
        <w:ind w:left="567" w:hanging="567"/>
      </w:pPr>
      <w:r w:rsidRPr="000B617F">
        <w:lastRenderedPageBreak/>
        <w:t xml:space="preserve">the responsible </w:t>
      </w:r>
      <w:r w:rsidRPr="00037267">
        <w:rPr>
          <w:rStyle w:val="Bold"/>
        </w:rPr>
        <w:t>service provider</w:t>
      </w:r>
      <w:r w:rsidRPr="000B617F">
        <w:t xml:space="preserve"> must update the information about the </w:t>
      </w:r>
      <w:r w:rsidRPr="00037267">
        <w:rPr>
          <w:rStyle w:val="Bold"/>
        </w:rPr>
        <w:t>service provider</w:t>
      </w:r>
      <w:r w:rsidRPr="000B617F">
        <w:t xml:space="preserve"> group if there is any change</w:t>
      </w:r>
    </w:p>
    <w:p w14:paraId="2ABE9E77" w14:textId="77777777" w:rsidR="008F7448" w:rsidRPr="000B617F" w:rsidRDefault="008F7448" w:rsidP="001C2893">
      <w:pPr>
        <w:pStyle w:val="Listalphabet"/>
        <w:numPr>
          <w:ilvl w:val="0"/>
          <w:numId w:val="29"/>
        </w:numPr>
        <w:tabs>
          <w:tab w:val="clear" w:pos="340"/>
          <w:tab w:val="left" w:pos="567"/>
        </w:tabs>
        <w:spacing w:line="276" w:lineRule="auto"/>
        <w:ind w:left="567" w:hanging="567"/>
      </w:pPr>
      <w:r w:rsidRPr="000B617F">
        <w:t xml:space="preserve">each member of the </w:t>
      </w:r>
      <w:r w:rsidRPr="00037267">
        <w:rPr>
          <w:rStyle w:val="Bold"/>
        </w:rPr>
        <w:t>service provider</w:t>
      </w:r>
      <w:r w:rsidRPr="000B617F">
        <w:t xml:space="preserve"> group must procure and where necessary must facilitate, the compliance of the responsible </w:t>
      </w:r>
      <w:r w:rsidRPr="00037267">
        <w:rPr>
          <w:rStyle w:val="Bold"/>
        </w:rPr>
        <w:t>service provider</w:t>
      </w:r>
      <w:r w:rsidRPr="000B617F">
        <w:t xml:space="preserve"> with its obligations under this </w:t>
      </w:r>
      <w:r w:rsidRPr="00037267">
        <w:rPr>
          <w:rStyle w:val="Bold"/>
        </w:rPr>
        <w:t>Guideline</w:t>
      </w:r>
      <w:r w:rsidRPr="004A767C">
        <w:rPr>
          <w:rStyle w:val="Bold"/>
          <w:b w:val="0"/>
        </w:rPr>
        <w:t>; and</w:t>
      </w:r>
    </w:p>
    <w:p w14:paraId="6DD1FDB0" w14:textId="77777777" w:rsidR="008F7448" w:rsidRPr="000B617F" w:rsidRDefault="008F7448" w:rsidP="001C2893">
      <w:pPr>
        <w:pStyle w:val="Listalphabet"/>
        <w:numPr>
          <w:ilvl w:val="0"/>
          <w:numId w:val="29"/>
        </w:numPr>
        <w:tabs>
          <w:tab w:val="clear" w:pos="340"/>
          <w:tab w:val="left" w:pos="567"/>
        </w:tabs>
        <w:spacing w:line="276" w:lineRule="auto"/>
        <w:ind w:left="567" w:hanging="567"/>
      </w:pPr>
      <w:r w:rsidRPr="000B617F">
        <w:t xml:space="preserve">each other member of the </w:t>
      </w:r>
      <w:r w:rsidRPr="00037267">
        <w:rPr>
          <w:rStyle w:val="Bold"/>
        </w:rPr>
        <w:t>service provider</w:t>
      </w:r>
      <w:r w:rsidRPr="000B617F">
        <w:t xml:space="preserve"> group is exempt from the requirement to </w:t>
      </w:r>
      <w:r>
        <w:t xml:space="preserve">prepare publish and maintain the financial information and </w:t>
      </w:r>
      <w:r w:rsidRPr="004A767C">
        <w:rPr>
          <w:b/>
        </w:rPr>
        <w:t>weighted average price</w:t>
      </w:r>
      <w:r>
        <w:t xml:space="preserve"> information specified in this guideline.</w:t>
      </w:r>
      <w:r w:rsidRPr="000B617F">
        <w:t xml:space="preserve"> </w:t>
      </w:r>
    </w:p>
    <w:p w14:paraId="2BFE4D90" w14:textId="77777777" w:rsidR="008F7448" w:rsidRDefault="008F7448" w:rsidP="00685983">
      <w:pPr>
        <w:pStyle w:val="Heading2"/>
        <w:numPr>
          <w:ilvl w:val="1"/>
          <w:numId w:val="32"/>
        </w:numPr>
        <w:tabs>
          <w:tab w:val="left" w:pos="680"/>
        </w:tabs>
        <w:ind w:left="680" w:hanging="680"/>
      </w:pPr>
      <w:bookmarkStart w:id="33" w:name="_Toc492997664"/>
      <w:bookmarkStart w:id="34" w:name="_Toc499202993"/>
      <w:bookmarkStart w:id="35" w:name="_Toc499898223"/>
      <w:bookmarkStart w:id="36" w:name="_Toc501379514"/>
      <w:r>
        <w:t>Exemptions</w:t>
      </w:r>
      <w:bookmarkEnd w:id="33"/>
      <w:bookmarkEnd w:id="34"/>
      <w:bookmarkEnd w:id="35"/>
      <w:bookmarkEnd w:id="36"/>
    </w:p>
    <w:p w14:paraId="55F25445" w14:textId="77777777" w:rsidR="008F7448" w:rsidRDefault="008F7448" w:rsidP="008F7448">
      <w:r>
        <w:t xml:space="preserve">For the avoidance of doubt, this section is for information only, and does not alter or qualify the </w:t>
      </w:r>
      <w:r w:rsidRPr="00A15430">
        <w:rPr>
          <w:b/>
        </w:rPr>
        <w:t>AER’s</w:t>
      </w:r>
      <w:r>
        <w:t xml:space="preserve"> discretions or functions relating to </w:t>
      </w:r>
      <w:r w:rsidRPr="00A15430">
        <w:rPr>
          <w:b/>
        </w:rPr>
        <w:t>exemptions</w:t>
      </w:r>
      <w:r>
        <w:t xml:space="preserve"> under Part 23 of the </w:t>
      </w:r>
      <w:r w:rsidRPr="00A15430">
        <w:rPr>
          <w:b/>
        </w:rPr>
        <w:t>NGR</w:t>
      </w:r>
      <w:r>
        <w:t>.</w:t>
      </w:r>
    </w:p>
    <w:p w14:paraId="4C97B56E" w14:textId="050FA86D" w:rsidR="008F7448" w:rsidRDefault="008F7448" w:rsidP="008F7448">
      <w:r>
        <w:t>A</w:t>
      </w:r>
      <w:r w:rsidRPr="00F97372">
        <w:t xml:space="preserve"> non-scheme pipeline </w:t>
      </w:r>
      <w:r w:rsidRPr="00037267">
        <w:rPr>
          <w:rStyle w:val="Bold"/>
        </w:rPr>
        <w:t>service provider</w:t>
      </w:r>
      <w:r w:rsidRPr="00F97372">
        <w:t xml:space="preserve"> may apply to the</w:t>
      </w:r>
      <w:r>
        <w:t xml:space="preserve"> </w:t>
      </w:r>
      <w:r w:rsidRPr="00037267">
        <w:rPr>
          <w:rStyle w:val="Bold"/>
        </w:rPr>
        <w:t>AER</w:t>
      </w:r>
      <w:r>
        <w:t xml:space="preserve"> for an </w:t>
      </w:r>
      <w:r w:rsidRPr="00037267">
        <w:rPr>
          <w:rStyle w:val="Bold"/>
        </w:rPr>
        <w:t>exemption</w:t>
      </w:r>
      <w:r>
        <w:t xml:space="preserve"> from the information disclosure and arbitration f</w:t>
      </w:r>
      <w:r w:rsidRPr="00F97372">
        <w:t xml:space="preserve">ramework where the pipeline satisfies </w:t>
      </w:r>
      <w:r>
        <w:t>a</w:t>
      </w:r>
      <w:r w:rsidRPr="00F97372">
        <w:t xml:space="preserve"> relevant </w:t>
      </w:r>
      <w:r w:rsidRPr="00037267">
        <w:rPr>
          <w:rStyle w:val="Bold"/>
        </w:rPr>
        <w:t>exemption</w:t>
      </w:r>
      <w:r w:rsidRPr="00F97372">
        <w:t xml:space="preserve"> criteria</w:t>
      </w:r>
      <w:r>
        <w:t xml:space="preserve"> as stipulated in r</w:t>
      </w:r>
      <w:r w:rsidR="00D10410">
        <w:t>.</w:t>
      </w:r>
      <w:r>
        <w:t xml:space="preserve"> 585. </w:t>
      </w:r>
      <w:r w:rsidRPr="00F97372">
        <w:t xml:space="preserve">There are three categories of </w:t>
      </w:r>
      <w:r w:rsidRPr="00037267">
        <w:rPr>
          <w:rStyle w:val="Bold"/>
        </w:rPr>
        <w:t>exemptions</w:t>
      </w:r>
      <w:r>
        <w:t xml:space="preserve"> for non-scheme pipelines as outlined in Table 1.1.</w:t>
      </w:r>
    </w:p>
    <w:p w14:paraId="7318190C" w14:textId="77777777" w:rsidR="008F7448" w:rsidRPr="002E1BE5" w:rsidRDefault="008F7448" w:rsidP="008F7448">
      <w:pPr>
        <w:pStyle w:val="Tabletitle"/>
      </w:pPr>
      <w:r>
        <w:t xml:space="preserve">Table </w:t>
      </w:r>
      <w:r w:rsidRPr="00F15217">
        <w:fldChar w:fldCharType="begin"/>
      </w:r>
      <w:r>
        <w:instrText xml:space="preserve"> STYLEREF 1 \s </w:instrText>
      </w:r>
      <w:r w:rsidRPr="00F15217">
        <w:fldChar w:fldCharType="separate"/>
      </w:r>
      <w:r w:rsidR="00192C7D">
        <w:rPr>
          <w:noProof/>
        </w:rPr>
        <w:t>1</w:t>
      </w:r>
      <w:r w:rsidRPr="00F15217">
        <w:fldChar w:fldCharType="end"/>
      </w:r>
      <w:r>
        <w:t>.</w:t>
      </w:r>
      <w:r w:rsidRPr="00F15217">
        <w:fldChar w:fldCharType="begin"/>
      </w:r>
      <w:r>
        <w:instrText xml:space="preserve"> SEQ Table \* ARABIC \s 1 </w:instrText>
      </w:r>
      <w:r w:rsidRPr="00F15217">
        <w:fldChar w:fldCharType="separate"/>
      </w:r>
      <w:r w:rsidR="00192C7D">
        <w:rPr>
          <w:noProof/>
        </w:rPr>
        <w:t>1</w:t>
      </w:r>
      <w:r w:rsidRPr="00F15217">
        <w:fldChar w:fldCharType="end"/>
      </w:r>
      <w:r>
        <w:t xml:space="preserve"> Exemptions available under Part 23 of the NGR</w:t>
      </w:r>
    </w:p>
    <w:tbl>
      <w:tblPr>
        <w:tblStyle w:val="AERTable-Text"/>
        <w:tblW w:w="0" w:type="auto"/>
        <w:tblLook w:val="04A0" w:firstRow="1" w:lastRow="0" w:firstColumn="1" w:lastColumn="0" w:noHBand="0" w:noVBand="1"/>
      </w:tblPr>
      <w:tblGrid>
        <w:gridCol w:w="4077"/>
        <w:gridCol w:w="5103"/>
      </w:tblGrid>
      <w:tr w:rsidR="008F7448" w:rsidRPr="00796046" w14:paraId="315E3BC3" w14:textId="77777777" w:rsidTr="00974A6C">
        <w:trPr>
          <w:cnfStyle w:val="100000000000" w:firstRow="1" w:lastRow="0" w:firstColumn="0" w:lastColumn="0" w:oddVBand="0" w:evenVBand="0" w:oddHBand="0" w:evenHBand="0" w:firstRowFirstColumn="0" w:firstRowLastColumn="0" w:lastRowFirstColumn="0" w:lastRowLastColumn="0"/>
        </w:trPr>
        <w:tc>
          <w:tcPr>
            <w:tcW w:w="4077" w:type="dxa"/>
          </w:tcPr>
          <w:p w14:paraId="7E85C443" w14:textId="77777777" w:rsidR="008F7448" w:rsidRPr="00F15217" w:rsidRDefault="008F7448" w:rsidP="001C2893">
            <w:pPr>
              <w:pStyle w:val="TableHeading"/>
              <w:spacing w:before="240" w:after="120"/>
            </w:pPr>
            <w:r>
              <w:t xml:space="preserve">Exemption </w:t>
            </w:r>
            <w:r w:rsidRPr="00F15217">
              <w:t>category</w:t>
            </w:r>
          </w:p>
        </w:tc>
        <w:tc>
          <w:tcPr>
            <w:tcW w:w="5103" w:type="dxa"/>
          </w:tcPr>
          <w:p w14:paraId="6CC7358C" w14:textId="77777777" w:rsidR="008F7448" w:rsidRPr="00F15217" w:rsidRDefault="008F7448" w:rsidP="001C2893">
            <w:pPr>
              <w:pStyle w:val="TableHeading-right"/>
              <w:spacing w:before="240" w:after="120"/>
            </w:pPr>
            <w:r>
              <w:t>Exemption criteria</w:t>
            </w:r>
          </w:p>
        </w:tc>
      </w:tr>
      <w:tr w:rsidR="008F7448" w:rsidRPr="00796046" w14:paraId="0E3610FF" w14:textId="77777777" w:rsidTr="00974A6C">
        <w:tc>
          <w:tcPr>
            <w:tcW w:w="4077" w:type="dxa"/>
          </w:tcPr>
          <w:p w14:paraId="07278415" w14:textId="77777777" w:rsidR="008F7448" w:rsidRPr="00F15217" w:rsidRDefault="008F7448" w:rsidP="00D10410">
            <w:pPr>
              <w:pStyle w:val="Tabletext"/>
            </w:pPr>
            <w:r w:rsidRPr="00F15217">
              <w:t>Category 1: Exemption from arbitration of access disputes</w:t>
            </w:r>
          </w:p>
        </w:tc>
        <w:tc>
          <w:tcPr>
            <w:tcW w:w="5103" w:type="dxa"/>
          </w:tcPr>
          <w:p w14:paraId="1202BDBF" w14:textId="77777777" w:rsidR="008F7448" w:rsidRPr="00F15217" w:rsidRDefault="008F7448" w:rsidP="00D10410">
            <w:pPr>
              <w:pStyle w:val="Tabletext-right"/>
            </w:pPr>
            <w:r w:rsidRPr="00F15217">
              <w:t>The pipeline does not provide third party access</w:t>
            </w:r>
          </w:p>
        </w:tc>
      </w:tr>
      <w:tr w:rsidR="008F7448" w:rsidRPr="00796046" w14:paraId="38282038" w14:textId="77777777" w:rsidTr="00974A6C">
        <w:trPr>
          <w:cnfStyle w:val="000000010000" w:firstRow="0" w:lastRow="0" w:firstColumn="0" w:lastColumn="0" w:oddVBand="0" w:evenVBand="0" w:oddHBand="0" w:evenHBand="1" w:firstRowFirstColumn="0" w:firstRowLastColumn="0" w:lastRowFirstColumn="0" w:lastRowLastColumn="0"/>
        </w:trPr>
        <w:tc>
          <w:tcPr>
            <w:tcW w:w="4077" w:type="dxa"/>
          </w:tcPr>
          <w:p w14:paraId="4B36BA7D" w14:textId="77777777" w:rsidR="008F7448" w:rsidRPr="00F15217" w:rsidRDefault="008F7448" w:rsidP="00D10410">
            <w:pPr>
              <w:pStyle w:val="Tabletext"/>
            </w:pPr>
            <w:r w:rsidRPr="00F15217">
              <w:t>Category 2: Exemption from information disclosure provisions</w:t>
            </w:r>
          </w:p>
        </w:tc>
        <w:tc>
          <w:tcPr>
            <w:tcW w:w="5103" w:type="dxa"/>
          </w:tcPr>
          <w:p w14:paraId="0D9D1B90" w14:textId="77777777" w:rsidR="008F7448" w:rsidRPr="00F15217" w:rsidRDefault="008F7448" w:rsidP="00D10410">
            <w:pPr>
              <w:pStyle w:val="Tabletext-right"/>
            </w:pPr>
            <w:r w:rsidRPr="00F15217">
              <w:t>Either of the following:</w:t>
            </w:r>
          </w:p>
          <w:p w14:paraId="5F372818" w14:textId="77777777" w:rsidR="008F7448" w:rsidRPr="00F15217" w:rsidRDefault="008F7448" w:rsidP="00D10410">
            <w:pPr>
              <w:pStyle w:val="Tabletext-right"/>
            </w:pPr>
            <w:r w:rsidRPr="00F15217">
              <w:t>The pipeline does not provide third party access.</w:t>
            </w:r>
          </w:p>
          <w:p w14:paraId="620A172E" w14:textId="77777777" w:rsidR="008F7448" w:rsidRPr="00796046" w:rsidRDefault="008F7448" w:rsidP="00D10410">
            <w:pPr>
              <w:pStyle w:val="Tabletext-right"/>
            </w:pPr>
            <w:r w:rsidRPr="00F15217">
              <w:t>The pipeline is a single shipper pipeline.</w:t>
            </w:r>
          </w:p>
        </w:tc>
      </w:tr>
      <w:tr w:rsidR="008F7448" w:rsidRPr="00796046" w14:paraId="13AAC58E" w14:textId="77777777" w:rsidTr="00974A6C">
        <w:tc>
          <w:tcPr>
            <w:tcW w:w="4077" w:type="dxa"/>
          </w:tcPr>
          <w:p w14:paraId="7668DC62" w14:textId="77777777" w:rsidR="008F7448" w:rsidRPr="00796046" w:rsidRDefault="008F7448" w:rsidP="00D10410">
            <w:pPr>
              <w:pStyle w:val="Tabletext"/>
            </w:pPr>
            <w:r w:rsidRPr="00F15217">
              <w:t>Category 3: Exemption from publishing service usage information, service availability information and financial information</w:t>
            </w:r>
          </w:p>
        </w:tc>
        <w:tc>
          <w:tcPr>
            <w:tcW w:w="5103" w:type="dxa"/>
          </w:tcPr>
          <w:p w14:paraId="2FDB85DA" w14:textId="77777777" w:rsidR="008F7448" w:rsidRPr="00796046" w:rsidRDefault="008F7448" w:rsidP="00D10410">
            <w:pPr>
              <w:pStyle w:val="Tabletext-right"/>
            </w:pPr>
            <w:r w:rsidRPr="00F15217">
              <w:t>At any time, the average daily injection of natural gas into the non-scheme pipeline calculated over the immediately preceding 24 months is less than 10TJ/day.</w:t>
            </w:r>
          </w:p>
        </w:tc>
      </w:tr>
    </w:tbl>
    <w:p w14:paraId="19698565" w14:textId="77777777" w:rsidR="008F7448" w:rsidRPr="00F15217" w:rsidRDefault="008F7448" w:rsidP="008F7448">
      <w:r w:rsidRPr="00F15217">
        <w:t xml:space="preserve">The </w:t>
      </w:r>
      <w:r w:rsidRPr="00533F71">
        <w:rPr>
          <w:rStyle w:val="Bold"/>
        </w:rPr>
        <w:t>AER</w:t>
      </w:r>
      <w:r w:rsidRPr="00F15217">
        <w:t xml:space="preserve"> determines whether or not an </w:t>
      </w:r>
      <w:r w:rsidRPr="00533F71">
        <w:rPr>
          <w:rStyle w:val="Bold"/>
        </w:rPr>
        <w:t>exemption</w:t>
      </w:r>
      <w:r w:rsidRPr="00F15217">
        <w:t xml:space="preserve"> is granted. </w:t>
      </w:r>
      <w:r w:rsidRPr="00533F71">
        <w:rPr>
          <w:rStyle w:val="Bold"/>
        </w:rPr>
        <w:t>Exemptions</w:t>
      </w:r>
      <w:r w:rsidRPr="00F15217">
        <w:t xml:space="preserve"> may be time-limited, subject to conditions and varied at the </w:t>
      </w:r>
      <w:r w:rsidRPr="00533F71">
        <w:rPr>
          <w:rStyle w:val="Bold"/>
        </w:rPr>
        <w:t>AER’s</w:t>
      </w:r>
      <w:r w:rsidRPr="00F15217">
        <w:t xml:space="preserve"> discretion. </w:t>
      </w:r>
    </w:p>
    <w:p w14:paraId="002F3F00" w14:textId="77777777" w:rsidR="008F7448" w:rsidRPr="00F15217" w:rsidRDefault="008F7448" w:rsidP="008F7448">
      <w:r w:rsidRPr="00533F71">
        <w:rPr>
          <w:rStyle w:val="Bold"/>
        </w:rPr>
        <w:t>Exemptions</w:t>
      </w:r>
      <w:r w:rsidRPr="00F15217">
        <w:t xml:space="preserve"> do not apply automatically. To benefit from an </w:t>
      </w:r>
      <w:r w:rsidRPr="00533F71">
        <w:rPr>
          <w:rStyle w:val="Bold"/>
        </w:rPr>
        <w:t>exemption</w:t>
      </w:r>
      <w:r w:rsidRPr="00F15217">
        <w:t xml:space="preserve">, the </w:t>
      </w:r>
      <w:r w:rsidRPr="00533F71">
        <w:rPr>
          <w:rStyle w:val="Bold"/>
        </w:rPr>
        <w:t>service provider</w:t>
      </w:r>
      <w:r w:rsidRPr="00F15217">
        <w:t xml:space="preserve"> for the non-scheme pipeline must apply to the </w:t>
      </w:r>
      <w:r w:rsidRPr="00533F71">
        <w:rPr>
          <w:rStyle w:val="Bold"/>
        </w:rPr>
        <w:t>AER</w:t>
      </w:r>
      <w:r w:rsidRPr="00F15217">
        <w:t xml:space="preserve"> under Division 6 of Part 23 and be granted the </w:t>
      </w:r>
      <w:r w:rsidRPr="00533F71">
        <w:rPr>
          <w:rStyle w:val="Bold"/>
        </w:rPr>
        <w:t>exemption</w:t>
      </w:r>
      <w:r w:rsidRPr="00F15217">
        <w:t xml:space="preserve">. </w:t>
      </w:r>
    </w:p>
    <w:p w14:paraId="2F90852B" w14:textId="77777777" w:rsidR="008F7448" w:rsidRPr="00F15217" w:rsidRDefault="008F7448" w:rsidP="008F7448">
      <w:r w:rsidRPr="00F15217">
        <w:t xml:space="preserve">A </w:t>
      </w:r>
      <w:r w:rsidRPr="00533F71">
        <w:rPr>
          <w:rStyle w:val="Bold"/>
        </w:rPr>
        <w:t>service provider</w:t>
      </w:r>
      <w:r w:rsidRPr="00F15217">
        <w:t xml:space="preserve"> who wishes to apply for an </w:t>
      </w:r>
      <w:r w:rsidRPr="00533F71">
        <w:rPr>
          <w:rStyle w:val="Bold"/>
        </w:rPr>
        <w:t>exemption</w:t>
      </w:r>
      <w:r w:rsidRPr="00F15217">
        <w:t xml:space="preserve"> must complete the application form available on the </w:t>
      </w:r>
      <w:r w:rsidRPr="00533F71">
        <w:rPr>
          <w:rStyle w:val="Bold"/>
        </w:rPr>
        <w:t>AER</w:t>
      </w:r>
      <w:r w:rsidRPr="00F15217">
        <w:t xml:space="preserve"> website. All applications will be assessed by the </w:t>
      </w:r>
      <w:r w:rsidRPr="00533F71">
        <w:rPr>
          <w:rStyle w:val="Bold"/>
        </w:rPr>
        <w:t>AER</w:t>
      </w:r>
      <w:r w:rsidRPr="00F15217">
        <w:t xml:space="preserve"> in accordance with the </w:t>
      </w:r>
      <w:r w:rsidRPr="00533F71">
        <w:rPr>
          <w:rStyle w:val="Bold"/>
        </w:rPr>
        <w:t>NGR.</w:t>
      </w:r>
    </w:p>
    <w:p w14:paraId="565195DE" w14:textId="77777777" w:rsidR="008F7448" w:rsidRDefault="008F7448" w:rsidP="008F7448">
      <w:r w:rsidRPr="00F15217">
        <w:t xml:space="preserve">Non-scheme pipelines that hold an </w:t>
      </w:r>
      <w:r w:rsidRPr="00533F71">
        <w:rPr>
          <w:rStyle w:val="Bold"/>
        </w:rPr>
        <w:t>exemption</w:t>
      </w:r>
      <w:r w:rsidRPr="00F15217">
        <w:t xml:space="preserve"> will be identified in a public register of </w:t>
      </w:r>
      <w:r w:rsidRPr="00533F71">
        <w:rPr>
          <w:rStyle w:val="Bold"/>
        </w:rPr>
        <w:t>exemptions</w:t>
      </w:r>
      <w:r w:rsidRPr="00F15217">
        <w:t xml:space="preserve"> on the </w:t>
      </w:r>
      <w:r w:rsidRPr="00533F71">
        <w:rPr>
          <w:rStyle w:val="Bold"/>
        </w:rPr>
        <w:t>AER</w:t>
      </w:r>
      <w:r w:rsidRPr="00F15217">
        <w:t xml:space="preserve"> website. The public register contains additional information including the location and/or part of the pipeline, the category of </w:t>
      </w:r>
      <w:r w:rsidRPr="00533F71">
        <w:rPr>
          <w:rStyle w:val="Bold"/>
        </w:rPr>
        <w:t>exemption</w:t>
      </w:r>
      <w:r w:rsidRPr="00F15217">
        <w:t xml:space="preserve">, the date the </w:t>
      </w:r>
      <w:r w:rsidRPr="00533F71">
        <w:rPr>
          <w:rStyle w:val="Bold"/>
        </w:rPr>
        <w:t>exemption</w:t>
      </w:r>
      <w:r w:rsidRPr="00F15217">
        <w:t xml:space="preserve"> was granted and applicable conditions.</w:t>
      </w:r>
    </w:p>
    <w:p w14:paraId="12EF464F" w14:textId="77777777" w:rsidR="008F7448" w:rsidRPr="00F15217" w:rsidRDefault="008F7448" w:rsidP="00685983">
      <w:pPr>
        <w:pStyle w:val="Heading1"/>
        <w:pageBreakBefore/>
        <w:numPr>
          <w:ilvl w:val="0"/>
          <w:numId w:val="32"/>
        </w:numPr>
        <w:tabs>
          <w:tab w:val="left" w:pos="680"/>
        </w:tabs>
        <w:ind w:left="680" w:hanging="680"/>
      </w:pPr>
      <w:bookmarkStart w:id="37" w:name="_Toc499898224"/>
      <w:bookmarkStart w:id="38" w:name="_Toc501379515"/>
      <w:r w:rsidRPr="00F15217">
        <w:lastRenderedPageBreak/>
        <w:t>Timing of information publication</w:t>
      </w:r>
      <w:bookmarkEnd w:id="37"/>
      <w:bookmarkEnd w:id="38"/>
    </w:p>
    <w:p w14:paraId="00690451" w14:textId="77777777" w:rsidR="008F7448" w:rsidRPr="00F15217" w:rsidRDefault="008F7448" w:rsidP="008F7448">
      <w:r w:rsidRPr="00F15217">
        <w:t xml:space="preserve">A non-scheme pipeline is required to commence publication of information in accordance with the </w:t>
      </w:r>
      <w:r w:rsidRPr="00533F71">
        <w:rPr>
          <w:rStyle w:val="Bold"/>
        </w:rPr>
        <w:t>Guideline</w:t>
      </w:r>
      <w:r w:rsidRPr="00F15217">
        <w:t xml:space="preserve"> where the </w:t>
      </w:r>
      <w:r w:rsidRPr="00533F71">
        <w:rPr>
          <w:rStyle w:val="Bold"/>
        </w:rPr>
        <w:t>service provider’s</w:t>
      </w:r>
      <w:r w:rsidRPr="00F15217">
        <w:t xml:space="preserve"> </w:t>
      </w:r>
      <w:r w:rsidRPr="00533F71">
        <w:rPr>
          <w:rStyle w:val="Bold"/>
        </w:rPr>
        <w:t>reporting period</w:t>
      </w:r>
      <w:r w:rsidRPr="00F15217">
        <w:t xml:space="preserve"> ends after 1 December 2017.</w:t>
      </w:r>
    </w:p>
    <w:p w14:paraId="57D75311" w14:textId="2F21882C" w:rsidR="008F7448" w:rsidRDefault="008F7448" w:rsidP="008F7448">
      <w:r w:rsidRPr="00F15217">
        <w:t>In accordance with r</w:t>
      </w:r>
      <w:r w:rsidR="00D10410">
        <w:t>.</w:t>
      </w:r>
      <w:r w:rsidRPr="00F15217">
        <w:t xml:space="preserve"> 552(2) the financial information and </w:t>
      </w:r>
      <w:r w:rsidRPr="00533F71">
        <w:rPr>
          <w:rStyle w:val="Bold"/>
        </w:rPr>
        <w:t>weighted average price information</w:t>
      </w:r>
      <w:r w:rsidRPr="00F15217">
        <w:t xml:space="preserve"> must be published annually within four months of the end of the </w:t>
      </w:r>
      <w:r w:rsidRPr="00533F71">
        <w:rPr>
          <w:rStyle w:val="Bold"/>
        </w:rPr>
        <w:t>service provider’s reporting period</w:t>
      </w:r>
      <w:r w:rsidRPr="00F15217">
        <w:t xml:space="preserve">. Table 2.1 sets out the dates by which </w:t>
      </w:r>
      <w:r w:rsidRPr="00533F71">
        <w:rPr>
          <w:rStyle w:val="Bold"/>
        </w:rPr>
        <w:t>service providers</w:t>
      </w:r>
      <w:r w:rsidRPr="00F15217">
        <w:t xml:space="preserve"> must publish this information.</w:t>
      </w:r>
    </w:p>
    <w:p w14:paraId="7A9AA37E" w14:textId="77777777" w:rsidR="008F7448" w:rsidRPr="002E1BE5" w:rsidRDefault="008F7448" w:rsidP="008F7448">
      <w:pPr>
        <w:pStyle w:val="Caption"/>
      </w:pPr>
      <w:r>
        <w:t xml:space="preserve">Table </w:t>
      </w:r>
      <w:r w:rsidRPr="004D0104">
        <w:fldChar w:fldCharType="begin"/>
      </w:r>
      <w:r>
        <w:instrText xml:space="preserve"> STYLEREF 1 \s </w:instrText>
      </w:r>
      <w:r w:rsidRPr="004D0104">
        <w:fldChar w:fldCharType="separate"/>
      </w:r>
      <w:r w:rsidR="00192C7D">
        <w:rPr>
          <w:noProof/>
        </w:rPr>
        <w:t>2</w:t>
      </w:r>
      <w:r w:rsidRPr="004D0104">
        <w:fldChar w:fldCharType="end"/>
      </w:r>
      <w:r>
        <w:t>.</w:t>
      </w:r>
      <w:r w:rsidRPr="004D0104">
        <w:fldChar w:fldCharType="begin"/>
      </w:r>
      <w:r>
        <w:instrText xml:space="preserve"> SEQ Table \* ARABIC \s 1 </w:instrText>
      </w:r>
      <w:r w:rsidRPr="004D0104">
        <w:fldChar w:fldCharType="separate"/>
      </w:r>
      <w:r w:rsidR="00192C7D">
        <w:rPr>
          <w:noProof/>
        </w:rPr>
        <w:t>1</w:t>
      </w:r>
      <w:r w:rsidRPr="004D0104">
        <w:fldChar w:fldCharType="end"/>
      </w:r>
      <w:r>
        <w:t xml:space="preserve"> Reporting dates </w:t>
      </w:r>
    </w:p>
    <w:tbl>
      <w:tblPr>
        <w:tblStyle w:val="AERTable-Text"/>
        <w:tblW w:w="0" w:type="auto"/>
        <w:tblLook w:val="04A0" w:firstRow="1" w:lastRow="0" w:firstColumn="1" w:lastColumn="0" w:noHBand="0" w:noVBand="1"/>
      </w:tblPr>
      <w:tblGrid>
        <w:gridCol w:w="2780"/>
        <w:gridCol w:w="6009"/>
      </w:tblGrid>
      <w:tr w:rsidR="008F7448" w:rsidRPr="00796046" w14:paraId="75EC4441" w14:textId="77777777" w:rsidTr="00974A6C">
        <w:trPr>
          <w:cnfStyle w:val="100000000000" w:firstRow="1" w:lastRow="0" w:firstColumn="0" w:lastColumn="0" w:oddVBand="0" w:evenVBand="0" w:oddHBand="0" w:evenHBand="0" w:firstRowFirstColumn="0" w:firstRowLastColumn="0" w:lastRowFirstColumn="0" w:lastRowLastColumn="0"/>
        </w:trPr>
        <w:tc>
          <w:tcPr>
            <w:tcW w:w="2780" w:type="dxa"/>
          </w:tcPr>
          <w:p w14:paraId="197F0BB7" w14:textId="77777777" w:rsidR="008F7448" w:rsidRPr="004D0104" w:rsidRDefault="008F7448" w:rsidP="001C2893">
            <w:pPr>
              <w:pStyle w:val="TableHeading"/>
              <w:spacing w:before="240" w:after="120"/>
            </w:pPr>
            <w:r>
              <w:t>Reporting Period</w:t>
            </w:r>
          </w:p>
        </w:tc>
        <w:tc>
          <w:tcPr>
            <w:tcW w:w="6009" w:type="dxa"/>
          </w:tcPr>
          <w:p w14:paraId="39F13789" w14:textId="77777777" w:rsidR="008F7448" w:rsidRPr="004D0104" w:rsidRDefault="008F7448" w:rsidP="001C2893">
            <w:pPr>
              <w:pStyle w:val="TableHeading-right"/>
              <w:spacing w:before="240" w:after="120"/>
            </w:pPr>
            <w:r>
              <w:t>Reporting Dates</w:t>
            </w:r>
          </w:p>
        </w:tc>
      </w:tr>
      <w:tr w:rsidR="008F7448" w:rsidRPr="00796046" w14:paraId="40D9F89E" w14:textId="77777777" w:rsidTr="00974A6C">
        <w:tc>
          <w:tcPr>
            <w:tcW w:w="2780" w:type="dxa"/>
          </w:tcPr>
          <w:p w14:paraId="04036861" w14:textId="77777777" w:rsidR="008F7448" w:rsidRPr="004D0104" w:rsidRDefault="008F7448" w:rsidP="00D10410">
            <w:pPr>
              <w:pStyle w:val="Tabletext"/>
            </w:pPr>
            <w:r w:rsidRPr="00DD0C40">
              <w:t>1 January – 31 December</w:t>
            </w:r>
          </w:p>
        </w:tc>
        <w:tc>
          <w:tcPr>
            <w:tcW w:w="6009" w:type="dxa"/>
          </w:tcPr>
          <w:p w14:paraId="11C800F9" w14:textId="77777777" w:rsidR="008F7448" w:rsidRPr="004D0104" w:rsidRDefault="008F7448" w:rsidP="00D10410">
            <w:pPr>
              <w:pStyle w:val="Tabletext-right"/>
            </w:pPr>
            <w:r w:rsidRPr="00DD0C40">
              <w:t>By 30 April 2019 and every year thereafter</w:t>
            </w:r>
          </w:p>
        </w:tc>
      </w:tr>
      <w:tr w:rsidR="008F7448" w:rsidRPr="00796046" w14:paraId="6D7BB8A6" w14:textId="77777777" w:rsidTr="00974A6C">
        <w:trPr>
          <w:cnfStyle w:val="000000010000" w:firstRow="0" w:lastRow="0" w:firstColumn="0" w:lastColumn="0" w:oddVBand="0" w:evenVBand="0" w:oddHBand="0" w:evenHBand="1" w:firstRowFirstColumn="0" w:firstRowLastColumn="0" w:lastRowFirstColumn="0" w:lastRowLastColumn="0"/>
        </w:trPr>
        <w:tc>
          <w:tcPr>
            <w:tcW w:w="2780" w:type="dxa"/>
          </w:tcPr>
          <w:p w14:paraId="0523AD07" w14:textId="77777777" w:rsidR="008F7448" w:rsidRPr="004D0104" w:rsidRDefault="008F7448" w:rsidP="00D10410">
            <w:pPr>
              <w:pStyle w:val="Tabletext"/>
            </w:pPr>
            <w:r w:rsidRPr="00DD0C40">
              <w:t>1 July – 30 June</w:t>
            </w:r>
          </w:p>
        </w:tc>
        <w:tc>
          <w:tcPr>
            <w:tcW w:w="6009" w:type="dxa"/>
          </w:tcPr>
          <w:p w14:paraId="44B1A109" w14:textId="77777777" w:rsidR="008F7448" w:rsidRPr="00796046" w:rsidRDefault="008F7448" w:rsidP="00D10410">
            <w:pPr>
              <w:pStyle w:val="Tabletext-right"/>
            </w:pPr>
            <w:r w:rsidRPr="00DD0C40">
              <w:t>By 31 October 2019 and every year thereafter</w:t>
            </w:r>
          </w:p>
        </w:tc>
      </w:tr>
      <w:tr w:rsidR="008F7448" w:rsidRPr="00796046" w14:paraId="0A3D4344" w14:textId="77777777" w:rsidTr="00974A6C">
        <w:tc>
          <w:tcPr>
            <w:tcW w:w="2780" w:type="dxa"/>
          </w:tcPr>
          <w:p w14:paraId="3E67A51A" w14:textId="77777777" w:rsidR="008F7448" w:rsidRPr="00DD0C40" w:rsidRDefault="008F7448" w:rsidP="00D10410">
            <w:pPr>
              <w:pStyle w:val="Tabletext"/>
            </w:pPr>
            <w:r w:rsidRPr="00DD0C40">
              <w:t>1 April – 31 March</w:t>
            </w:r>
          </w:p>
        </w:tc>
        <w:tc>
          <w:tcPr>
            <w:tcW w:w="6009" w:type="dxa"/>
          </w:tcPr>
          <w:p w14:paraId="2935A665" w14:textId="77777777" w:rsidR="008F7448" w:rsidRPr="00796046" w:rsidRDefault="008F7448" w:rsidP="00D10410">
            <w:pPr>
              <w:pStyle w:val="Tabletext-right"/>
            </w:pPr>
            <w:r w:rsidRPr="00DD0C40">
              <w:t>By 31 July 2019 and every year thereafter</w:t>
            </w:r>
          </w:p>
        </w:tc>
      </w:tr>
    </w:tbl>
    <w:p w14:paraId="6B4A419F" w14:textId="77777777" w:rsidR="008F7448" w:rsidRPr="00DD0C40" w:rsidRDefault="008F7448" w:rsidP="00685983">
      <w:pPr>
        <w:pStyle w:val="Heading2"/>
        <w:numPr>
          <w:ilvl w:val="1"/>
          <w:numId w:val="32"/>
        </w:numPr>
        <w:tabs>
          <w:tab w:val="left" w:pos="680"/>
        </w:tabs>
        <w:ind w:left="680" w:hanging="680"/>
      </w:pPr>
      <w:bookmarkStart w:id="39" w:name="_Toc499898225"/>
      <w:bookmarkStart w:id="40" w:name="_Toc501379516"/>
      <w:r w:rsidRPr="00DD0C40">
        <w:t>Transitional arrangements</w:t>
      </w:r>
      <w:bookmarkEnd w:id="39"/>
      <w:bookmarkEnd w:id="40"/>
      <w:r w:rsidRPr="00DD0C40">
        <w:t xml:space="preserve"> </w:t>
      </w:r>
    </w:p>
    <w:p w14:paraId="1AC45A43" w14:textId="77777777" w:rsidR="008F7448" w:rsidRPr="00DD0C40" w:rsidRDefault="008F7448" w:rsidP="008F7448">
      <w:r w:rsidRPr="00DD0C40">
        <w:t xml:space="preserve">The </w:t>
      </w:r>
      <w:r w:rsidRPr="00533F71">
        <w:rPr>
          <w:rStyle w:val="BookTitle"/>
        </w:rPr>
        <w:t>National Gas (Pipelines Access-Arbitration) Amendment Rule 2017</w:t>
      </w:r>
      <w:r w:rsidRPr="00DD0C40">
        <w:t xml:space="preserve"> contains transitional rules that form part of Schedule 4 of the </w:t>
      </w:r>
      <w:r w:rsidRPr="00533F71">
        <w:rPr>
          <w:rStyle w:val="Bold"/>
        </w:rPr>
        <w:t>NGR</w:t>
      </w:r>
      <w:r w:rsidRPr="00DD0C40">
        <w:t xml:space="preserve">. The transitional rules address the transitional arrangements in relation to the initial </w:t>
      </w:r>
      <w:r w:rsidRPr="00533F71">
        <w:rPr>
          <w:rStyle w:val="Bold"/>
        </w:rPr>
        <w:t>Guideline</w:t>
      </w:r>
      <w:r w:rsidRPr="00DD0C40">
        <w:t xml:space="preserve"> and the </w:t>
      </w:r>
      <w:r w:rsidRPr="00533F71">
        <w:rPr>
          <w:rStyle w:val="Bold"/>
        </w:rPr>
        <w:t>initial financial reporting</w:t>
      </w:r>
      <w:r w:rsidRPr="00DD0C40">
        <w:t xml:space="preserve"> and </w:t>
      </w:r>
      <w:r w:rsidRPr="00533F71">
        <w:rPr>
          <w:rStyle w:val="Bold"/>
        </w:rPr>
        <w:t>average weighted prices</w:t>
      </w:r>
      <w:r w:rsidRPr="00DD0C40">
        <w:t xml:space="preserve">. </w:t>
      </w:r>
    </w:p>
    <w:p w14:paraId="79C78C96" w14:textId="77777777" w:rsidR="008F7448" w:rsidRPr="00DD0C40" w:rsidRDefault="008F7448" w:rsidP="008F7448">
      <w:r w:rsidRPr="00DD0C40">
        <w:t xml:space="preserve">Under the transitional rules, </w:t>
      </w:r>
      <w:r w:rsidRPr="00533F71">
        <w:rPr>
          <w:rStyle w:val="Bold"/>
        </w:rPr>
        <w:t>initial financial reporting and average weighted prices</w:t>
      </w:r>
      <w:r w:rsidRPr="00DD0C40">
        <w:t xml:space="preserve"> covering a six month period must be published in October 2018 or January 2019, depending on the </w:t>
      </w:r>
      <w:r w:rsidRPr="00533F71">
        <w:rPr>
          <w:rStyle w:val="Bold"/>
        </w:rPr>
        <w:t>service provider’s reporting period</w:t>
      </w:r>
      <w:r w:rsidRPr="00DD0C40">
        <w:t xml:space="preserve">. This transitional reporting requirement only applies to pipeline statements and </w:t>
      </w:r>
      <w:r w:rsidRPr="00F52F8A">
        <w:rPr>
          <w:b/>
        </w:rPr>
        <w:t>weighted average price information</w:t>
      </w:r>
      <w:r w:rsidRPr="00DD0C40">
        <w:t xml:space="preserve">. </w:t>
      </w:r>
      <w:r>
        <w:t>T</w:t>
      </w:r>
      <w:r w:rsidRPr="00DD0C40">
        <w:t>here is also no requirement for a comparison to be carried out with a prior year.</w:t>
      </w:r>
    </w:p>
    <w:p w14:paraId="776944EF" w14:textId="77777777" w:rsidR="008F7448" w:rsidRDefault="008F7448" w:rsidP="008F7448">
      <w:r w:rsidRPr="00DD0C40">
        <w:t xml:space="preserve">Table 2.2 sets out the reporting dates for the </w:t>
      </w:r>
      <w:r w:rsidRPr="00533F71">
        <w:rPr>
          <w:rStyle w:val="Bold"/>
        </w:rPr>
        <w:t>initial financial reporting and average weighted prices</w:t>
      </w:r>
      <w:r w:rsidRPr="00DD0C40">
        <w:t>.</w:t>
      </w:r>
    </w:p>
    <w:p w14:paraId="1C867B23" w14:textId="77777777" w:rsidR="008F7448" w:rsidRPr="002E1BE5" w:rsidRDefault="008F7448" w:rsidP="008F7448">
      <w:pPr>
        <w:pStyle w:val="Caption"/>
      </w:pPr>
      <w:r>
        <w:t xml:space="preserve">Table </w:t>
      </w:r>
      <w:r w:rsidRPr="004D0104">
        <w:fldChar w:fldCharType="begin"/>
      </w:r>
      <w:r>
        <w:instrText xml:space="preserve"> STYLEREF 1 \s </w:instrText>
      </w:r>
      <w:r w:rsidRPr="004D0104">
        <w:fldChar w:fldCharType="separate"/>
      </w:r>
      <w:r w:rsidR="00192C7D">
        <w:rPr>
          <w:noProof/>
        </w:rPr>
        <w:t>2</w:t>
      </w:r>
      <w:r w:rsidRPr="004D0104">
        <w:fldChar w:fldCharType="end"/>
      </w:r>
      <w:r>
        <w:t>.</w:t>
      </w:r>
      <w:r w:rsidRPr="004D0104">
        <w:fldChar w:fldCharType="begin"/>
      </w:r>
      <w:r>
        <w:instrText xml:space="preserve"> SEQ Table \* ARABIC \s 1 </w:instrText>
      </w:r>
      <w:r w:rsidRPr="004D0104">
        <w:fldChar w:fldCharType="separate"/>
      </w:r>
      <w:r w:rsidR="00192C7D">
        <w:rPr>
          <w:noProof/>
        </w:rPr>
        <w:t>2</w:t>
      </w:r>
      <w:r w:rsidRPr="004D0104">
        <w:fldChar w:fldCharType="end"/>
      </w:r>
      <w:r>
        <w:t xml:space="preserve"> Reporting dates for initial financial reporting and average weighted prices</w:t>
      </w:r>
    </w:p>
    <w:tbl>
      <w:tblPr>
        <w:tblStyle w:val="AERTable-Text"/>
        <w:tblW w:w="0" w:type="auto"/>
        <w:tblLook w:val="04A0" w:firstRow="1" w:lastRow="0" w:firstColumn="1" w:lastColumn="0" w:noHBand="0" w:noVBand="1"/>
      </w:tblPr>
      <w:tblGrid>
        <w:gridCol w:w="2780"/>
        <w:gridCol w:w="6009"/>
      </w:tblGrid>
      <w:tr w:rsidR="008F7448" w:rsidRPr="00796046" w14:paraId="306D5C03" w14:textId="77777777" w:rsidTr="00974A6C">
        <w:trPr>
          <w:cnfStyle w:val="100000000000" w:firstRow="1" w:lastRow="0" w:firstColumn="0" w:lastColumn="0" w:oddVBand="0" w:evenVBand="0" w:oddHBand="0" w:evenHBand="0" w:firstRowFirstColumn="0" w:firstRowLastColumn="0" w:lastRowFirstColumn="0" w:lastRowLastColumn="0"/>
        </w:trPr>
        <w:tc>
          <w:tcPr>
            <w:tcW w:w="2780" w:type="dxa"/>
          </w:tcPr>
          <w:p w14:paraId="6E2EC05C" w14:textId="77777777" w:rsidR="008F7448" w:rsidRPr="00DD0C40" w:rsidRDefault="008F7448" w:rsidP="001C2893">
            <w:pPr>
              <w:pStyle w:val="TableHeading"/>
              <w:spacing w:before="240" w:after="120"/>
            </w:pPr>
            <w:r>
              <w:t>Reporting Period</w:t>
            </w:r>
          </w:p>
        </w:tc>
        <w:tc>
          <w:tcPr>
            <w:tcW w:w="6009" w:type="dxa"/>
          </w:tcPr>
          <w:p w14:paraId="129670AD" w14:textId="77777777" w:rsidR="008F7448" w:rsidRPr="00DD0C40" w:rsidRDefault="008F7448" w:rsidP="001C2893">
            <w:pPr>
              <w:pStyle w:val="TableHeading-right"/>
              <w:spacing w:before="240" w:after="120"/>
            </w:pPr>
            <w:r>
              <w:t>Reporting Dates</w:t>
            </w:r>
          </w:p>
        </w:tc>
      </w:tr>
      <w:tr w:rsidR="008F7448" w:rsidRPr="00796046" w14:paraId="49FA84ED" w14:textId="77777777" w:rsidTr="00974A6C">
        <w:tc>
          <w:tcPr>
            <w:tcW w:w="2780" w:type="dxa"/>
          </w:tcPr>
          <w:p w14:paraId="6E6FBDA6" w14:textId="77777777" w:rsidR="008F7448" w:rsidRPr="00DD0C40" w:rsidRDefault="008F7448" w:rsidP="00D10410">
            <w:pPr>
              <w:pStyle w:val="Tabletext"/>
            </w:pPr>
            <w:r w:rsidRPr="00DD0C40">
              <w:t>1 January – 31 December</w:t>
            </w:r>
          </w:p>
        </w:tc>
        <w:tc>
          <w:tcPr>
            <w:tcW w:w="6009" w:type="dxa"/>
          </w:tcPr>
          <w:p w14:paraId="4FCB6BFC" w14:textId="77777777" w:rsidR="008F7448" w:rsidRPr="00DD0C40" w:rsidRDefault="008F7448" w:rsidP="00D10410">
            <w:pPr>
              <w:pStyle w:val="Tabletext-right"/>
            </w:pPr>
            <w:r>
              <w:t>By 31 October 2018 for period 1 January 2018-30 June 2018</w:t>
            </w:r>
          </w:p>
        </w:tc>
      </w:tr>
      <w:tr w:rsidR="008F7448" w:rsidRPr="00796046" w14:paraId="1AD3B8A7" w14:textId="77777777" w:rsidTr="00974A6C">
        <w:trPr>
          <w:cnfStyle w:val="000000010000" w:firstRow="0" w:lastRow="0" w:firstColumn="0" w:lastColumn="0" w:oddVBand="0" w:evenVBand="0" w:oddHBand="0" w:evenHBand="1" w:firstRowFirstColumn="0" w:firstRowLastColumn="0" w:lastRowFirstColumn="0" w:lastRowLastColumn="0"/>
        </w:trPr>
        <w:tc>
          <w:tcPr>
            <w:tcW w:w="2780" w:type="dxa"/>
          </w:tcPr>
          <w:p w14:paraId="2ACA64E5" w14:textId="77777777" w:rsidR="008F7448" w:rsidRPr="00DD0C40" w:rsidRDefault="008F7448" w:rsidP="00D10410">
            <w:pPr>
              <w:pStyle w:val="Tabletext"/>
            </w:pPr>
            <w:r w:rsidRPr="00DD0C40">
              <w:t>1 July – 30 June</w:t>
            </w:r>
          </w:p>
        </w:tc>
        <w:tc>
          <w:tcPr>
            <w:tcW w:w="6009" w:type="dxa"/>
          </w:tcPr>
          <w:p w14:paraId="318D7524" w14:textId="77777777" w:rsidR="008F7448" w:rsidRPr="00DD0C40" w:rsidRDefault="008F7448" w:rsidP="00D10410">
            <w:pPr>
              <w:pStyle w:val="Tabletext-right"/>
            </w:pPr>
            <w:r>
              <w:t>By 31 October 2018 for period 1 January 2018-30 June 2018</w:t>
            </w:r>
          </w:p>
        </w:tc>
      </w:tr>
      <w:tr w:rsidR="008F7448" w:rsidRPr="00796046" w14:paraId="3D062F86" w14:textId="77777777" w:rsidTr="00974A6C">
        <w:tc>
          <w:tcPr>
            <w:tcW w:w="2780" w:type="dxa"/>
          </w:tcPr>
          <w:p w14:paraId="475F9896" w14:textId="77777777" w:rsidR="008F7448" w:rsidRPr="00DD0C40" w:rsidRDefault="008F7448" w:rsidP="00D10410">
            <w:pPr>
              <w:pStyle w:val="Tabletext"/>
            </w:pPr>
            <w:r w:rsidRPr="00DD0C40">
              <w:t>1 April – 31 March</w:t>
            </w:r>
          </w:p>
        </w:tc>
        <w:tc>
          <w:tcPr>
            <w:tcW w:w="6009" w:type="dxa"/>
          </w:tcPr>
          <w:p w14:paraId="396D9BFE" w14:textId="77777777" w:rsidR="008F7448" w:rsidRPr="00DD0C40" w:rsidRDefault="008F7448" w:rsidP="00D10410">
            <w:pPr>
              <w:pStyle w:val="Tabletext-right"/>
            </w:pPr>
            <w:r>
              <w:t>By 31 January 2019 for period 1 April 2018-30 September 2018</w:t>
            </w:r>
          </w:p>
        </w:tc>
      </w:tr>
    </w:tbl>
    <w:p w14:paraId="3159EFC3" w14:textId="262EC6BA" w:rsidR="008F7448" w:rsidRDefault="008F7448" w:rsidP="008F7448">
      <w:r w:rsidRPr="00DD0C40">
        <w:t xml:space="preserve">Prior </w:t>
      </w:r>
      <w:r w:rsidR="006C518B" w:rsidRPr="004A767C">
        <w:rPr>
          <w:b/>
        </w:rPr>
        <w:t>reporting period</w:t>
      </w:r>
      <w:r w:rsidRPr="00DD0C40">
        <w:t xml:space="preserve"> information is not required to be submitted in the first year that the reporting requirements apply.</w:t>
      </w:r>
    </w:p>
    <w:p w14:paraId="624FDBA3" w14:textId="77777777" w:rsidR="008F7448" w:rsidRPr="00DD0C40" w:rsidRDefault="008F7448" w:rsidP="00685983">
      <w:pPr>
        <w:pStyle w:val="Heading1"/>
        <w:pageBreakBefore/>
        <w:numPr>
          <w:ilvl w:val="0"/>
          <w:numId w:val="32"/>
        </w:numPr>
        <w:tabs>
          <w:tab w:val="left" w:pos="680"/>
        </w:tabs>
        <w:ind w:left="680" w:hanging="680"/>
      </w:pPr>
      <w:bookmarkStart w:id="41" w:name="_Toc499898226"/>
      <w:bookmarkStart w:id="42" w:name="_Toc501379517"/>
      <w:r w:rsidRPr="00DD0C40">
        <w:lastRenderedPageBreak/>
        <w:t>Requirement to publish financial information – pipeline statements</w:t>
      </w:r>
      <w:bookmarkEnd w:id="41"/>
      <w:bookmarkEnd w:id="42"/>
    </w:p>
    <w:p w14:paraId="2CA9E737" w14:textId="77777777" w:rsidR="008F7448" w:rsidRPr="00DD0C40" w:rsidRDefault="008F7448" w:rsidP="00685983">
      <w:pPr>
        <w:pStyle w:val="Heading2"/>
        <w:numPr>
          <w:ilvl w:val="1"/>
          <w:numId w:val="32"/>
        </w:numPr>
        <w:tabs>
          <w:tab w:val="left" w:pos="680"/>
        </w:tabs>
        <w:ind w:left="680" w:hanging="680"/>
      </w:pPr>
      <w:bookmarkStart w:id="43" w:name="_Ref499305258"/>
      <w:bookmarkStart w:id="44" w:name="_Toc499898227"/>
      <w:bookmarkStart w:id="45" w:name="_Toc501379518"/>
      <w:r w:rsidRPr="00DD0C40">
        <w:t>Pipeline statements</w:t>
      </w:r>
      <w:bookmarkEnd w:id="43"/>
      <w:bookmarkEnd w:id="44"/>
      <w:bookmarkEnd w:id="45"/>
    </w:p>
    <w:p w14:paraId="0D17EB25" w14:textId="77777777" w:rsidR="008F7448" w:rsidRPr="00DD0C40" w:rsidRDefault="008F7448" w:rsidP="008F7448">
      <w:r w:rsidRPr="00DD0C40">
        <w:t xml:space="preserve">Rule 555 of the </w:t>
      </w:r>
      <w:r w:rsidRPr="00533F71">
        <w:rPr>
          <w:rStyle w:val="Bold"/>
        </w:rPr>
        <w:t>NGR</w:t>
      </w:r>
      <w:r w:rsidRPr="00DD0C40">
        <w:t xml:space="preserve"> requires a </w:t>
      </w:r>
      <w:r w:rsidRPr="00533F71">
        <w:rPr>
          <w:rStyle w:val="Bold"/>
        </w:rPr>
        <w:t>service provider</w:t>
      </w:r>
      <w:r w:rsidRPr="00DD0C40">
        <w:t xml:space="preserve"> of a non-scheme pipeline to prepare and publish on its website financial information about each of its non-scheme pipelines. </w:t>
      </w:r>
    </w:p>
    <w:p w14:paraId="69A4ACD3" w14:textId="77777777" w:rsidR="008F7448" w:rsidRPr="00DD0C40" w:rsidRDefault="008F7448" w:rsidP="008F7448">
      <w:r w:rsidRPr="00DD0C40">
        <w:t xml:space="preserve">This part of the </w:t>
      </w:r>
      <w:r w:rsidRPr="00533F71">
        <w:rPr>
          <w:rStyle w:val="Bold"/>
        </w:rPr>
        <w:t>Guideline</w:t>
      </w:r>
      <w:r w:rsidRPr="00DD0C40">
        <w:t xml:space="preserve"> sets out the financial information required to be completed in the </w:t>
      </w:r>
      <w:r w:rsidRPr="00533F71">
        <w:rPr>
          <w:rStyle w:val="Bold"/>
        </w:rPr>
        <w:t>financial reporting template</w:t>
      </w:r>
      <w:r w:rsidRPr="00DD0C40">
        <w:t xml:space="preserve">. The methodology and principles to be followed are set out at Section </w:t>
      </w:r>
      <w:r>
        <w:t>3</w:t>
      </w:r>
      <w:r w:rsidRPr="00DD0C40">
        <w:t>.2.</w:t>
      </w:r>
    </w:p>
    <w:p w14:paraId="6D87184E" w14:textId="1061A185" w:rsidR="008F7448" w:rsidRPr="00DD0C40" w:rsidRDefault="008F7448" w:rsidP="008F7448">
      <w:r w:rsidRPr="00DD0C40">
        <w:t xml:space="preserve">In the </w:t>
      </w:r>
      <w:r w:rsidRPr="00533F71">
        <w:rPr>
          <w:rStyle w:val="Bold"/>
        </w:rPr>
        <w:t>financial reporting template</w:t>
      </w:r>
      <w:r w:rsidRPr="00DD0C40">
        <w:t xml:space="preserve">, </w:t>
      </w:r>
      <w:r w:rsidRPr="00533F71">
        <w:rPr>
          <w:rStyle w:val="Bold"/>
        </w:rPr>
        <w:t>service providers</w:t>
      </w:r>
      <w:r w:rsidRPr="00DD0C40">
        <w:t xml:space="preserve"> are required to set out the Statement of Pipeline Revenue and Expenses</w:t>
      </w:r>
      <w:r w:rsidR="000028F3">
        <w:t>,</w:t>
      </w:r>
      <w:r w:rsidRPr="00DD0C40">
        <w:t xml:space="preserve"> and Statement of Pipeline Assets for:</w:t>
      </w:r>
    </w:p>
    <w:p w14:paraId="72BC59A0" w14:textId="77777777" w:rsidR="008F7448" w:rsidRPr="00DD0C40" w:rsidRDefault="008F7448" w:rsidP="008F7448">
      <w:pPr>
        <w:pStyle w:val="ListBullet"/>
      </w:pPr>
      <w:r w:rsidRPr="00DD0C40">
        <w:t>the most recent financial year, and</w:t>
      </w:r>
    </w:p>
    <w:p w14:paraId="3EC7418A" w14:textId="77777777" w:rsidR="008F7448" w:rsidRPr="00DD0C40" w:rsidRDefault="008F7448" w:rsidP="008F7448">
      <w:pPr>
        <w:pStyle w:val="ListBullet"/>
      </w:pPr>
      <w:r w:rsidRPr="00DD0C40">
        <w:t>the prior financial year.</w:t>
      </w:r>
    </w:p>
    <w:p w14:paraId="7D2A330E" w14:textId="55216E28" w:rsidR="008F7448" w:rsidRDefault="008F7448" w:rsidP="008F7448">
      <w:r w:rsidRPr="00DD0C40">
        <w:t xml:space="preserve">Different arrangements </w:t>
      </w:r>
      <w:r w:rsidR="000028F3">
        <w:t>are</w:t>
      </w:r>
      <w:r w:rsidRPr="00DD0C40">
        <w:t xml:space="preserve"> in place for the transitional period as outlined in Section 2.1.</w:t>
      </w:r>
    </w:p>
    <w:p w14:paraId="56F59DD1" w14:textId="77777777" w:rsidR="008F7448" w:rsidRPr="00DD0C40" w:rsidRDefault="008F7448" w:rsidP="008F7448">
      <w:r>
        <w:t xml:space="preserve">There is no requirement for prior financial year information to be included in the </w:t>
      </w:r>
      <w:r w:rsidRPr="008A2162">
        <w:rPr>
          <w:rStyle w:val="Strong"/>
        </w:rPr>
        <w:t>financial reporting template</w:t>
      </w:r>
      <w:r>
        <w:t xml:space="preserve"> until the year following the first full year for which information is reported.</w:t>
      </w:r>
    </w:p>
    <w:p w14:paraId="27B42CF9" w14:textId="77777777" w:rsidR="008F7448" w:rsidRPr="00DD0C40" w:rsidRDefault="008F7448" w:rsidP="008F7448">
      <w:r w:rsidRPr="00DD0C40">
        <w:t xml:space="preserve">A single set of financial statements will be reported for each non-scheme pipeline even if there is more than one </w:t>
      </w:r>
      <w:r w:rsidRPr="004A767C">
        <w:rPr>
          <w:b/>
        </w:rPr>
        <w:t>service provider</w:t>
      </w:r>
      <w:r w:rsidRPr="00DD0C40">
        <w:t xml:space="preserve">. </w:t>
      </w:r>
    </w:p>
    <w:p w14:paraId="462E2253" w14:textId="77777777" w:rsidR="008F7448" w:rsidRPr="00DD0C40" w:rsidRDefault="008F7448" w:rsidP="008F7448">
      <w:r w:rsidRPr="00DD0C40">
        <w:t xml:space="preserve">In preparing the </w:t>
      </w:r>
      <w:r w:rsidRPr="00533F71">
        <w:rPr>
          <w:rStyle w:val="Bold"/>
        </w:rPr>
        <w:t>financial reporting template</w:t>
      </w:r>
      <w:r w:rsidRPr="00DD0C40">
        <w:t xml:space="preserve">, </w:t>
      </w:r>
      <w:r w:rsidRPr="00533F71">
        <w:rPr>
          <w:rStyle w:val="Bold"/>
        </w:rPr>
        <w:t>service providers</w:t>
      </w:r>
      <w:r w:rsidRPr="00DD0C40">
        <w:t xml:space="preserve"> are required to comply with the </w:t>
      </w:r>
      <w:r w:rsidRPr="00533F71">
        <w:rPr>
          <w:rStyle w:val="Bold"/>
        </w:rPr>
        <w:t>AASB</w:t>
      </w:r>
      <w:r w:rsidRPr="00DD0C40">
        <w:t xml:space="preserve">, except where the </w:t>
      </w:r>
      <w:r w:rsidRPr="00533F71">
        <w:rPr>
          <w:rStyle w:val="Bold"/>
        </w:rPr>
        <w:t>Guideline</w:t>
      </w:r>
      <w:r w:rsidRPr="00DD0C40">
        <w:t xml:space="preserve"> provides a methodology that is not consistent with that disclosed under the </w:t>
      </w:r>
      <w:r w:rsidRPr="00533F71">
        <w:rPr>
          <w:rStyle w:val="Bold"/>
        </w:rPr>
        <w:t>AASB</w:t>
      </w:r>
      <w:r w:rsidRPr="00DD0C40">
        <w:t>.</w:t>
      </w:r>
    </w:p>
    <w:p w14:paraId="72E7AA22" w14:textId="5E06B756" w:rsidR="008F7448" w:rsidRDefault="008F7448" w:rsidP="008F7448">
      <w:r w:rsidRPr="00DD0C40">
        <w:t xml:space="preserve">Terms in the </w:t>
      </w:r>
      <w:r w:rsidR="00F52F8A" w:rsidRPr="00F52F8A">
        <w:rPr>
          <w:b/>
        </w:rPr>
        <w:t xml:space="preserve">financial </w:t>
      </w:r>
      <w:r w:rsidRPr="00533F71">
        <w:rPr>
          <w:rStyle w:val="Bold"/>
        </w:rPr>
        <w:t>reporting template</w:t>
      </w:r>
      <w:r w:rsidRPr="00DD0C40">
        <w:t xml:space="preserve"> have the same meaning as those set out in the Accounting Standards unless specified otherwise in this </w:t>
      </w:r>
      <w:r w:rsidRPr="00533F71">
        <w:rPr>
          <w:rStyle w:val="Bold"/>
        </w:rPr>
        <w:t>Guideline</w:t>
      </w:r>
      <w:r w:rsidRPr="00DD0C40">
        <w:t>.</w:t>
      </w:r>
    </w:p>
    <w:p w14:paraId="3C76CE57" w14:textId="77777777" w:rsidR="008F7448" w:rsidRPr="00DD0C40" w:rsidRDefault="008F7448" w:rsidP="00685983">
      <w:pPr>
        <w:pStyle w:val="Heading3"/>
        <w:numPr>
          <w:ilvl w:val="2"/>
          <w:numId w:val="32"/>
        </w:numPr>
        <w:tabs>
          <w:tab w:val="left" w:pos="1021"/>
        </w:tabs>
        <w:ind w:left="1021" w:hanging="1021"/>
      </w:pPr>
      <w:bookmarkStart w:id="46" w:name="_Toc499898228"/>
      <w:bookmarkStart w:id="47" w:name="_Toc501379519"/>
      <w:r w:rsidRPr="00DD0C40">
        <w:t>Statement of Pipeline Revenue and Expenses</w:t>
      </w:r>
      <w:bookmarkEnd w:id="46"/>
      <w:bookmarkEnd w:id="47"/>
    </w:p>
    <w:p w14:paraId="34D6C057" w14:textId="77777777" w:rsidR="008F7448" w:rsidRPr="00DD0C40" w:rsidRDefault="008F7448" w:rsidP="008F7448">
      <w:r w:rsidRPr="00DD0C40">
        <w:t xml:space="preserve">The Statement of Pipeline Revenue and Expenses at worksheet 2 of the </w:t>
      </w:r>
      <w:r w:rsidRPr="00533F71">
        <w:rPr>
          <w:rStyle w:val="Bold"/>
        </w:rPr>
        <w:t>financial reporting</w:t>
      </w:r>
      <w:r w:rsidRPr="00DD0C40">
        <w:t xml:space="preserve"> </w:t>
      </w:r>
      <w:r w:rsidRPr="00533F71">
        <w:rPr>
          <w:rStyle w:val="Bold"/>
        </w:rPr>
        <w:t>template</w:t>
      </w:r>
      <w:r w:rsidRPr="00DD0C40">
        <w:t xml:space="preserve"> provides an overview of the revenue generated from pipeline operations and the costs associated with the pipeline.</w:t>
      </w:r>
    </w:p>
    <w:p w14:paraId="2D9D9030" w14:textId="77777777" w:rsidR="008F7448" w:rsidRPr="00DD0C40" w:rsidRDefault="008F7448" w:rsidP="00685983">
      <w:pPr>
        <w:pStyle w:val="Heading4"/>
        <w:numPr>
          <w:ilvl w:val="3"/>
          <w:numId w:val="32"/>
        </w:numPr>
        <w:tabs>
          <w:tab w:val="left" w:pos="1021"/>
        </w:tabs>
        <w:ind w:left="1021" w:hanging="1021"/>
      </w:pPr>
      <w:r w:rsidRPr="00DD0C40">
        <w:t>Revenue</w:t>
      </w:r>
    </w:p>
    <w:p w14:paraId="10B15F53" w14:textId="77777777" w:rsidR="008F7448" w:rsidRPr="00DD0C40" w:rsidRDefault="008F7448" w:rsidP="008F7448">
      <w:r w:rsidRPr="00DD0C40">
        <w:t xml:space="preserve">Revenue is to be reported at worksheet 2.1 of the </w:t>
      </w:r>
      <w:r w:rsidRPr="00533F71">
        <w:rPr>
          <w:rStyle w:val="Bold"/>
        </w:rPr>
        <w:t>financial reporting template</w:t>
      </w:r>
      <w:r w:rsidRPr="00DD0C40">
        <w:t xml:space="preserve">.  </w:t>
      </w:r>
    </w:p>
    <w:p w14:paraId="7FA2BD7A" w14:textId="6B8A8407" w:rsidR="008F7448" w:rsidRDefault="008F7448" w:rsidP="008F7448">
      <w:r w:rsidRPr="00DD0C40">
        <w:t xml:space="preserve">Revenue is to be reported by service category, and the service categories are set out in the </w:t>
      </w:r>
      <w:r w:rsidRPr="00533F71">
        <w:rPr>
          <w:rStyle w:val="Bold"/>
        </w:rPr>
        <w:t>financial reporting template</w:t>
      </w:r>
      <w:r w:rsidRPr="00DD0C40">
        <w:t>. Where there is uncertainty as to which service category</w:t>
      </w:r>
      <w:r>
        <w:t xml:space="preserve"> </w:t>
      </w:r>
      <w:r w:rsidRPr="004C7BED">
        <w:t xml:space="preserve">revenue applies, the </w:t>
      </w:r>
      <w:r w:rsidRPr="00533F71">
        <w:rPr>
          <w:rStyle w:val="Bold"/>
        </w:rPr>
        <w:t>service provider</w:t>
      </w:r>
      <w:r w:rsidRPr="004C7BED">
        <w:t xml:space="preserve"> is to disclose in the basis</w:t>
      </w:r>
      <w:r w:rsidR="00461653">
        <w:t xml:space="preserve"> of preparation the reason</w:t>
      </w:r>
      <w:r w:rsidRPr="004C7BED">
        <w:t xml:space="preserve"> for allocation to a particular revenue category.</w:t>
      </w:r>
    </w:p>
    <w:p w14:paraId="214BF8B8" w14:textId="77777777" w:rsidR="008F7448" w:rsidRPr="004C7BED" w:rsidRDefault="008F7448" w:rsidP="008F7448">
      <w:r w:rsidRPr="004C7BED">
        <w:t xml:space="preserve">The </w:t>
      </w:r>
      <w:r w:rsidRPr="00533F71">
        <w:rPr>
          <w:rStyle w:val="Bold"/>
        </w:rPr>
        <w:t>service provider</w:t>
      </w:r>
      <w:r w:rsidRPr="004C7BED">
        <w:t xml:space="preserve"> is required to comply with revenue recognition principles </w:t>
      </w:r>
      <w:r>
        <w:t xml:space="preserve">in the </w:t>
      </w:r>
      <w:r w:rsidRPr="00DE51A0">
        <w:rPr>
          <w:rStyle w:val="Strong"/>
        </w:rPr>
        <w:t>AASB</w:t>
      </w:r>
      <w:r>
        <w:t>.</w:t>
      </w:r>
    </w:p>
    <w:p w14:paraId="7A916702" w14:textId="3BF7F761" w:rsidR="008F7448" w:rsidRPr="004C7BED" w:rsidRDefault="008F7448" w:rsidP="008F7448">
      <w:r w:rsidRPr="004C7BED">
        <w:lastRenderedPageBreak/>
        <w:t xml:space="preserve">The </w:t>
      </w:r>
      <w:r w:rsidRPr="00533F71">
        <w:rPr>
          <w:rStyle w:val="Bold"/>
        </w:rPr>
        <w:t>service provider</w:t>
      </w:r>
      <w:r w:rsidRPr="004C7BED">
        <w:t xml:space="preserve"> is required to provide notes regarding the preparation of the Statement o</w:t>
      </w:r>
      <w:r>
        <w:t>f Pipeline Revenue and Expenses</w:t>
      </w:r>
      <w:r w:rsidRPr="004C7BED">
        <w:t xml:space="preserve">, as detailed in Section </w:t>
      </w:r>
      <w:r>
        <w:t>3.1.3</w:t>
      </w:r>
      <w:r w:rsidR="00461653">
        <w:t>, in the basis of preparation</w:t>
      </w:r>
      <w:r w:rsidRPr="004C7BED">
        <w:t>.</w:t>
      </w:r>
    </w:p>
    <w:p w14:paraId="3729B276" w14:textId="77777777" w:rsidR="008F7448" w:rsidRPr="004C7BED" w:rsidRDefault="008F7448" w:rsidP="008F7448">
      <w:r w:rsidRPr="004C7BED">
        <w:t xml:space="preserve">The </w:t>
      </w:r>
      <w:r w:rsidRPr="00533F71">
        <w:rPr>
          <w:rStyle w:val="Bold"/>
        </w:rPr>
        <w:t>service provider</w:t>
      </w:r>
      <w:r w:rsidRPr="004C7BED">
        <w:t xml:space="preserve"> is required to separately identify items in the Statement of Pipeline Revenue and Expenses which relate to transactions with </w:t>
      </w:r>
      <w:r w:rsidRPr="0089611C">
        <w:rPr>
          <w:rStyle w:val="Bold"/>
          <w:b w:val="0"/>
        </w:rPr>
        <w:t>related parties</w:t>
      </w:r>
      <w:r w:rsidRPr="004C7BED">
        <w:t xml:space="preserve"> as these may not be based on normal commercial terms. Further information regarding </w:t>
      </w:r>
      <w:r w:rsidRPr="00533F71">
        <w:rPr>
          <w:rStyle w:val="Bold"/>
        </w:rPr>
        <w:t>related party</w:t>
      </w:r>
      <w:r w:rsidRPr="004C7BED">
        <w:t xml:space="preserve"> transactions is provided in Section </w:t>
      </w:r>
      <w:r>
        <w:t>3</w:t>
      </w:r>
      <w:r w:rsidRPr="004C7BED">
        <w:t xml:space="preserve">.2.6. </w:t>
      </w:r>
    </w:p>
    <w:p w14:paraId="55B020B9" w14:textId="75397181" w:rsidR="008F7448" w:rsidRPr="004C7BED" w:rsidRDefault="008F7448" w:rsidP="008F7448">
      <w:r w:rsidRPr="004C7BED">
        <w:t>Where revenue is allocated to the pipeline which is not 100% attributable to the pipeline the basis for allocation must be provided</w:t>
      </w:r>
      <w:r w:rsidR="006C518B">
        <w:t>,</w:t>
      </w:r>
      <w:r w:rsidRPr="004C7BED">
        <w:t xml:space="preserve"> as discussed in Section </w:t>
      </w:r>
      <w:r>
        <w:t>3</w:t>
      </w:r>
      <w:r w:rsidRPr="004C7BED">
        <w:t>.2.4.</w:t>
      </w:r>
    </w:p>
    <w:p w14:paraId="60E43A76" w14:textId="77777777" w:rsidR="008F7448" w:rsidRDefault="008F7448" w:rsidP="008F7448">
      <w:r w:rsidRPr="004C7BED">
        <w:t xml:space="preserve">Where an exemption has been granted by the </w:t>
      </w:r>
      <w:r w:rsidRPr="00F52F8A">
        <w:rPr>
          <w:b/>
        </w:rPr>
        <w:t>AER</w:t>
      </w:r>
      <w:r w:rsidRPr="004C7BED">
        <w:t xml:space="preserve"> to aggregate revenue categories in the </w:t>
      </w:r>
      <w:r w:rsidRPr="00E36EE0">
        <w:rPr>
          <w:rStyle w:val="Bold"/>
        </w:rPr>
        <w:t>weighted average price</w:t>
      </w:r>
      <w:r w:rsidRPr="004C7BED">
        <w:t xml:space="preserve"> </w:t>
      </w:r>
      <w:r w:rsidRPr="00E36EE0">
        <w:rPr>
          <w:rStyle w:val="Bold"/>
        </w:rPr>
        <w:t>information</w:t>
      </w:r>
      <w:r w:rsidRPr="004C7BED">
        <w:t xml:space="preserve">, these categories can also be aggregated in the </w:t>
      </w:r>
      <w:r>
        <w:t>S</w:t>
      </w:r>
      <w:r w:rsidRPr="004C7BED">
        <w:t xml:space="preserve">tatement of </w:t>
      </w:r>
      <w:r>
        <w:t>P</w:t>
      </w:r>
      <w:r w:rsidRPr="004C7BED">
        <w:t xml:space="preserve">ipeline </w:t>
      </w:r>
      <w:r>
        <w:t>R</w:t>
      </w:r>
      <w:r w:rsidRPr="004C7BED">
        <w:t xml:space="preserve">evenue and </w:t>
      </w:r>
      <w:r>
        <w:t>E</w:t>
      </w:r>
      <w:r w:rsidRPr="004C7BED">
        <w:t>xpenses.</w:t>
      </w:r>
    </w:p>
    <w:p w14:paraId="2EA3B83B" w14:textId="77777777" w:rsidR="008F7448" w:rsidRPr="004C7BED" w:rsidRDefault="008F7448" w:rsidP="00685983">
      <w:pPr>
        <w:pStyle w:val="Heading4"/>
        <w:numPr>
          <w:ilvl w:val="3"/>
          <w:numId w:val="32"/>
        </w:numPr>
        <w:tabs>
          <w:tab w:val="left" w:pos="1021"/>
        </w:tabs>
        <w:ind w:left="1021" w:hanging="1021"/>
      </w:pPr>
      <w:r w:rsidRPr="004C7BED">
        <w:t xml:space="preserve">Costs </w:t>
      </w:r>
    </w:p>
    <w:p w14:paraId="59DF7078" w14:textId="579BCB4A" w:rsidR="008F7448" w:rsidRPr="004C7BED" w:rsidRDefault="008F7448" w:rsidP="008F7448">
      <w:r w:rsidRPr="004C7BED">
        <w:t xml:space="preserve">In reporting costs incurred in the operation of the pipeline in the Statement of Pipeline Revenue and Expenses, </w:t>
      </w:r>
      <w:r w:rsidRPr="00E36EE0">
        <w:rPr>
          <w:rStyle w:val="Bold"/>
        </w:rPr>
        <w:t>service providers</w:t>
      </w:r>
      <w:r w:rsidRPr="004C7BED">
        <w:t xml:space="preserve"> are to categorise costs in accordance with the following categories</w:t>
      </w:r>
      <w:r w:rsidR="001E7161">
        <w:t>, as</w:t>
      </w:r>
      <w:r w:rsidRPr="004C7BED">
        <w:t xml:space="preserve"> provided in the </w:t>
      </w:r>
      <w:r w:rsidRPr="00E36EE0">
        <w:rPr>
          <w:rStyle w:val="Bold"/>
        </w:rPr>
        <w:t>financial reporting template</w:t>
      </w:r>
      <w:r w:rsidRPr="004C7BED">
        <w:t>:</w:t>
      </w:r>
    </w:p>
    <w:p w14:paraId="6BEA9EE8" w14:textId="77777777" w:rsidR="008F7448" w:rsidRPr="00E36EE0" w:rsidRDefault="008F7448" w:rsidP="008F7448">
      <w:pPr>
        <w:rPr>
          <w:rStyle w:val="Bold"/>
        </w:rPr>
      </w:pPr>
      <w:r w:rsidRPr="00E36EE0">
        <w:rPr>
          <w:rStyle w:val="Bold"/>
        </w:rPr>
        <w:t>Direct costs</w:t>
      </w:r>
    </w:p>
    <w:p w14:paraId="63CFE700" w14:textId="77777777" w:rsidR="008F7448" w:rsidRPr="004C7BED" w:rsidRDefault="008F7448" w:rsidP="008F7448">
      <w:pPr>
        <w:pStyle w:val="ListBullet"/>
      </w:pPr>
      <w:r w:rsidRPr="004C7BED">
        <w:t>Repairs and maintenance</w:t>
      </w:r>
    </w:p>
    <w:p w14:paraId="39DDD373" w14:textId="32A39803" w:rsidR="008F7448" w:rsidRDefault="001E7161" w:rsidP="006C518B">
      <w:pPr>
        <w:pStyle w:val="ListBullet"/>
      </w:pPr>
      <w:r>
        <w:t>Wages</w:t>
      </w:r>
    </w:p>
    <w:p w14:paraId="0E05C490" w14:textId="77777777" w:rsidR="008F7448" w:rsidRPr="004C7BED" w:rsidRDefault="008F7448" w:rsidP="006C518B">
      <w:pPr>
        <w:pStyle w:val="ListBullet"/>
      </w:pPr>
      <w:r>
        <w:t xml:space="preserve">Depreciation </w:t>
      </w:r>
    </w:p>
    <w:p w14:paraId="0E527D5D" w14:textId="77777777" w:rsidR="008F7448" w:rsidRPr="004C7BED" w:rsidRDefault="008F7448" w:rsidP="006C518B">
      <w:pPr>
        <w:pStyle w:val="ListBullet"/>
      </w:pPr>
      <w:r w:rsidRPr="004C7BED">
        <w:t>Insurance</w:t>
      </w:r>
    </w:p>
    <w:p w14:paraId="0DA02358" w14:textId="77777777" w:rsidR="008F7448" w:rsidRPr="004C7BED" w:rsidRDefault="008F7448" w:rsidP="008F7448">
      <w:pPr>
        <w:pStyle w:val="ListBullet"/>
      </w:pPr>
      <w:r w:rsidRPr="004C7BED">
        <w:t>Licence and regulatory costs</w:t>
      </w:r>
    </w:p>
    <w:p w14:paraId="5378902E" w14:textId="77777777" w:rsidR="008F7448" w:rsidRPr="004C7BED" w:rsidRDefault="008F7448" w:rsidP="008F7448">
      <w:pPr>
        <w:pStyle w:val="ListBullet"/>
      </w:pPr>
      <w:r w:rsidRPr="004C7BED">
        <w:t>Directly attributable finance charges</w:t>
      </w:r>
    </w:p>
    <w:p w14:paraId="53400ACD" w14:textId="77777777" w:rsidR="008F7448" w:rsidRPr="004C7BED" w:rsidRDefault="008F7448" w:rsidP="008F7448">
      <w:pPr>
        <w:pStyle w:val="ListBullet"/>
      </w:pPr>
      <w:r w:rsidRPr="004C7BED">
        <w:t>Leasing and rental costs</w:t>
      </w:r>
    </w:p>
    <w:p w14:paraId="5AEB4F5C" w14:textId="77777777" w:rsidR="008F7448" w:rsidRPr="004C7BED" w:rsidRDefault="008F7448" w:rsidP="008F7448">
      <w:pPr>
        <w:pStyle w:val="ListBullet"/>
      </w:pPr>
      <w:r w:rsidRPr="004C7BED">
        <w:t>Other direct costs</w:t>
      </w:r>
    </w:p>
    <w:p w14:paraId="1050640D" w14:textId="77777777" w:rsidR="008F7448" w:rsidRPr="00E36EE0" w:rsidRDefault="008F7448" w:rsidP="008F7448">
      <w:pPr>
        <w:rPr>
          <w:rStyle w:val="Bold"/>
        </w:rPr>
      </w:pPr>
      <w:r w:rsidRPr="00E36EE0">
        <w:rPr>
          <w:rStyle w:val="Bold"/>
        </w:rPr>
        <w:t>Shared costs</w:t>
      </w:r>
    </w:p>
    <w:p w14:paraId="771B0236" w14:textId="77777777" w:rsidR="008F7448" w:rsidRPr="004C7BED" w:rsidRDefault="008F7448" w:rsidP="008F7448">
      <w:pPr>
        <w:pStyle w:val="ListBullet"/>
      </w:pPr>
      <w:r w:rsidRPr="004C7BED">
        <w:t>Shared Employee costs</w:t>
      </w:r>
    </w:p>
    <w:p w14:paraId="6230DA5C" w14:textId="77777777" w:rsidR="008F7448" w:rsidRPr="004C7BED" w:rsidRDefault="008F7448" w:rsidP="008F7448">
      <w:pPr>
        <w:pStyle w:val="ListBullet"/>
      </w:pPr>
      <w:r w:rsidRPr="004C7BED">
        <w:t>Information technology and communication costs</w:t>
      </w:r>
    </w:p>
    <w:p w14:paraId="0735E84C" w14:textId="77777777" w:rsidR="008F7448" w:rsidRPr="004C7BED" w:rsidRDefault="008F7448" w:rsidP="008F7448">
      <w:pPr>
        <w:pStyle w:val="ListBullet"/>
      </w:pPr>
      <w:r w:rsidRPr="004C7BED">
        <w:t>Indirect operating expenses</w:t>
      </w:r>
    </w:p>
    <w:p w14:paraId="3A1D5C2A" w14:textId="77777777" w:rsidR="008F7448" w:rsidRPr="004C7BED" w:rsidRDefault="008F7448" w:rsidP="008F7448">
      <w:pPr>
        <w:pStyle w:val="ListBullet"/>
      </w:pPr>
      <w:r w:rsidRPr="004C7BED">
        <w:t xml:space="preserve">Shared asset </w:t>
      </w:r>
      <w:r w:rsidRPr="00E36EE0">
        <w:rPr>
          <w:rStyle w:val="Bold"/>
        </w:rPr>
        <w:t>depreciation</w:t>
      </w:r>
      <w:r w:rsidRPr="004C7BED">
        <w:t xml:space="preserve"> </w:t>
      </w:r>
    </w:p>
    <w:p w14:paraId="136585B6" w14:textId="77777777" w:rsidR="008F7448" w:rsidRDefault="008F7448" w:rsidP="008F7448">
      <w:pPr>
        <w:pStyle w:val="ListBullet"/>
      </w:pPr>
      <w:r w:rsidRPr="004C7BED">
        <w:t>Rental and leasing costs</w:t>
      </w:r>
    </w:p>
    <w:p w14:paraId="38C7516A" w14:textId="77777777" w:rsidR="008F7448" w:rsidRPr="004C7BED" w:rsidRDefault="008F7448" w:rsidP="008F7448">
      <w:pPr>
        <w:pStyle w:val="ListBullet"/>
      </w:pPr>
      <w:r w:rsidRPr="004C7BED">
        <w:t>Impairment Losses (nature of the impairment loss)</w:t>
      </w:r>
    </w:p>
    <w:p w14:paraId="518B0F1F" w14:textId="77777777" w:rsidR="008F7448" w:rsidRPr="004C7BED" w:rsidRDefault="008F7448" w:rsidP="008F7448">
      <w:pPr>
        <w:pStyle w:val="ListBullet"/>
      </w:pPr>
      <w:r w:rsidRPr="004C7BED">
        <w:t xml:space="preserve">Other </w:t>
      </w:r>
      <w:r>
        <w:t>shared</w:t>
      </w:r>
      <w:r w:rsidRPr="004C7BED">
        <w:t xml:space="preserve"> costs</w:t>
      </w:r>
    </w:p>
    <w:p w14:paraId="5ECFFA44" w14:textId="77777777" w:rsidR="008F7448" w:rsidRDefault="008F7448" w:rsidP="008F7448">
      <w:pPr>
        <w:pStyle w:val="ListBullet"/>
      </w:pPr>
      <w:r>
        <w:t>T</w:t>
      </w:r>
      <w:r w:rsidRPr="004C7BED">
        <w:t xml:space="preserve">otal </w:t>
      </w:r>
      <w:r>
        <w:t>shared</w:t>
      </w:r>
      <w:r w:rsidRPr="004C7BED">
        <w:t xml:space="preserve"> costs allocated</w:t>
      </w:r>
    </w:p>
    <w:p w14:paraId="6BC0F305" w14:textId="57D17DA5" w:rsidR="008F7448" w:rsidRPr="004C7BED" w:rsidRDefault="008F7448" w:rsidP="008F7448">
      <w:r w:rsidRPr="00E36EE0">
        <w:rPr>
          <w:rStyle w:val="Bold"/>
        </w:rPr>
        <w:lastRenderedPageBreak/>
        <w:t>Service providers</w:t>
      </w:r>
      <w:r w:rsidRPr="004C7BED">
        <w:t xml:space="preserve"> are required to allocate only a fair proportion of </w:t>
      </w:r>
      <w:r>
        <w:t>shared</w:t>
      </w:r>
      <w:r w:rsidRPr="004C7BED">
        <w:t xml:space="preserve"> costs such as corporate overheads t</w:t>
      </w:r>
      <w:r w:rsidR="000028F3">
        <w:t>o each pipeline. Further detail</w:t>
      </w:r>
      <w:r w:rsidRPr="004C7BED">
        <w:t xml:space="preserve"> regarding cost allocation pri</w:t>
      </w:r>
      <w:r>
        <w:t>nciples is provided in Section 3</w:t>
      </w:r>
      <w:r w:rsidRPr="004C7BED">
        <w:t>.2.4.</w:t>
      </w:r>
    </w:p>
    <w:p w14:paraId="6437EB5E" w14:textId="77777777" w:rsidR="008F7448" w:rsidRPr="004C7BED" w:rsidRDefault="008F7448" w:rsidP="008F7448">
      <w:r w:rsidRPr="004C7BED">
        <w:t xml:space="preserve">Shared costs which are paid to related parties cannot include any component of profit to the </w:t>
      </w:r>
      <w:r w:rsidRPr="0089611C">
        <w:rPr>
          <w:b/>
        </w:rPr>
        <w:t>related party</w:t>
      </w:r>
      <w:r w:rsidRPr="004C7BED">
        <w:t>.</w:t>
      </w:r>
    </w:p>
    <w:p w14:paraId="4542DEE3" w14:textId="77777777" w:rsidR="008F7448" w:rsidRPr="004C7BED" w:rsidRDefault="008F7448" w:rsidP="008F7448">
      <w:r w:rsidRPr="004C7BED">
        <w:t xml:space="preserve">Guidance regarding the reporting of </w:t>
      </w:r>
      <w:r w:rsidRPr="00E36EE0">
        <w:rPr>
          <w:rStyle w:val="Bold"/>
        </w:rPr>
        <w:t>depreciation</w:t>
      </w:r>
      <w:r w:rsidRPr="004C7BED">
        <w:t xml:space="preserve"> costs is provided i</w:t>
      </w:r>
      <w:r>
        <w:t>n Section 3</w:t>
      </w:r>
      <w:r w:rsidRPr="004C7BED">
        <w:t xml:space="preserve">.2.5. </w:t>
      </w:r>
    </w:p>
    <w:p w14:paraId="316D7FA9" w14:textId="77777777" w:rsidR="008F7448" w:rsidRDefault="008F7448" w:rsidP="008F7448">
      <w:r w:rsidRPr="00E36EE0">
        <w:rPr>
          <w:rStyle w:val="Bold"/>
        </w:rPr>
        <w:t>Service providers</w:t>
      </w:r>
      <w:r w:rsidRPr="004C7BED">
        <w:t xml:space="preserve"> are not required to separate expense items by service type in the </w:t>
      </w:r>
      <w:r w:rsidRPr="00E36EE0">
        <w:rPr>
          <w:rStyle w:val="Bold"/>
        </w:rPr>
        <w:t>financial reporting template</w:t>
      </w:r>
      <w:r w:rsidRPr="004C7BED">
        <w:t>, however, this information may be required in the event of an arbitration.</w:t>
      </w:r>
    </w:p>
    <w:p w14:paraId="50C73E06" w14:textId="77777777" w:rsidR="008F7448" w:rsidRPr="004C7BED" w:rsidRDefault="008F7448" w:rsidP="00685983">
      <w:pPr>
        <w:pStyle w:val="Heading3"/>
        <w:numPr>
          <w:ilvl w:val="2"/>
          <w:numId w:val="32"/>
        </w:numPr>
        <w:tabs>
          <w:tab w:val="left" w:pos="1021"/>
        </w:tabs>
        <w:ind w:left="1021" w:hanging="1021"/>
      </w:pPr>
      <w:bookmarkStart w:id="48" w:name="_Toc499898229"/>
      <w:bookmarkStart w:id="49" w:name="_Toc501379520"/>
      <w:r w:rsidRPr="004C7BED">
        <w:t>Statement of Pipeline Assets</w:t>
      </w:r>
      <w:bookmarkEnd w:id="48"/>
      <w:bookmarkEnd w:id="49"/>
    </w:p>
    <w:p w14:paraId="06A35EE6" w14:textId="77777777" w:rsidR="008F7448" w:rsidRPr="004C7BED" w:rsidRDefault="008F7448" w:rsidP="008F7448">
      <w:r w:rsidRPr="00E36EE0">
        <w:rPr>
          <w:rStyle w:val="Bold"/>
        </w:rPr>
        <w:t>Service providers</w:t>
      </w:r>
      <w:r w:rsidRPr="004C7BED">
        <w:t xml:space="preserve"> are required to provide a Statement of Pipeline Assets for the pipeline at worksheet 3 of the </w:t>
      </w:r>
      <w:r w:rsidRPr="00E36EE0">
        <w:rPr>
          <w:rStyle w:val="Bold"/>
        </w:rPr>
        <w:t>financial reporting template</w:t>
      </w:r>
      <w:r w:rsidRPr="004C7BED">
        <w:t>. The Statement of Pipeline Assets provides an overview of the assets utilised in the pipeline operations.</w:t>
      </w:r>
    </w:p>
    <w:p w14:paraId="447C548D" w14:textId="77777777" w:rsidR="008F7448" w:rsidRPr="004C7BED" w:rsidRDefault="008F7448" w:rsidP="008F7448">
      <w:r w:rsidRPr="004C7BED">
        <w:t xml:space="preserve">Unless specified otherwise in this </w:t>
      </w:r>
      <w:r w:rsidRPr="00E36EE0">
        <w:rPr>
          <w:rStyle w:val="Bold"/>
        </w:rPr>
        <w:t>Guideline</w:t>
      </w:r>
      <w:r w:rsidRPr="004C7BED">
        <w:t xml:space="preserve"> </w:t>
      </w:r>
      <w:r w:rsidRPr="00E36EE0">
        <w:rPr>
          <w:rStyle w:val="Bold"/>
        </w:rPr>
        <w:t>AASB</w:t>
      </w:r>
      <w:r w:rsidRPr="001C2893">
        <w:rPr>
          <w:b/>
        </w:rPr>
        <w:t>s</w:t>
      </w:r>
      <w:r w:rsidRPr="004C7BED">
        <w:t xml:space="preserve"> should be applied in determining asset and liability values.</w:t>
      </w:r>
    </w:p>
    <w:p w14:paraId="70C48B7F" w14:textId="77777777" w:rsidR="008F7448" w:rsidRDefault="008F7448" w:rsidP="00685983">
      <w:pPr>
        <w:pStyle w:val="Heading4"/>
        <w:numPr>
          <w:ilvl w:val="3"/>
          <w:numId w:val="32"/>
        </w:numPr>
        <w:tabs>
          <w:tab w:val="left" w:pos="1021"/>
        </w:tabs>
        <w:ind w:left="1021" w:hanging="1021"/>
      </w:pPr>
      <w:r>
        <w:t>Assets</w:t>
      </w:r>
    </w:p>
    <w:p w14:paraId="3F288504" w14:textId="77777777" w:rsidR="008F7448" w:rsidRPr="004C7BED" w:rsidRDefault="008F7448" w:rsidP="008F7448">
      <w:r w:rsidRPr="004C7BED">
        <w:t xml:space="preserve">For reporting purposes, </w:t>
      </w:r>
      <w:r w:rsidRPr="00E36EE0">
        <w:rPr>
          <w:rStyle w:val="Bold"/>
        </w:rPr>
        <w:t>service providers</w:t>
      </w:r>
      <w:r w:rsidRPr="004C7BED">
        <w:t xml:space="preserve"> are required to classify assets into the following categories:</w:t>
      </w:r>
    </w:p>
    <w:p w14:paraId="1083CA4A" w14:textId="77777777" w:rsidR="008F7448" w:rsidRPr="004C7BED" w:rsidRDefault="008F7448" w:rsidP="008F7448">
      <w:pPr>
        <w:pStyle w:val="ListBullet"/>
      </w:pPr>
      <w:r w:rsidRPr="00E36EE0">
        <w:rPr>
          <w:rStyle w:val="Bold"/>
        </w:rPr>
        <w:t>Pipeline assets</w:t>
      </w:r>
    </w:p>
    <w:p w14:paraId="2AF43893" w14:textId="77777777" w:rsidR="008F7448" w:rsidRPr="004C7BED" w:rsidRDefault="008F7448" w:rsidP="008F7448">
      <w:pPr>
        <w:pStyle w:val="ListBullet"/>
      </w:pPr>
      <w:r w:rsidRPr="00E36EE0">
        <w:rPr>
          <w:rStyle w:val="Bold"/>
        </w:rPr>
        <w:t>Shared supporting assets</w:t>
      </w:r>
      <w:r w:rsidRPr="004C7BED">
        <w:t xml:space="preserve"> that are apportioned to the pipeline.</w:t>
      </w:r>
    </w:p>
    <w:p w14:paraId="762B2203" w14:textId="77777777" w:rsidR="008F7448" w:rsidRPr="004C7BED" w:rsidRDefault="008F7448" w:rsidP="008F7448">
      <w:r w:rsidRPr="004C7BED">
        <w:t>Guidance on capitalisation and the valuation of assets in each of these cat</w:t>
      </w:r>
      <w:r>
        <w:t>egories is provided in Section 3</w:t>
      </w:r>
      <w:r w:rsidRPr="004C7BED">
        <w:t>.2.</w:t>
      </w:r>
    </w:p>
    <w:p w14:paraId="6FC4B949" w14:textId="77777777" w:rsidR="008F7448" w:rsidRDefault="008F7448" w:rsidP="008F7448">
      <w:r w:rsidRPr="004C7BED">
        <w:t xml:space="preserve">Details of the calculation of </w:t>
      </w:r>
      <w:r w:rsidRPr="00E36EE0">
        <w:rPr>
          <w:rStyle w:val="Bold"/>
        </w:rPr>
        <w:t>depreciation</w:t>
      </w:r>
      <w:r w:rsidRPr="004C7BED">
        <w:t xml:space="preserve"> and the carrying value of each category of assets is provided in Section </w:t>
      </w:r>
      <w:r>
        <w:t>3</w:t>
      </w:r>
      <w:r w:rsidRPr="004C7BED">
        <w:t>.2.5.</w:t>
      </w:r>
    </w:p>
    <w:p w14:paraId="69050A72" w14:textId="77777777" w:rsidR="008F7448" w:rsidRPr="004C7BED" w:rsidRDefault="008F7448" w:rsidP="00685983">
      <w:pPr>
        <w:pStyle w:val="Heading3"/>
        <w:numPr>
          <w:ilvl w:val="2"/>
          <w:numId w:val="32"/>
        </w:numPr>
        <w:tabs>
          <w:tab w:val="left" w:pos="1021"/>
        </w:tabs>
        <w:ind w:left="1021" w:hanging="1021"/>
      </w:pPr>
      <w:bookmarkStart w:id="50" w:name="_Toc499898230"/>
      <w:bookmarkStart w:id="51" w:name="_Toc501379521"/>
      <w:r>
        <w:t xml:space="preserve">Disaggregation of </w:t>
      </w:r>
      <w:r w:rsidRPr="004C7BED">
        <w:t>the pipeline statements</w:t>
      </w:r>
      <w:bookmarkEnd w:id="50"/>
      <w:bookmarkEnd w:id="51"/>
    </w:p>
    <w:p w14:paraId="016EAB08" w14:textId="4FB9B9AA" w:rsidR="008F7448" w:rsidRPr="004C7BED" w:rsidRDefault="008F7448" w:rsidP="008F7448">
      <w:r w:rsidRPr="004C7BED">
        <w:t xml:space="preserve">The Statement of Pipeline Revenue and Expenses </w:t>
      </w:r>
      <w:r w:rsidR="00C77E22">
        <w:t>is</w:t>
      </w:r>
      <w:r w:rsidRPr="004C7BED">
        <w:t xml:space="preserve"> required</w:t>
      </w:r>
      <w:r w:rsidRPr="003F471F">
        <w:t xml:space="preserve"> </w:t>
      </w:r>
      <w:r>
        <w:t>to be disaggregated as follows</w:t>
      </w:r>
      <w:r w:rsidRPr="004C7BED">
        <w:t>:</w:t>
      </w:r>
    </w:p>
    <w:p w14:paraId="0DA40FCD" w14:textId="77777777" w:rsidR="008F7448" w:rsidRPr="004C7BED" w:rsidRDefault="008F7448" w:rsidP="008F7448">
      <w:pPr>
        <w:pStyle w:val="ListBullet"/>
      </w:pPr>
      <w:r w:rsidRPr="004C7BED">
        <w:t xml:space="preserve">A breakdown of revenue by service type (worksheet 2.1 of the </w:t>
      </w:r>
      <w:r w:rsidRPr="00E36EE0">
        <w:rPr>
          <w:rStyle w:val="Bold"/>
        </w:rPr>
        <w:t>financial reporting template</w:t>
      </w:r>
      <w:r w:rsidRPr="004C7BED">
        <w:t>).</w:t>
      </w:r>
    </w:p>
    <w:p w14:paraId="69FEE04C" w14:textId="77777777" w:rsidR="008F7448" w:rsidRPr="004C7BED" w:rsidRDefault="008F7448" w:rsidP="008F7448">
      <w:pPr>
        <w:pStyle w:val="ListBullet"/>
      </w:pPr>
      <w:r w:rsidRPr="004C7BED">
        <w:t xml:space="preserve">A list of capital contributions received (including both customer and government contributions) (worksheet 2.2 of the </w:t>
      </w:r>
      <w:r w:rsidRPr="00E36EE0">
        <w:rPr>
          <w:rStyle w:val="Bold"/>
        </w:rPr>
        <w:t>financial reporting template</w:t>
      </w:r>
      <w:r w:rsidRPr="004C7BED">
        <w:t>).</w:t>
      </w:r>
    </w:p>
    <w:p w14:paraId="71EFAB1F" w14:textId="77777777" w:rsidR="008F7448" w:rsidRPr="004C7BED" w:rsidRDefault="008F7448" w:rsidP="008F7448">
      <w:pPr>
        <w:pStyle w:val="ListBullet"/>
      </w:pPr>
      <w:r w:rsidRPr="004C7BED">
        <w:t xml:space="preserve">A list of the indirect revenue allocated to the pipeline and an explanation of the basis for allocation (worksheet 2.3 of the </w:t>
      </w:r>
      <w:r w:rsidRPr="00E36EE0">
        <w:rPr>
          <w:rStyle w:val="Bold"/>
        </w:rPr>
        <w:t>financial reporting template</w:t>
      </w:r>
      <w:r w:rsidRPr="004C7BED">
        <w:t>).</w:t>
      </w:r>
      <w:r>
        <w:t xml:space="preserve"> </w:t>
      </w:r>
    </w:p>
    <w:p w14:paraId="1284AED0" w14:textId="77777777" w:rsidR="008F7448" w:rsidRPr="004C7BED" w:rsidRDefault="008F7448" w:rsidP="008F7448">
      <w:pPr>
        <w:pStyle w:val="ListBullet"/>
      </w:pPr>
      <w:r w:rsidRPr="004C7BED">
        <w:t xml:space="preserve">A list of the </w:t>
      </w:r>
      <w:r>
        <w:t>shared</w:t>
      </w:r>
      <w:r w:rsidRPr="004C7BED">
        <w:t xml:space="preserve"> costs allocated to the pipeline and an explanation of the basis for allocation (worksheet 2.4 of the </w:t>
      </w:r>
      <w:r w:rsidRPr="00E36EE0">
        <w:rPr>
          <w:rStyle w:val="Bold"/>
        </w:rPr>
        <w:t>financial reporting template</w:t>
      </w:r>
      <w:r w:rsidRPr="004C7BED">
        <w:t>).</w:t>
      </w:r>
      <w:r>
        <w:t xml:space="preserve"> Each category of shared costs that is greater than 5% of the total shared costs allocated must be separately disclosed.</w:t>
      </w:r>
    </w:p>
    <w:p w14:paraId="0733206E" w14:textId="29581B56" w:rsidR="008F7448" w:rsidRPr="004C7BED" w:rsidRDefault="008F7448" w:rsidP="008F7448">
      <w:r w:rsidRPr="004C7BED">
        <w:lastRenderedPageBreak/>
        <w:t>The Statement of Pipeline Assets</w:t>
      </w:r>
      <w:r w:rsidR="009C7AC9">
        <w:t>,</w:t>
      </w:r>
      <w:r w:rsidRPr="004C7BED">
        <w:t xml:space="preserve"> </w:t>
      </w:r>
      <w:r w:rsidR="009C7AC9" w:rsidRPr="004C7BED">
        <w:t xml:space="preserve">which provides the calculation for the carrying value in accordance with the methodology provided in Section </w:t>
      </w:r>
      <w:r w:rsidR="009C7AC9">
        <w:t>3.2</w:t>
      </w:r>
      <w:r w:rsidR="009C7AC9" w:rsidRPr="004C7BED">
        <w:t xml:space="preserve"> (worksheet 3 of the </w:t>
      </w:r>
      <w:r w:rsidR="009C7AC9" w:rsidRPr="00E36EE0">
        <w:rPr>
          <w:rStyle w:val="Bold"/>
        </w:rPr>
        <w:t>financial reporting template</w:t>
      </w:r>
      <w:r w:rsidR="009C7AC9" w:rsidRPr="004C7BED">
        <w:t>)</w:t>
      </w:r>
      <w:r w:rsidR="009C7AC9">
        <w:t xml:space="preserve"> </w:t>
      </w:r>
      <w:r w:rsidR="00C77E22">
        <w:t>is</w:t>
      </w:r>
      <w:r w:rsidRPr="004C7BED">
        <w:t xml:space="preserve"> required</w:t>
      </w:r>
      <w:r>
        <w:t xml:space="preserve"> to be disaggregated as follows</w:t>
      </w:r>
      <w:r w:rsidRPr="004C7BED">
        <w:t>:</w:t>
      </w:r>
    </w:p>
    <w:p w14:paraId="272A139E" w14:textId="6410CB38" w:rsidR="008F7448" w:rsidRPr="004C7BED" w:rsidRDefault="008F7448" w:rsidP="008F7448">
      <w:pPr>
        <w:pStyle w:val="ListBullet"/>
      </w:pPr>
      <w:r w:rsidRPr="004C7BED">
        <w:t xml:space="preserve">The asset useful life schedule, which provides the basis for calculating </w:t>
      </w:r>
      <w:r w:rsidRPr="00E36EE0">
        <w:rPr>
          <w:rStyle w:val="Bold"/>
        </w:rPr>
        <w:t>depreciation</w:t>
      </w:r>
      <w:r w:rsidRPr="004C7BED">
        <w:t xml:space="preserve"> for different classes of assets and the reason for choosing this basis (worksheet 3.</w:t>
      </w:r>
      <w:r w:rsidR="0011257F">
        <w:t>1</w:t>
      </w:r>
      <w:r w:rsidRPr="004C7BED">
        <w:t xml:space="preserve"> of the </w:t>
      </w:r>
      <w:r w:rsidRPr="00E36EE0">
        <w:rPr>
          <w:rStyle w:val="Bold"/>
        </w:rPr>
        <w:t>financial reporting template</w:t>
      </w:r>
      <w:r w:rsidRPr="004C7BED">
        <w:t>).</w:t>
      </w:r>
    </w:p>
    <w:p w14:paraId="143F61F4" w14:textId="735121D2" w:rsidR="008F7448" w:rsidRDefault="008F7448" w:rsidP="008F7448">
      <w:pPr>
        <w:pStyle w:val="ListBullet"/>
      </w:pPr>
      <w:r w:rsidRPr="004C7BED">
        <w:t xml:space="preserve">A schedule of impairments made to </w:t>
      </w:r>
      <w:r w:rsidRPr="00E36EE0">
        <w:rPr>
          <w:rStyle w:val="Bold"/>
        </w:rPr>
        <w:t>pipeline assets</w:t>
      </w:r>
      <w:r w:rsidRPr="004C7BED">
        <w:t xml:space="preserve"> </w:t>
      </w:r>
      <w:r>
        <w:t xml:space="preserve">and impairment reversals </w:t>
      </w:r>
      <w:r w:rsidRPr="004C7BED">
        <w:t>(worksheet 3.</w:t>
      </w:r>
      <w:r w:rsidR="0011257F">
        <w:t>2</w:t>
      </w:r>
      <w:r w:rsidRPr="004C7BED">
        <w:t xml:space="preserve"> of the </w:t>
      </w:r>
      <w:r w:rsidRPr="00E36EE0">
        <w:rPr>
          <w:rStyle w:val="Bold"/>
        </w:rPr>
        <w:t>financial reporting template</w:t>
      </w:r>
      <w:r w:rsidRPr="004C7BED">
        <w:t>).</w:t>
      </w:r>
    </w:p>
    <w:p w14:paraId="5E9D810A" w14:textId="0A8B6682" w:rsidR="008F7448" w:rsidRPr="004C7BED" w:rsidRDefault="008F7448" w:rsidP="008F7448">
      <w:pPr>
        <w:pStyle w:val="ListBullet"/>
      </w:pPr>
      <w:r w:rsidRPr="004C7BED">
        <w:t xml:space="preserve">A depreciation schedule to show the </w:t>
      </w:r>
      <w:r w:rsidRPr="00E36EE0">
        <w:rPr>
          <w:rStyle w:val="Bold"/>
        </w:rPr>
        <w:t>depreciation</w:t>
      </w:r>
      <w:r w:rsidRPr="004C7BED">
        <w:t xml:space="preserve"> calculation for </w:t>
      </w:r>
      <w:r w:rsidRPr="00F52F8A">
        <w:rPr>
          <w:b/>
        </w:rPr>
        <w:t>p</w:t>
      </w:r>
      <w:r w:rsidRPr="00E36EE0">
        <w:rPr>
          <w:rStyle w:val="Bold"/>
        </w:rPr>
        <w:t>ipeline assets</w:t>
      </w:r>
      <w:r w:rsidRPr="004C7BED">
        <w:t xml:space="preserve"> (worksheet 3.</w:t>
      </w:r>
      <w:r w:rsidR="0011257F">
        <w:t>3</w:t>
      </w:r>
      <w:r w:rsidRPr="004C7BED">
        <w:t xml:space="preserve"> of the </w:t>
      </w:r>
      <w:r w:rsidRPr="00E36EE0">
        <w:rPr>
          <w:rStyle w:val="Bold"/>
        </w:rPr>
        <w:t>financial reporting template</w:t>
      </w:r>
      <w:r w:rsidRPr="004C7BED">
        <w:t>).</w:t>
      </w:r>
    </w:p>
    <w:p w14:paraId="5B6C4DB3" w14:textId="20E84E63" w:rsidR="008F7448" w:rsidRPr="004C7BED" w:rsidRDefault="008F7448" w:rsidP="008F7448">
      <w:pPr>
        <w:pStyle w:val="ListBullet"/>
      </w:pPr>
      <w:r w:rsidRPr="004C7BED">
        <w:t xml:space="preserve">The </w:t>
      </w:r>
      <w:r w:rsidRPr="00E36EE0">
        <w:rPr>
          <w:rStyle w:val="Bold"/>
        </w:rPr>
        <w:t>shared supporting</w:t>
      </w:r>
      <w:r w:rsidRPr="004C7BED">
        <w:t xml:space="preserve"> asset schedule, which provides the basis for allocating shared assets to the pipeline (worksheet 3.</w:t>
      </w:r>
      <w:r w:rsidR="0011257F">
        <w:t>4</w:t>
      </w:r>
      <w:r w:rsidRPr="004C7BED">
        <w:t xml:space="preserve"> of the </w:t>
      </w:r>
      <w:r w:rsidRPr="00E36EE0">
        <w:rPr>
          <w:rStyle w:val="Bold"/>
        </w:rPr>
        <w:t>financial reporting template</w:t>
      </w:r>
      <w:r w:rsidRPr="004C7BED">
        <w:t>).</w:t>
      </w:r>
    </w:p>
    <w:p w14:paraId="64EDA989" w14:textId="341D893C" w:rsidR="008F7448" w:rsidRPr="004C7BED" w:rsidRDefault="008F7448" w:rsidP="008F7448">
      <w:r w:rsidRPr="004C7BED">
        <w:t xml:space="preserve">In addition, the following </w:t>
      </w:r>
      <w:r>
        <w:t>information is</w:t>
      </w:r>
      <w:r w:rsidRPr="004C7BED">
        <w:t xml:space="preserve"> optional</w:t>
      </w:r>
      <w:r w:rsidR="00961D5D">
        <w:t>, but may be included in the basis of preparation</w:t>
      </w:r>
      <w:r w:rsidRPr="004C7BED">
        <w:t>:</w:t>
      </w:r>
    </w:p>
    <w:p w14:paraId="0C8DE0FD" w14:textId="77777777" w:rsidR="008F7448" w:rsidRPr="004C7BED" w:rsidRDefault="008F7448" w:rsidP="008F7448">
      <w:pPr>
        <w:pStyle w:val="ListBullet"/>
      </w:pPr>
      <w:r>
        <w:t>A schedule of a</w:t>
      </w:r>
      <w:r w:rsidRPr="004C7BED">
        <w:t>sset values adjusted for indexation</w:t>
      </w:r>
      <w:r>
        <w:t xml:space="preserve"> </w:t>
      </w:r>
    </w:p>
    <w:p w14:paraId="39FCF2D2" w14:textId="77777777" w:rsidR="008F7448" w:rsidRDefault="008F7448" w:rsidP="008F7448">
      <w:pPr>
        <w:pStyle w:val="ListBullet"/>
      </w:pPr>
      <w:r w:rsidRPr="004C7BED">
        <w:t xml:space="preserve">A schedule that sets out any revaluations to </w:t>
      </w:r>
      <w:r w:rsidRPr="00E36EE0">
        <w:rPr>
          <w:rStyle w:val="Bold"/>
        </w:rPr>
        <w:t>pipeline assets</w:t>
      </w:r>
      <w:r w:rsidRPr="004C7BED">
        <w:t xml:space="preserve"> – note that these revaluations cannot be included in the Statement of Pipeline Assets </w:t>
      </w:r>
    </w:p>
    <w:p w14:paraId="37FC42DF" w14:textId="77777777" w:rsidR="008F7448" w:rsidRDefault="008F7448" w:rsidP="008F7448">
      <w:pPr>
        <w:pStyle w:val="ListBullet"/>
      </w:pPr>
      <w:r>
        <w:t xml:space="preserve">Any other notes that the </w:t>
      </w:r>
      <w:r w:rsidRPr="00D929F9">
        <w:rPr>
          <w:rStyle w:val="Strong"/>
        </w:rPr>
        <w:t>service provider</w:t>
      </w:r>
      <w:r>
        <w:t xml:space="preserve"> wishes to provide.</w:t>
      </w:r>
    </w:p>
    <w:p w14:paraId="639E4405" w14:textId="77777777" w:rsidR="008F7448" w:rsidRPr="004C7BED" w:rsidRDefault="008F7448" w:rsidP="00685983">
      <w:pPr>
        <w:pStyle w:val="Heading2"/>
        <w:numPr>
          <w:ilvl w:val="1"/>
          <w:numId w:val="32"/>
        </w:numPr>
        <w:tabs>
          <w:tab w:val="left" w:pos="680"/>
        </w:tabs>
        <w:ind w:left="680" w:hanging="680"/>
      </w:pPr>
      <w:bookmarkStart w:id="52" w:name="_Toc499898231"/>
      <w:bookmarkStart w:id="53" w:name="_Toc501379522"/>
      <w:r w:rsidRPr="004C7BED">
        <w:t>Methods, principles and inputs used</w:t>
      </w:r>
      <w:bookmarkEnd w:id="52"/>
      <w:bookmarkEnd w:id="53"/>
    </w:p>
    <w:p w14:paraId="49A459F2" w14:textId="77777777" w:rsidR="008F7448" w:rsidRPr="004C7BED" w:rsidRDefault="008F7448" w:rsidP="00685983">
      <w:pPr>
        <w:pStyle w:val="Heading3"/>
        <w:numPr>
          <w:ilvl w:val="2"/>
          <w:numId w:val="32"/>
        </w:numPr>
        <w:tabs>
          <w:tab w:val="left" w:pos="1021"/>
        </w:tabs>
        <w:ind w:left="1021" w:hanging="1021"/>
      </w:pPr>
      <w:bookmarkStart w:id="54" w:name="_Toc499898232"/>
      <w:bookmarkStart w:id="55" w:name="_Toc501379523"/>
      <w:r w:rsidRPr="004C7BED">
        <w:t>Asset valuation principles</w:t>
      </w:r>
      <w:bookmarkEnd w:id="54"/>
      <w:bookmarkEnd w:id="55"/>
    </w:p>
    <w:p w14:paraId="411B627E" w14:textId="77777777" w:rsidR="008F7448" w:rsidRPr="004C7BED" w:rsidRDefault="008F7448" w:rsidP="008F7448">
      <w:r w:rsidRPr="004C7BED">
        <w:t>Asset valuation principles apply to the following categories of assets:</w:t>
      </w:r>
    </w:p>
    <w:p w14:paraId="529E63D9" w14:textId="77777777" w:rsidR="008F7448" w:rsidRPr="004C7BED" w:rsidRDefault="008F7448" w:rsidP="008F7448">
      <w:pPr>
        <w:pStyle w:val="ListBullet"/>
      </w:pPr>
      <w:r w:rsidRPr="00E36EE0">
        <w:rPr>
          <w:rStyle w:val="Bold"/>
        </w:rPr>
        <w:t>Pipeline assets</w:t>
      </w:r>
      <w:r w:rsidRPr="004C7BED">
        <w:t>.</w:t>
      </w:r>
    </w:p>
    <w:p w14:paraId="21696123" w14:textId="77777777" w:rsidR="008F7448" w:rsidRPr="004C7BED" w:rsidRDefault="008F7448" w:rsidP="008F7448">
      <w:pPr>
        <w:pStyle w:val="ListBullet"/>
      </w:pPr>
      <w:r w:rsidRPr="00E36EE0">
        <w:rPr>
          <w:rStyle w:val="Bold"/>
        </w:rPr>
        <w:t>Shared supporting assets</w:t>
      </w:r>
      <w:r w:rsidRPr="004C7BED">
        <w:t>.</w:t>
      </w:r>
    </w:p>
    <w:p w14:paraId="62C0455E" w14:textId="77777777" w:rsidR="008F7448" w:rsidRPr="004C7BED" w:rsidRDefault="008F7448" w:rsidP="008F7448">
      <w:r w:rsidRPr="004C7BED">
        <w:t xml:space="preserve">Upward revaluation of assets are not allowed for any category of assets disclosed. </w:t>
      </w:r>
    </w:p>
    <w:p w14:paraId="05321632" w14:textId="6C269836" w:rsidR="008F7448" w:rsidRPr="004C7BED" w:rsidRDefault="008F7448" w:rsidP="008F7448">
      <w:r w:rsidRPr="004C7BED">
        <w:t xml:space="preserve">Where assets have been revalued upwards for reporting outside the scope of this </w:t>
      </w:r>
      <w:r w:rsidRPr="00E36EE0">
        <w:rPr>
          <w:rStyle w:val="Bold"/>
        </w:rPr>
        <w:t>Guideline</w:t>
      </w:r>
      <w:r w:rsidRPr="004C7BED">
        <w:t xml:space="preserve">, the revalued value and the reason for revaluation can be disclosed in the </w:t>
      </w:r>
      <w:r w:rsidR="000F05CF">
        <w:t>basis of preparation</w:t>
      </w:r>
      <w:r w:rsidRPr="004C7BED">
        <w:t xml:space="preserve">. </w:t>
      </w:r>
    </w:p>
    <w:p w14:paraId="6D8A36FB" w14:textId="77777777" w:rsidR="008F7448" w:rsidRPr="00E36EE0" w:rsidRDefault="008F7448" w:rsidP="008F7448">
      <w:pPr>
        <w:rPr>
          <w:rStyle w:val="Bold"/>
        </w:rPr>
      </w:pPr>
      <w:r w:rsidRPr="00E36EE0">
        <w:rPr>
          <w:rStyle w:val="Bold"/>
        </w:rPr>
        <w:t>Pipeline assets</w:t>
      </w:r>
    </w:p>
    <w:p w14:paraId="6A6C2B93" w14:textId="77777777" w:rsidR="008F7448" w:rsidRPr="004C7BED" w:rsidRDefault="008F7448" w:rsidP="008F7448">
      <w:r w:rsidRPr="00E36EE0">
        <w:rPr>
          <w:rStyle w:val="Bold"/>
        </w:rPr>
        <w:t>Pipeline assets</w:t>
      </w:r>
      <w:r w:rsidRPr="004C7BED">
        <w:t xml:space="preserve"> include the following categories of assets:</w:t>
      </w:r>
    </w:p>
    <w:p w14:paraId="52D091EC" w14:textId="77777777" w:rsidR="008F7448" w:rsidRPr="004C7BED" w:rsidRDefault="008F7448" w:rsidP="008F7448">
      <w:pPr>
        <w:pStyle w:val="ListBullet"/>
      </w:pPr>
      <w:r w:rsidRPr="004C7BED">
        <w:t>Pipelines</w:t>
      </w:r>
    </w:p>
    <w:p w14:paraId="267AFDAD" w14:textId="77777777" w:rsidR="008F7448" w:rsidRPr="004C7BED" w:rsidRDefault="008F7448" w:rsidP="008F7448">
      <w:pPr>
        <w:pStyle w:val="ListBullet"/>
      </w:pPr>
      <w:r w:rsidRPr="004C7BED">
        <w:t>Compressors</w:t>
      </w:r>
    </w:p>
    <w:p w14:paraId="5762A1C0" w14:textId="77777777" w:rsidR="008F7448" w:rsidRPr="004C7BED" w:rsidRDefault="008F7448" w:rsidP="008F7448">
      <w:pPr>
        <w:pStyle w:val="ListBullet"/>
      </w:pPr>
      <w:r w:rsidRPr="004C7BED">
        <w:t>City gates, supply regulators and valve stations</w:t>
      </w:r>
    </w:p>
    <w:p w14:paraId="7DE41CA9" w14:textId="77777777" w:rsidR="008F7448" w:rsidRPr="004C7BED" w:rsidRDefault="008F7448" w:rsidP="008F7448">
      <w:pPr>
        <w:pStyle w:val="ListBullet"/>
      </w:pPr>
      <w:r w:rsidRPr="004C7BED">
        <w:t>Metering</w:t>
      </w:r>
    </w:p>
    <w:p w14:paraId="332C7E66" w14:textId="77777777" w:rsidR="008F7448" w:rsidRPr="004C7BED" w:rsidRDefault="008F7448" w:rsidP="008F7448">
      <w:pPr>
        <w:pStyle w:val="ListBullet"/>
      </w:pPr>
      <w:r w:rsidRPr="004C7BED">
        <w:t>Odorant plants</w:t>
      </w:r>
    </w:p>
    <w:p w14:paraId="4CF9E466" w14:textId="77777777" w:rsidR="008F7448" w:rsidRPr="004C7BED" w:rsidRDefault="008F7448" w:rsidP="008F7448">
      <w:pPr>
        <w:pStyle w:val="ListBullet"/>
      </w:pPr>
      <w:r w:rsidRPr="004C7BED">
        <w:t>SCADA (Communications)</w:t>
      </w:r>
    </w:p>
    <w:p w14:paraId="29BBF2A0" w14:textId="77777777" w:rsidR="008F7448" w:rsidRPr="004C7BED" w:rsidRDefault="008F7448" w:rsidP="008F7448">
      <w:pPr>
        <w:pStyle w:val="ListBullet"/>
      </w:pPr>
      <w:r w:rsidRPr="004C7BED">
        <w:t>Buildings</w:t>
      </w:r>
    </w:p>
    <w:p w14:paraId="2A57A83D" w14:textId="77777777" w:rsidR="008F7448" w:rsidRPr="004C7BED" w:rsidRDefault="008F7448" w:rsidP="008F7448">
      <w:pPr>
        <w:pStyle w:val="ListBullet"/>
      </w:pPr>
      <w:r w:rsidRPr="004C7BED">
        <w:lastRenderedPageBreak/>
        <w:t>Land and easements</w:t>
      </w:r>
    </w:p>
    <w:p w14:paraId="7FDDE3E7" w14:textId="77777777" w:rsidR="008F7448" w:rsidRPr="004C7BED" w:rsidRDefault="008F7448" w:rsidP="008F7448">
      <w:pPr>
        <w:pStyle w:val="ListBullet"/>
      </w:pPr>
      <w:r w:rsidRPr="004C7BED">
        <w:t xml:space="preserve">Other depreciable </w:t>
      </w:r>
      <w:r w:rsidRPr="00E36EE0">
        <w:rPr>
          <w:rStyle w:val="Bold"/>
        </w:rPr>
        <w:t>pipeline assets</w:t>
      </w:r>
    </w:p>
    <w:p w14:paraId="7E7D1A83" w14:textId="77777777" w:rsidR="008F7448" w:rsidRPr="004C7BED" w:rsidRDefault="008F7448" w:rsidP="008F7448">
      <w:pPr>
        <w:pStyle w:val="ListBullet"/>
      </w:pPr>
      <w:r w:rsidRPr="004C7BED">
        <w:t xml:space="preserve">Other non-depreciable </w:t>
      </w:r>
      <w:r w:rsidRPr="00E36EE0">
        <w:rPr>
          <w:rStyle w:val="Bold"/>
        </w:rPr>
        <w:t>pipeline assets</w:t>
      </w:r>
    </w:p>
    <w:p w14:paraId="206F0EB3" w14:textId="1832B867" w:rsidR="008F7448" w:rsidRPr="004C7BED" w:rsidRDefault="008F7448" w:rsidP="008F7448">
      <w:r w:rsidRPr="004C7BED">
        <w:t xml:space="preserve">For </w:t>
      </w:r>
      <w:r w:rsidRPr="00E36EE0">
        <w:rPr>
          <w:rStyle w:val="Bold"/>
        </w:rPr>
        <w:t>pipeline assets</w:t>
      </w:r>
      <w:r w:rsidRPr="004C7BED">
        <w:t xml:space="preserve">, an accounting based </w:t>
      </w:r>
      <w:r>
        <w:t xml:space="preserve">depreciation is to be provided in accordance with the </w:t>
      </w:r>
      <w:r w:rsidRPr="0089611C">
        <w:rPr>
          <w:b/>
        </w:rPr>
        <w:t xml:space="preserve">AASB </w:t>
      </w:r>
      <w:r w:rsidRPr="004C7BED">
        <w:t>and the asset lives set out in worksheet 3.</w:t>
      </w:r>
      <w:r w:rsidR="0011257F">
        <w:t>1</w:t>
      </w:r>
      <w:r w:rsidRPr="004C7BED">
        <w:t xml:space="preserve"> (“depreciated book value method”). </w:t>
      </w:r>
    </w:p>
    <w:p w14:paraId="5F93AD49" w14:textId="77777777" w:rsidR="008F7448" w:rsidRPr="004C7BED" w:rsidRDefault="008F7448" w:rsidP="008F7448">
      <w:r>
        <w:t xml:space="preserve">The depreciated </w:t>
      </w:r>
      <w:r w:rsidRPr="004C7BED">
        <w:t xml:space="preserve">value is used to determine asset carrying values in the pipeline Statement of Pipeline Assets and </w:t>
      </w:r>
      <w:r w:rsidRPr="00E36EE0">
        <w:rPr>
          <w:rStyle w:val="Bold"/>
        </w:rPr>
        <w:t>depreciation</w:t>
      </w:r>
      <w:r w:rsidRPr="004C7BED">
        <w:t xml:space="preserve"> for the Statement of Pipeline Revenue and Expenses.</w:t>
      </w:r>
    </w:p>
    <w:p w14:paraId="3F6BB591" w14:textId="77777777" w:rsidR="008F7448" w:rsidRPr="004C7BED" w:rsidRDefault="008F7448" w:rsidP="008F7448">
      <w:r w:rsidRPr="00BA6678">
        <w:rPr>
          <w:rStyle w:val="Strong"/>
        </w:rPr>
        <w:t>S</w:t>
      </w:r>
      <w:r w:rsidRPr="00E36EE0">
        <w:rPr>
          <w:rStyle w:val="Bold"/>
        </w:rPr>
        <w:t>ervice providers</w:t>
      </w:r>
      <w:r w:rsidRPr="004C7BED">
        <w:t xml:space="preserve"> are required to report </w:t>
      </w:r>
      <w:r w:rsidRPr="00E36EE0">
        <w:rPr>
          <w:rStyle w:val="Bold"/>
        </w:rPr>
        <w:t>pipeline</w:t>
      </w:r>
      <w:r w:rsidRPr="004C7BED">
        <w:t xml:space="preserve"> </w:t>
      </w:r>
      <w:r w:rsidRPr="00E36EE0">
        <w:rPr>
          <w:rStyle w:val="Bold"/>
        </w:rPr>
        <w:t>assets</w:t>
      </w:r>
      <w:r w:rsidRPr="004C7BED">
        <w:t xml:space="preserve"> by asset class, and value at acquisition/</w:t>
      </w:r>
      <w:r w:rsidRPr="00940C9F">
        <w:rPr>
          <w:b/>
        </w:rPr>
        <w:t>construction cost</w:t>
      </w:r>
      <w:r w:rsidRPr="004C7BED">
        <w:t xml:space="preserve"> less </w:t>
      </w:r>
      <w:r w:rsidRPr="00E36EE0">
        <w:rPr>
          <w:rStyle w:val="Bold"/>
        </w:rPr>
        <w:t>depreciation</w:t>
      </w:r>
      <w:r w:rsidRPr="004C7BED">
        <w:t xml:space="preserve"> in accordance with </w:t>
      </w:r>
      <w:r w:rsidRPr="00E36EE0">
        <w:rPr>
          <w:rStyle w:val="Bold"/>
        </w:rPr>
        <w:t>AASB</w:t>
      </w:r>
      <w:r w:rsidRPr="001C2893">
        <w:rPr>
          <w:b/>
        </w:rPr>
        <w:t>s</w:t>
      </w:r>
      <w:r w:rsidRPr="004C7BED">
        <w:t xml:space="preserve">, unless the </w:t>
      </w:r>
      <w:r w:rsidRPr="00E36EE0">
        <w:rPr>
          <w:rStyle w:val="Bold"/>
        </w:rPr>
        <w:t>AASB</w:t>
      </w:r>
      <w:r w:rsidRPr="001C2893">
        <w:rPr>
          <w:b/>
        </w:rPr>
        <w:t>s</w:t>
      </w:r>
      <w:r w:rsidRPr="004C7BED">
        <w:t xml:space="preserve"> are </w:t>
      </w:r>
      <w:r>
        <w:t xml:space="preserve">inconsistent with the </w:t>
      </w:r>
      <w:r w:rsidRPr="00BA6678">
        <w:rPr>
          <w:rStyle w:val="Strong"/>
        </w:rPr>
        <w:t>Guideline</w:t>
      </w:r>
      <w:r w:rsidRPr="004C7BED">
        <w:t xml:space="preserve">. </w:t>
      </w:r>
    </w:p>
    <w:p w14:paraId="222152AB" w14:textId="77777777" w:rsidR="008F7448" w:rsidRDefault="008F7448" w:rsidP="008F7448">
      <w:r>
        <w:t>E</w:t>
      </w:r>
      <w:r w:rsidRPr="004C7BED">
        <w:t xml:space="preserve">ach of these asset classes should be determined at cost (where applicable) and if the asset class is depreciated in accordance with the </w:t>
      </w:r>
      <w:r w:rsidRPr="00E36EE0">
        <w:rPr>
          <w:rStyle w:val="Bold"/>
        </w:rPr>
        <w:t>AASB</w:t>
      </w:r>
      <w:r w:rsidRPr="004C7BED">
        <w:t>.</w:t>
      </w:r>
    </w:p>
    <w:p w14:paraId="736D3F89" w14:textId="77777777" w:rsidR="008F7448" w:rsidRPr="00AE08A5" w:rsidRDefault="008F7448" w:rsidP="008F7448">
      <w:pPr>
        <w:rPr>
          <w:rStyle w:val="Bold"/>
        </w:rPr>
      </w:pPr>
      <w:r w:rsidRPr="00AE08A5">
        <w:rPr>
          <w:rStyle w:val="Bold"/>
        </w:rPr>
        <w:t>Shared supporting assets</w:t>
      </w:r>
    </w:p>
    <w:p w14:paraId="412B6DAB" w14:textId="1FAA5285" w:rsidR="008F7448" w:rsidRPr="004C7BED" w:rsidRDefault="008F7448" w:rsidP="008F7448">
      <w:r w:rsidRPr="00AE08A5">
        <w:rPr>
          <w:rStyle w:val="Bold"/>
        </w:rPr>
        <w:t>Shared supporting assets</w:t>
      </w:r>
      <w:r w:rsidRPr="004C7BED">
        <w:t xml:space="preserve"> are required to be apportioned between the non-scheme pipeline and other operations of the </w:t>
      </w:r>
      <w:r w:rsidRPr="0089611C">
        <w:rPr>
          <w:b/>
        </w:rPr>
        <w:t>service provider</w:t>
      </w:r>
      <w:r w:rsidRPr="004C7BED">
        <w:t xml:space="preserve">. </w:t>
      </w:r>
      <w:r w:rsidRPr="00AE08A5">
        <w:rPr>
          <w:rStyle w:val="Bold"/>
        </w:rPr>
        <w:t>Service providers</w:t>
      </w:r>
      <w:r w:rsidRPr="004C7BED">
        <w:t xml:space="preserve"> must disclose the basis for this allocation and provide an explanation for the use of this basis in </w:t>
      </w:r>
      <w:r w:rsidR="00961D5D">
        <w:t>the basis of preparation</w:t>
      </w:r>
      <w:r w:rsidRPr="004C7BED">
        <w:t xml:space="preserve">. Guidance regarding the allocation of </w:t>
      </w:r>
      <w:r w:rsidRPr="00AE08A5">
        <w:rPr>
          <w:rStyle w:val="Bold"/>
        </w:rPr>
        <w:t>shared supporting assets</w:t>
      </w:r>
      <w:r w:rsidRPr="004C7BED">
        <w:t xml:space="preserve"> is provided in Section</w:t>
      </w:r>
      <w:r>
        <w:t xml:space="preserve"> 3</w:t>
      </w:r>
      <w:r w:rsidRPr="004C7BED">
        <w:t>.2.4.</w:t>
      </w:r>
    </w:p>
    <w:p w14:paraId="3A1B1F8C" w14:textId="77777777" w:rsidR="008F7448" w:rsidRPr="00AE08A5" w:rsidRDefault="008F7448" w:rsidP="008F7448">
      <w:pPr>
        <w:rPr>
          <w:rStyle w:val="Bold"/>
        </w:rPr>
      </w:pPr>
      <w:r w:rsidRPr="00AE08A5">
        <w:rPr>
          <w:rStyle w:val="Bold"/>
        </w:rPr>
        <w:t>Depreciated book value method</w:t>
      </w:r>
    </w:p>
    <w:p w14:paraId="3D962350" w14:textId="77777777" w:rsidR="008F7448" w:rsidRPr="004C7BED" w:rsidRDefault="008F7448" w:rsidP="008F7448">
      <w:r w:rsidRPr="004C7BED">
        <w:t>The value of an asset under the depreciated book value method is calculated as:</w:t>
      </w:r>
    </w:p>
    <w:p w14:paraId="43D58BA7" w14:textId="77777777" w:rsidR="008F7448" w:rsidRPr="004C7BED" w:rsidRDefault="008F7448" w:rsidP="008F7448">
      <w:pPr>
        <w:pStyle w:val="ListBullet"/>
      </w:pPr>
      <w:r w:rsidRPr="004C7BED">
        <w:t xml:space="preserve">the historical </w:t>
      </w:r>
      <w:r w:rsidRPr="00940C9F">
        <w:rPr>
          <w:b/>
        </w:rPr>
        <w:t>construction cost</w:t>
      </w:r>
      <w:r w:rsidRPr="004C7BED">
        <w:t xml:space="preserve"> of the </w:t>
      </w:r>
      <w:r w:rsidRPr="00AE08A5">
        <w:rPr>
          <w:rStyle w:val="Bold"/>
        </w:rPr>
        <w:t>pipeline asset</w:t>
      </w:r>
      <w:r w:rsidRPr="004C7BED">
        <w:t xml:space="preserve"> (or acquisition cost if the asset was acquired by the </w:t>
      </w:r>
      <w:r w:rsidRPr="00AE08A5">
        <w:rPr>
          <w:rStyle w:val="Bold"/>
        </w:rPr>
        <w:t>service provider</w:t>
      </w:r>
      <w:r w:rsidRPr="004C7BED">
        <w:t>), less any impairment amounts;</w:t>
      </w:r>
    </w:p>
    <w:p w14:paraId="725B6C78" w14:textId="77777777" w:rsidR="008F7448" w:rsidRPr="004C7BED" w:rsidRDefault="008F7448" w:rsidP="008F7448">
      <w:pPr>
        <w:pStyle w:val="ListBullet"/>
      </w:pPr>
      <w:r w:rsidRPr="004C7BED">
        <w:t xml:space="preserve">plus any </w:t>
      </w:r>
      <w:r w:rsidRPr="00AE08A5">
        <w:rPr>
          <w:rStyle w:val="Bold"/>
        </w:rPr>
        <w:t>capital expenditure</w:t>
      </w:r>
      <w:r w:rsidRPr="004C7BED">
        <w:t xml:space="preserve"> or acquisitions during the period (at cost);</w:t>
      </w:r>
    </w:p>
    <w:p w14:paraId="385D1987" w14:textId="77777777" w:rsidR="008F7448" w:rsidRPr="004C7BED" w:rsidRDefault="008F7448" w:rsidP="008F7448">
      <w:pPr>
        <w:pStyle w:val="ListBullet"/>
      </w:pPr>
      <w:r w:rsidRPr="004C7BED">
        <w:t>less the value of any assets disposed of during the period; and</w:t>
      </w:r>
    </w:p>
    <w:p w14:paraId="66A9131A" w14:textId="77777777" w:rsidR="008F7448" w:rsidRPr="004C7BED" w:rsidRDefault="008F7448" w:rsidP="008F7448">
      <w:pPr>
        <w:pStyle w:val="ListBullet"/>
      </w:pPr>
      <w:r w:rsidRPr="004C7BED">
        <w:t xml:space="preserve">less </w:t>
      </w:r>
      <w:r w:rsidRPr="00AE08A5">
        <w:rPr>
          <w:rStyle w:val="Bold"/>
        </w:rPr>
        <w:t>depreciation</w:t>
      </w:r>
      <w:r w:rsidRPr="004C7BED">
        <w:t xml:space="preserve"> incurred using the methodology set out in Section </w:t>
      </w:r>
      <w:r>
        <w:t>3</w:t>
      </w:r>
      <w:r w:rsidRPr="004C7BED">
        <w:t>.2.5 below.</w:t>
      </w:r>
    </w:p>
    <w:p w14:paraId="7F4EBC16" w14:textId="77777777" w:rsidR="008F7448" w:rsidRPr="004C7BED" w:rsidRDefault="008F7448" w:rsidP="008F7448">
      <w:r w:rsidRPr="004C7BED">
        <w:t xml:space="preserve">If an asset is acquired from a </w:t>
      </w:r>
      <w:r w:rsidRPr="00AE08A5">
        <w:rPr>
          <w:rStyle w:val="Bold"/>
        </w:rPr>
        <w:t>related party</w:t>
      </w:r>
      <w:r w:rsidRPr="004C7BED">
        <w:t xml:space="preserve">, the </w:t>
      </w:r>
      <w:r w:rsidRPr="00940C9F">
        <w:rPr>
          <w:b/>
        </w:rPr>
        <w:t>construction cost</w:t>
      </w:r>
      <w:r w:rsidRPr="004C7BED">
        <w:t xml:space="preserve"> or acquisition cost paid by the </w:t>
      </w:r>
      <w:r w:rsidRPr="00AE08A5">
        <w:rPr>
          <w:rStyle w:val="Bold"/>
        </w:rPr>
        <w:t>related party</w:t>
      </w:r>
      <w:r w:rsidRPr="004C7BED">
        <w:t xml:space="preserve"> to an unrelated third party must be used.</w:t>
      </w:r>
    </w:p>
    <w:p w14:paraId="0A928A90" w14:textId="77777777" w:rsidR="008F7448" w:rsidRPr="004C7BED" w:rsidRDefault="008F7448" w:rsidP="008F7448">
      <w:r w:rsidRPr="004C7BED">
        <w:t xml:space="preserve">Construction, acquisition and maintenance costs should be capitalised in accordance with the </w:t>
      </w:r>
      <w:r w:rsidRPr="00AE08A5">
        <w:rPr>
          <w:rStyle w:val="Bold"/>
        </w:rPr>
        <w:t>AASB</w:t>
      </w:r>
      <w:r w:rsidRPr="0089611C">
        <w:rPr>
          <w:b/>
        </w:rPr>
        <w:t>s</w:t>
      </w:r>
      <w:r>
        <w:t xml:space="preserve"> and Section 3</w:t>
      </w:r>
      <w:r w:rsidRPr="004C7BED">
        <w:t>.2.2.</w:t>
      </w:r>
    </w:p>
    <w:p w14:paraId="32DA5F73" w14:textId="77777777" w:rsidR="008F7448" w:rsidRPr="00AE08A5" w:rsidRDefault="008F7448" w:rsidP="008F7448">
      <w:pPr>
        <w:rPr>
          <w:rStyle w:val="Bold"/>
        </w:rPr>
      </w:pPr>
      <w:r w:rsidRPr="00AE08A5">
        <w:rPr>
          <w:rStyle w:val="Bold"/>
        </w:rPr>
        <w:t>Land and easements</w:t>
      </w:r>
    </w:p>
    <w:p w14:paraId="7E8C8DE6" w14:textId="77777777" w:rsidR="008F7448" w:rsidRDefault="008F7448" w:rsidP="008F7448">
      <w:r w:rsidRPr="004C7BED">
        <w:t xml:space="preserve">Where land or easements are owned by </w:t>
      </w:r>
      <w:r w:rsidRPr="0089611C">
        <w:rPr>
          <w:rStyle w:val="Bold"/>
          <w:b w:val="0"/>
        </w:rPr>
        <w:t>the</w:t>
      </w:r>
      <w:r w:rsidRPr="00AE08A5">
        <w:rPr>
          <w:rStyle w:val="Bold"/>
        </w:rPr>
        <w:t xml:space="preserve"> service provider</w:t>
      </w:r>
      <w:r w:rsidRPr="004C7BED">
        <w:t>, these assets are required to be recorded at historical cost and not depreciated.</w:t>
      </w:r>
    </w:p>
    <w:p w14:paraId="712CA990" w14:textId="77777777" w:rsidR="008F7448" w:rsidRPr="004C7BED" w:rsidRDefault="008F7448" w:rsidP="00685983">
      <w:pPr>
        <w:pStyle w:val="Heading3"/>
        <w:keepNext/>
        <w:numPr>
          <w:ilvl w:val="2"/>
          <w:numId w:val="32"/>
        </w:numPr>
        <w:tabs>
          <w:tab w:val="left" w:pos="1021"/>
        </w:tabs>
        <w:ind w:left="1021" w:hanging="1021"/>
      </w:pPr>
      <w:bookmarkStart w:id="56" w:name="_Toc499898233"/>
      <w:bookmarkStart w:id="57" w:name="_Toc501379524"/>
      <w:r w:rsidRPr="004C7BED">
        <w:t>Capitalisation principles</w:t>
      </w:r>
      <w:bookmarkEnd w:id="56"/>
      <w:bookmarkEnd w:id="57"/>
    </w:p>
    <w:p w14:paraId="5971E0A3" w14:textId="77777777" w:rsidR="008F7448" w:rsidRPr="004C7BED" w:rsidRDefault="008F7448" w:rsidP="008F7448">
      <w:r w:rsidRPr="00AE08A5">
        <w:rPr>
          <w:rStyle w:val="Bold"/>
        </w:rPr>
        <w:t>Service providers</w:t>
      </w:r>
      <w:r w:rsidRPr="004C7BED">
        <w:t xml:space="preserve"> are required to determine whether expenditure is appropriately classified as an operating expense or </w:t>
      </w:r>
      <w:r w:rsidRPr="00AE08A5">
        <w:rPr>
          <w:rStyle w:val="Bold"/>
        </w:rPr>
        <w:t>capital expenditure</w:t>
      </w:r>
      <w:r w:rsidRPr="004C7BED">
        <w:t xml:space="preserve">. This classification should be undertaken in accordance with the </w:t>
      </w:r>
      <w:r w:rsidRPr="00AE08A5">
        <w:rPr>
          <w:rStyle w:val="Bold"/>
        </w:rPr>
        <w:t>AASB</w:t>
      </w:r>
      <w:r w:rsidRPr="0089611C">
        <w:rPr>
          <w:b/>
        </w:rPr>
        <w:t>s</w:t>
      </w:r>
      <w:r w:rsidRPr="004C7BED">
        <w:t xml:space="preserve"> and any exclusions set out</w:t>
      </w:r>
      <w:r>
        <w:t xml:space="preserve"> in the </w:t>
      </w:r>
      <w:r w:rsidRPr="00BA6678">
        <w:rPr>
          <w:rStyle w:val="Strong"/>
        </w:rPr>
        <w:t>Guideline.</w:t>
      </w:r>
    </w:p>
    <w:p w14:paraId="00C3B9A4" w14:textId="77777777" w:rsidR="008F7448" w:rsidRPr="004C7BED" w:rsidRDefault="008F7448" w:rsidP="008F7448">
      <w:r w:rsidRPr="004C7BED">
        <w:lastRenderedPageBreak/>
        <w:t>Additional guidance material is set out below.</w:t>
      </w:r>
    </w:p>
    <w:p w14:paraId="6FB575AF" w14:textId="77777777" w:rsidR="008F7448" w:rsidRPr="00AE08A5" w:rsidRDefault="008F7448" w:rsidP="008F7448">
      <w:pPr>
        <w:rPr>
          <w:rStyle w:val="Bold"/>
        </w:rPr>
      </w:pPr>
      <w:r w:rsidRPr="00AE08A5">
        <w:rPr>
          <w:rStyle w:val="Bold"/>
        </w:rPr>
        <w:t>Construction cost</w:t>
      </w:r>
    </w:p>
    <w:p w14:paraId="1F70A1C1" w14:textId="4B1AB737" w:rsidR="008F7448" w:rsidRPr="004C7BED" w:rsidRDefault="008F7448" w:rsidP="008F7448">
      <w:r w:rsidRPr="004C7BED">
        <w:t xml:space="preserve">The </w:t>
      </w:r>
      <w:r w:rsidRPr="00940C9F">
        <w:rPr>
          <w:b/>
        </w:rPr>
        <w:t>construction costs</w:t>
      </w:r>
      <w:r w:rsidRPr="004C7BED">
        <w:t xml:space="preserve"> for </w:t>
      </w:r>
      <w:r w:rsidRPr="00AE08A5">
        <w:rPr>
          <w:rStyle w:val="Bold"/>
        </w:rPr>
        <w:t>pipeline assets</w:t>
      </w:r>
      <w:r w:rsidRPr="004C7BED">
        <w:t xml:space="preserve"> are able to be capitalised where they meet the requirements for capitalisation according to the </w:t>
      </w:r>
      <w:r w:rsidRPr="00353C60">
        <w:rPr>
          <w:rStyle w:val="Bold"/>
        </w:rPr>
        <w:t>AASB</w:t>
      </w:r>
      <w:r w:rsidRPr="004C7BED">
        <w:t xml:space="preserve">. Where an asset was not constructed by the </w:t>
      </w:r>
      <w:r w:rsidRPr="0089611C">
        <w:rPr>
          <w:b/>
        </w:rPr>
        <w:t>service provider</w:t>
      </w:r>
      <w:r w:rsidRPr="004C7BED">
        <w:t>, the acquisition cost should be used.</w:t>
      </w:r>
      <w:r>
        <w:t xml:space="preserve"> Where acquisition cost is </w:t>
      </w:r>
      <w:r w:rsidR="000028F3">
        <w:t>used,</w:t>
      </w:r>
      <w:r>
        <w:t xml:space="preserve"> the date of acquisition must be reported in the basis of preparation. </w:t>
      </w:r>
    </w:p>
    <w:p w14:paraId="3EFA2CC6" w14:textId="77777777" w:rsidR="008F7448" w:rsidRPr="00AE08A5" w:rsidRDefault="008F7448" w:rsidP="008F7448">
      <w:pPr>
        <w:rPr>
          <w:rStyle w:val="Bold"/>
        </w:rPr>
      </w:pPr>
      <w:r w:rsidRPr="00AE08A5">
        <w:rPr>
          <w:rStyle w:val="Bold"/>
        </w:rPr>
        <w:t>Expenditure on pipeline assets</w:t>
      </w:r>
    </w:p>
    <w:p w14:paraId="1E948298" w14:textId="151D212D" w:rsidR="008F7448" w:rsidRDefault="008F7448" w:rsidP="008F7448">
      <w:r w:rsidRPr="004C7BED">
        <w:t xml:space="preserve">In accordance with </w:t>
      </w:r>
      <w:r w:rsidR="000028F3" w:rsidRPr="00353C60">
        <w:rPr>
          <w:rStyle w:val="Bold"/>
        </w:rPr>
        <w:t>AASB,</w:t>
      </w:r>
      <w:r w:rsidRPr="004C7BED">
        <w:t xml:space="preserve"> certain expenditure on </w:t>
      </w:r>
      <w:r w:rsidRPr="00353C60">
        <w:rPr>
          <w:rStyle w:val="Bold"/>
        </w:rPr>
        <w:t>pipeline assets</w:t>
      </w:r>
      <w:r w:rsidRPr="004C7BED">
        <w:t xml:space="preserve"> can be capitalised as part of the cost of that asset. Broadly, expenditure on </w:t>
      </w:r>
      <w:r w:rsidRPr="00353C60">
        <w:rPr>
          <w:rStyle w:val="Bold"/>
        </w:rPr>
        <w:t>pipeline assets</w:t>
      </w:r>
      <w:r w:rsidRPr="004C7BED">
        <w:t xml:space="preserve"> can be capitalised where the expenditure results in an improvement to the </w:t>
      </w:r>
      <w:r w:rsidRPr="00353C60">
        <w:rPr>
          <w:rStyle w:val="Bold"/>
        </w:rPr>
        <w:t>pipeline asset</w:t>
      </w:r>
      <w:r w:rsidRPr="004C7BED">
        <w:t xml:space="preserve">. That is, as a result of the expenditure the </w:t>
      </w:r>
      <w:r w:rsidRPr="00353C60">
        <w:rPr>
          <w:rStyle w:val="Bold"/>
        </w:rPr>
        <w:t>pipeline asset’s</w:t>
      </w:r>
      <w:r w:rsidRPr="004C7BED">
        <w:t xml:space="preserve"> condition is</w:t>
      </w:r>
      <w:r>
        <w:t xml:space="preserve"> </w:t>
      </w:r>
      <w:r w:rsidRPr="004C7BED">
        <w:t>enhanced beyond its original standard of performance or capacity. Examples of such enhancements include:</w:t>
      </w:r>
    </w:p>
    <w:p w14:paraId="4262D2D1" w14:textId="77777777" w:rsidR="008F7448" w:rsidRPr="004C7BED" w:rsidRDefault="008F7448" w:rsidP="008F7448">
      <w:pPr>
        <w:pStyle w:val="ListBullet"/>
      </w:pPr>
      <w:r w:rsidRPr="004C7BED">
        <w:t xml:space="preserve">increasing the </w:t>
      </w:r>
      <w:r w:rsidRPr="00353C60">
        <w:rPr>
          <w:rStyle w:val="Bold"/>
        </w:rPr>
        <w:t>pipeline asset’s</w:t>
      </w:r>
      <w:r w:rsidRPr="004C7BED">
        <w:t xml:space="preserve"> useful life, function or service capacity;</w:t>
      </w:r>
    </w:p>
    <w:p w14:paraId="643E6E58" w14:textId="77777777" w:rsidR="008F7448" w:rsidRPr="004C7BED" w:rsidRDefault="008F7448" w:rsidP="008F7448">
      <w:pPr>
        <w:pStyle w:val="ListBullet"/>
      </w:pPr>
      <w:r w:rsidRPr="004C7BED">
        <w:t>enhancing the quality of services delivered using the asset; or</w:t>
      </w:r>
    </w:p>
    <w:p w14:paraId="4A1C1EAE" w14:textId="77777777" w:rsidR="008F7448" w:rsidRPr="004C7BED" w:rsidRDefault="008F7448" w:rsidP="008F7448">
      <w:pPr>
        <w:pStyle w:val="ListBullet"/>
      </w:pPr>
      <w:r w:rsidRPr="004C7BED">
        <w:t>significantly reducing the operating costs associated with the asset.</w:t>
      </w:r>
    </w:p>
    <w:p w14:paraId="33D1C497" w14:textId="77777777" w:rsidR="008F7448" w:rsidRPr="004C7BED" w:rsidRDefault="008F7448" w:rsidP="008F7448">
      <w:r w:rsidRPr="004C7BED">
        <w:t xml:space="preserve">Where a significant component of a </w:t>
      </w:r>
      <w:r w:rsidRPr="00353C60">
        <w:rPr>
          <w:rStyle w:val="Bold"/>
        </w:rPr>
        <w:t>pipeline asset</w:t>
      </w:r>
      <w:r w:rsidRPr="004C7BED">
        <w:t xml:space="preserve"> is replaced, this can also be capitalised into the carrying value of the asset, however the value of the component that is being removed must be simultaneously derecognised as a disposal.  </w:t>
      </w:r>
    </w:p>
    <w:p w14:paraId="116FA45C" w14:textId="77777777" w:rsidR="008F7448" w:rsidRPr="004C7BED" w:rsidRDefault="008F7448" w:rsidP="008F7448">
      <w:r w:rsidRPr="004C7BED">
        <w:t xml:space="preserve">A condition of continuing to operate a </w:t>
      </w:r>
      <w:r w:rsidRPr="00353C60">
        <w:rPr>
          <w:rStyle w:val="Bold"/>
        </w:rPr>
        <w:t>pipeline asset</w:t>
      </w:r>
      <w:r w:rsidRPr="004C7BED">
        <w:t xml:space="preserve"> may be performing regular major inspections for faults. Consistent with </w:t>
      </w:r>
      <w:r w:rsidRPr="00353C60">
        <w:rPr>
          <w:rStyle w:val="Bold"/>
        </w:rPr>
        <w:t>AASB</w:t>
      </w:r>
      <w:r w:rsidRPr="004C7BED">
        <w:t xml:space="preserve"> </w:t>
      </w:r>
      <w:r w:rsidRPr="00353C60">
        <w:rPr>
          <w:rStyle w:val="BookTitle"/>
        </w:rPr>
        <w:t>116</w:t>
      </w:r>
      <w:r w:rsidRPr="004C7BED">
        <w:t xml:space="preserve">, regardless of whether this inspection results in faults being identified and rectified, the </w:t>
      </w:r>
      <w:r w:rsidRPr="00353C60">
        <w:rPr>
          <w:rStyle w:val="Bold"/>
        </w:rPr>
        <w:t>service provider</w:t>
      </w:r>
      <w:r w:rsidRPr="004C7BED">
        <w:t xml:space="preserve"> may include the cost of the major inspection in the carrying value of the </w:t>
      </w:r>
      <w:r w:rsidRPr="00353C60">
        <w:rPr>
          <w:rStyle w:val="Bold"/>
        </w:rPr>
        <w:t>pipeline asset</w:t>
      </w:r>
      <w:r w:rsidRPr="004C7BED">
        <w:t xml:space="preserve"> in the capital maintenance line in the </w:t>
      </w:r>
      <w:r w:rsidRPr="00353C60">
        <w:rPr>
          <w:rStyle w:val="Bold"/>
        </w:rPr>
        <w:t>financial reporting template</w:t>
      </w:r>
      <w:r w:rsidRPr="004C7BED">
        <w:t xml:space="preserve">. However, any remaining costs of a previous major inspection relating to that asset must be simultaneously derecognised.  </w:t>
      </w:r>
    </w:p>
    <w:p w14:paraId="03010630" w14:textId="198E8621" w:rsidR="008F7448" w:rsidRPr="004C7BED" w:rsidRDefault="008F7448" w:rsidP="008F7448">
      <w:r w:rsidRPr="004C7BED">
        <w:t>In contrast, routine maintenance, day-to-day servicing, replacement of minor parts and repairs are not considered to be improvements and cannot be capitalised. Costs associated with routine maintenance and repairs, including the following must be expensed when incurred:</w:t>
      </w:r>
    </w:p>
    <w:p w14:paraId="59570BB8" w14:textId="77777777" w:rsidR="008F7448" w:rsidRPr="004C7BED" w:rsidRDefault="008F7448" w:rsidP="008F7448">
      <w:pPr>
        <w:pStyle w:val="ListBullet"/>
      </w:pPr>
      <w:r w:rsidRPr="004C7BED">
        <w:t>administration and general overhead costs;</w:t>
      </w:r>
    </w:p>
    <w:p w14:paraId="7B697918" w14:textId="77777777" w:rsidR="008F7448" w:rsidRPr="004C7BED" w:rsidRDefault="008F7448" w:rsidP="008F7448">
      <w:pPr>
        <w:pStyle w:val="ListBullet"/>
      </w:pPr>
      <w:r w:rsidRPr="004C7BED">
        <w:t>labour and consumables associated with routine repairs and maintenance; and</w:t>
      </w:r>
    </w:p>
    <w:p w14:paraId="18578A1A" w14:textId="77777777" w:rsidR="008F7448" w:rsidRPr="004C7BED" w:rsidRDefault="008F7448" w:rsidP="008F7448">
      <w:pPr>
        <w:pStyle w:val="ListBullet"/>
      </w:pPr>
      <w:r w:rsidRPr="004C7BED">
        <w:t>costs of staff training.</w:t>
      </w:r>
    </w:p>
    <w:p w14:paraId="7159CF00" w14:textId="77777777" w:rsidR="008F7448" w:rsidRDefault="008F7448" w:rsidP="008F7448">
      <w:r w:rsidRPr="004C7BED">
        <w:t xml:space="preserve">Please see </w:t>
      </w:r>
      <w:r w:rsidRPr="00353C60">
        <w:rPr>
          <w:rStyle w:val="Bold"/>
        </w:rPr>
        <w:t>AASB</w:t>
      </w:r>
      <w:r w:rsidRPr="004C7BED">
        <w:t xml:space="preserve"> </w:t>
      </w:r>
      <w:r w:rsidRPr="00353C60">
        <w:rPr>
          <w:rStyle w:val="BookTitle"/>
        </w:rPr>
        <w:t>116</w:t>
      </w:r>
      <w:r w:rsidRPr="004C7BED">
        <w:t xml:space="preserve"> – </w:t>
      </w:r>
      <w:r w:rsidRPr="00F52F8A">
        <w:rPr>
          <w:i/>
        </w:rPr>
        <w:t>Property, plant and equipment</w:t>
      </w:r>
      <w:r w:rsidRPr="004C7BED">
        <w:t xml:space="preserve"> which provides more details of expenditure on property, plant and equipment that may and may not be capitalised. </w:t>
      </w:r>
    </w:p>
    <w:p w14:paraId="1D671EC0" w14:textId="77777777" w:rsidR="008F7448" w:rsidRPr="00353C60" w:rsidRDefault="008F7448" w:rsidP="008F7448">
      <w:pPr>
        <w:rPr>
          <w:rStyle w:val="Bold"/>
        </w:rPr>
      </w:pPr>
      <w:r w:rsidRPr="00353C60">
        <w:rPr>
          <w:rStyle w:val="Bold"/>
        </w:rPr>
        <w:t>Research and development</w:t>
      </w:r>
    </w:p>
    <w:p w14:paraId="18136705" w14:textId="77777777" w:rsidR="008F7448" w:rsidRDefault="008F7448" w:rsidP="008F7448">
      <w:r w:rsidRPr="004C7BED">
        <w:t xml:space="preserve">General research and development costs must be expensed or capitalised in accordance with </w:t>
      </w:r>
      <w:r w:rsidRPr="00353C60">
        <w:rPr>
          <w:rStyle w:val="Bold"/>
        </w:rPr>
        <w:t>AASB</w:t>
      </w:r>
      <w:r w:rsidRPr="004C7BED">
        <w:t xml:space="preserve"> </w:t>
      </w:r>
      <w:r w:rsidRPr="00353C60">
        <w:rPr>
          <w:rStyle w:val="BookTitle"/>
        </w:rPr>
        <w:t>138 – Intangible assets</w:t>
      </w:r>
      <w:r w:rsidRPr="004C7BED">
        <w:t xml:space="preserve">.  That is, expenditure on research must be expensed when it is incurred whilst expenditure on development can only be capitalised where it meets all the conditions listed at 57(a)-(f) of </w:t>
      </w:r>
      <w:r w:rsidRPr="00353C60">
        <w:rPr>
          <w:rStyle w:val="Bold"/>
        </w:rPr>
        <w:t>AASB</w:t>
      </w:r>
      <w:r w:rsidRPr="004C7BED">
        <w:t xml:space="preserve"> </w:t>
      </w:r>
      <w:r w:rsidRPr="00353C60">
        <w:rPr>
          <w:rStyle w:val="BookTitle"/>
        </w:rPr>
        <w:t>138 – Intangible assets</w:t>
      </w:r>
      <w:r w:rsidRPr="004C7BED">
        <w:t>.</w:t>
      </w:r>
    </w:p>
    <w:p w14:paraId="3B63F84B" w14:textId="77777777" w:rsidR="008F7448" w:rsidRPr="004C7BED" w:rsidRDefault="008F7448" w:rsidP="00685983">
      <w:pPr>
        <w:pStyle w:val="Heading3"/>
        <w:numPr>
          <w:ilvl w:val="2"/>
          <w:numId w:val="32"/>
        </w:numPr>
        <w:tabs>
          <w:tab w:val="left" w:pos="1021"/>
        </w:tabs>
        <w:ind w:left="1021" w:hanging="1021"/>
      </w:pPr>
      <w:bookmarkStart w:id="58" w:name="_Toc499898234"/>
      <w:bookmarkStart w:id="59" w:name="_Toc501379525"/>
      <w:r w:rsidRPr="004C7BED">
        <w:lastRenderedPageBreak/>
        <w:t>Asset life principles</w:t>
      </w:r>
      <w:bookmarkEnd w:id="58"/>
      <w:bookmarkEnd w:id="59"/>
    </w:p>
    <w:p w14:paraId="0539280C" w14:textId="77777777" w:rsidR="008F7448" w:rsidRPr="004C7BED" w:rsidRDefault="008F7448" w:rsidP="008F7448">
      <w:r w:rsidRPr="004C7BED">
        <w:t>Asset lives are relevant for the purposes of determining:</w:t>
      </w:r>
    </w:p>
    <w:p w14:paraId="7CC1FCD1" w14:textId="77777777" w:rsidR="008F7448" w:rsidRPr="004C7BED" w:rsidRDefault="008F7448" w:rsidP="008F7448">
      <w:pPr>
        <w:pStyle w:val="ListBullet"/>
      </w:pPr>
      <w:r w:rsidRPr="004C7BED">
        <w:t>depreciation expense in the Statement of Pipeline Revenue and Expenses; and</w:t>
      </w:r>
    </w:p>
    <w:p w14:paraId="390CE16D" w14:textId="77777777" w:rsidR="008F7448" w:rsidRPr="004C7BED" w:rsidRDefault="008F7448" w:rsidP="008F7448">
      <w:pPr>
        <w:pStyle w:val="ListBullet"/>
      </w:pPr>
      <w:r w:rsidRPr="004C7BED">
        <w:t>the carrying value of assets reported in the Statement of Pipeline Assets.</w:t>
      </w:r>
    </w:p>
    <w:p w14:paraId="3E30E40C" w14:textId="0864526C" w:rsidR="008F7448" w:rsidRDefault="008F7448" w:rsidP="008F7448">
      <w:r w:rsidRPr="0089611C">
        <w:rPr>
          <w:b/>
        </w:rPr>
        <w:t>Service providers</w:t>
      </w:r>
      <w:r w:rsidRPr="004C7BED">
        <w:t xml:space="preserve"> are required to disclose in worksheet 3.</w:t>
      </w:r>
      <w:r w:rsidR="0011257F">
        <w:t>1</w:t>
      </w:r>
      <w:r w:rsidRPr="004C7BED">
        <w:t xml:space="preserve"> of the </w:t>
      </w:r>
      <w:r w:rsidRPr="00353C60">
        <w:rPr>
          <w:rStyle w:val="Bold"/>
        </w:rPr>
        <w:t>financial reporting template</w:t>
      </w:r>
      <w:r w:rsidRPr="004C7BED">
        <w:t xml:space="preserve"> the asset life based on a range of standard lives for asset classes set out at Appendix </w:t>
      </w:r>
      <w:r>
        <w:t xml:space="preserve">A </w:t>
      </w:r>
      <w:r w:rsidRPr="004C7BED">
        <w:t>or, if a different asset life is considered appropriate, provide an explanation for the use of an alternative asset life</w:t>
      </w:r>
      <w:r w:rsidR="00961D5D">
        <w:t xml:space="preserve"> in the basis of preparation</w:t>
      </w:r>
      <w:r w:rsidRPr="004C7BED">
        <w:t xml:space="preserve">.  </w:t>
      </w:r>
    </w:p>
    <w:p w14:paraId="74A964D7" w14:textId="77777777" w:rsidR="008F7448" w:rsidRPr="00D42261" w:rsidRDefault="008F7448" w:rsidP="00685983">
      <w:pPr>
        <w:pStyle w:val="Heading3"/>
        <w:numPr>
          <w:ilvl w:val="2"/>
          <w:numId w:val="32"/>
        </w:numPr>
        <w:tabs>
          <w:tab w:val="left" w:pos="1021"/>
        </w:tabs>
        <w:ind w:left="1021" w:hanging="1021"/>
      </w:pPr>
      <w:bookmarkStart w:id="60" w:name="_Toc499898235"/>
      <w:bookmarkStart w:id="61" w:name="_Toc501379526"/>
      <w:r w:rsidRPr="00D42261">
        <w:t>Allocation principles</w:t>
      </w:r>
      <w:bookmarkEnd w:id="60"/>
      <w:bookmarkEnd w:id="61"/>
    </w:p>
    <w:p w14:paraId="218E8D0F" w14:textId="77777777" w:rsidR="008F7448" w:rsidRPr="00D42261" w:rsidRDefault="008F7448" w:rsidP="008F7448">
      <w:r w:rsidRPr="00D42261">
        <w:t xml:space="preserve">This section sets out the principles, methodology and arrangements </w:t>
      </w:r>
      <w:r w:rsidRPr="00353C60">
        <w:rPr>
          <w:rStyle w:val="Bold"/>
        </w:rPr>
        <w:t>service providers</w:t>
      </w:r>
      <w:r w:rsidRPr="00D42261">
        <w:t xml:space="preserve"> should adopt to determine:</w:t>
      </w:r>
    </w:p>
    <w:p w14:paraId="74C64326" w14:textId="7A59B023" w:rsidR="008F7448" w:rsidRPr="00D42261" w:rsidRDefault="008F7448" w:rsidP="008F7448">
      <w:pPr>
        <w:pStyle w:val="ListBullet"/>
      </w:pPr>
      <w:r w:rsidRPr="00D42261">
        <w:t>the allocation of costs to the pipeline, including direct costs and indirect (shared) costs for the purpose of completing the Statement o</w:t>
      </w:r>
      <w:r w:rsidR="00F52F8A">
        <w:t>f Pipeline Revenue and Expenses</w:t>
      </w:r>
      <w:r w:rsidRPr="00D42261">
        <w:t>;</w:t>
      </w:r>
    </w:p>
    <w:p w14:paraId="750B0CAD" w14:textId="77777777" w:rsidR="008F7448" w:rsidRPr="00D42261" w:rsidRDefault="008F7448" w:rsidP="008F7448">
      <w:pPr>
        <w:pStyle w:val="ListBullet"/>
      </w:pPr>
      <w:r w:rsidRPr="00D42261">
        <w:t>the allocation of revenues to the pipeline, and the allocation of revenue between the categories of service for the purpose of completing the Statement of Pipeline Revenue and Expenses; and</w:t>
      </w:r>
    </w:p>
    <w:p w14:paraId="43F23D10" w14:textId="77777777" w:rsidR="008F7448" w:rsidRPr="00D42261" w:rsidRDefault="008F7448" w:rsidP="008F7448">
      <w:pPr>
        <w:pStyle w:val="ListBullet"/>
      </w:pPr>
      <w:r w:rsidRPr="00D42261">
        <w:t>the allocation of assets to the pipeline for the purpose of completing the pipeline Statement of Pipeline Assets.</w:t>
      </w:r>
    </w:p>
    <w:p w14:paraId="3F1D5E29" w14:textId="4042C2F4" w:rsidR="008F7448" w:rsidRDefault="008F7448" w:rsidP="008F7448">
      <w:r w:rsidRPr="00D42261">
        <w:t xml:space="preserve">If the </w:t>
      </w:r>
      <w:r w:rsidRPr="00353C60">
        <w:rPr>
          <w:rStyle w:val="Bold"/>
        </w:rPr>
        <w:t>AER</w:t>
      </w:r>
      <w:r w:rsidRPr="00D42261">
        <w:t xml:space="preserve"> has previously approved an allocation method used by the </w:t>
      </w:r>
      <w:r w:rsidRPr="00353C60">
        <w:rPr>
          <w:rStyle w:val="Bold"/>
        </w:rPr>
        <w:t>service provider</w:t>
      </w:r>
      <w:r w:rsidRPr="00D42261">
        <w:t xml:space="preserve"> for a covered pipeline operated by the </w:t>
      </w:r>
      <w:r w:rsidRPr="00353C60">
        <w:rPr>
          <w:rStyle w:val="Bold"/>
        </w:rPr>
        <w:t>service provider</w:t>
      </w:r>
      <w:r w:rsidRPr="00D42261">
        <w:t xml:space="preserve"> the same allocation methodology should be used. If the </w:t>
      </w:r>
      <w:r w:rsidRPr="00353C60">
        <w:rPr>
          <w:rStyle w:val="Bold"/>
        </w:rPr>
        <w:t>service provider</w:t>
      </w:r>
      <w:r w:rsidRPr="00D42261">
        <w:t xml:space="preserve"> owns more than one non-scheme pipeline the same allocation methodology should be used for </w:t>
      </w:r>
      <w:r>
        <w:t>e</w:t>
      </w:r>
      <w:r w:rsidRPr="00D42261">
        <w:t>ach non-scheme pipeline.</w:t>
      </w:r>
    </w:p>
    <w:p w14:paraId="64B23272" w14:textId="77777777" w:rsidR="008F7448" w:rsidRPr="00353C60" w:rsidRDefault="008F7448" w:rsidP="008F7448">
      <w:pPr>
        <w:rPr>
          <w:rStyle w:val="Bold"/>
        </w:rPr>
      </w:pPr>
      <w:r w:rsidRPr="00353C60">
        <w:rPr>
          <w:rStyle w:val="Bold"/>
        </w:rPr>
        <w:t>General principles for allocation of costs</w:t>
      </w:r>
    </w:p>
    <w:p w14:paraId="23461A4E" w14:textId="77777777" w:rsidR="008F7448" w:rsidRPr="00D42261" w:rsidRDefault="008F7448" w:rsidP="008F7448">
      <w:r w:rsidRPr="00D42261">
        <w:t xml:space="preserve">Each </w:t>
      </w:r>
      <w:r w:rsidRPr="00353C60">
        <w:rPr>
          <w:rStyle w:val="Bold"/>
        </w:rPr>
        <w:t>service provider</w:t>
      </w:r>
      <w:r w:rsidRPr="00D42261">
        <w:t xml:space="preserve"> is responsible for developing the detailed principles and policies for attributing costs to a pipeline. </w:t>
      </w:r>
    </w:p>
    <w:p w14:paraId="536BE279" w14:textId="77777777" w:rsidR="008F7448" w:rsidRPr="00D42261" w:rsidRDefault="008F7448" w:rsidP="008F7448">
      <w:r w:rsidRPr="00D42261">
        <w:t xml:space="preserve">A </w:t>
      </w:r>
      <w:r w:rsidRPr="00353C60">
        <w:rPr>
          <w:rStyle w:val="Bold"/>
        </w:rPr>
        <w:t>service provider’s</w:t>
      </w:r>
      <w:r w:rsidRPr="00D42261">
        <w:t xml:space="preserve"> detailed principles and policies for attributing costs directly or indirectly to a pipeline must meet the following requirements:</w:t>
      </w:r>
    </w:p>
    <w:p w14:paraId="6CDC2860" w14:textId="77777777" w:rsidR="008F7448" w:rsidRPr="00D42261" w:rsidRDefault="008F7448" w:rsidP="008F7448">
      <w:pPr>
        <w:pStyle w:val="ListBullet"/>
      </w:pPr>
      <w:r w:rsidRPr="00D42261">
        <w:t>The allocation of costs must be determined according to the substance of a transaction or event rather than its legal form.</w:t>
      </w:r>
    </w:p>
    <w:p w14:paraId="5505E4B5" w14:textId="77777777" w:rsidR="008F7448" w:rsidRPr="00D42261" w:rsidRDefault="008F7448" w:rsidP="008F7448">
      <w:pPr>
        <w:pStyle w:val="ListBullet"/>
      </w:pPr>
      <w:r w:rsidRPr="00D42261">
        <w:t>Only the following costs may be allocated to a pipeline:</w:t>
      </w:r>
    </w:p>
    <w:p w14:paraId="5E23DB14" w14:textId="6F8C3021" w:rsidR="008F7448" w:rsidRPr="00D42261" w:rsidRDefault="008F7448" w:rsidP="006E578F">
      <w:pPr>
        <w:pStyle w:val="ListBullet"/>
        <w:numPr>
          <w:ilvl w:val="1"/>
          <w:numId w:val="10"/>
        </w:numPr>
        <w:ind w:left="1134" w:hanging="425"/>
      </w:pPr>
      <w:r w:rsidRPr="00D42261">
        <w:t>Costs that are directly attributable to the provision of services for the pipeline only (direct costs).</w:t>
      </w:r>
    </w:p>
    <w:p w14:paraId="20987A9D" w14:textId="7E434C57" w:rsidR="008F7448" w:rsidRPr="00D42261" w:rsidRDefault="008F7448" w:rsidP="006E578F">
      <w:pPr>
        <w:pStyle w:val="Bulletpoint2"/>
        <w:numPr>
          <w:ilvl w:val="1"/>
          <w:numId w:val="10"/>
        </w:numPr>
        <w:tabs>
          <w:tab w:val="clear" w:pos="680"/>
        </w:tabs>
        <w:ind w:left="1134" w:hanging="425"/>
      </w:pPr>
      <w:r w:rsidRPr="00D42261">
        <w:t>Costs that are not directly attributable to the provision of the pipeline’s services, but which are incurred in providing those services (</w:t>
      </w:r>
      <w:r>
        <w:t>shared</w:t>
      </w:r>
      <w:r w:rsidRPr="00D42261">
        <w:t xml:space="preserve"> costs), in which such costs must be allocated to the provision of those services using an appropriate allocator which should:</w:t>
      </w:r>
    </w:p>
    <w:p w14:paraId="14A4A58A" w14:textId="77777777" w:rsidR="008F7448" w:rsidRPr="00D42261" w:rsidRDefault="008F7448" w:rsidP="006E578F">
      <w:pPr>
        <w:pStyle w:val="Bulletpoint2"/>
        <w:numPr>
          <w:ilvl w:val="2"/>
          <w:numId w:val="9"/>
        </w:numPr>
        <w:tabs>
          <w:tab w:val="clear" w:pos="680"/>
        </w:tabs>
        <w:ind w:left="1701"/>
      </w:pPr>
      <w:r w:rsidRPr="00D42261">
        <w:lastRenderedPageBreak/>
        <w:t>except to the extent the cost is immaterial or a causal based method of allocation cannot be established without undue cost and effort, be causation based; and</w:t>
      </w:r>
    </w:p>
    <w:p w14:paraId="0B6F6412" w14:textId="77777777" w:rsidR="008F7448" w:rsidRPr="00D42261" w:rsidRDefault="008F7448" w:rsidP="006E578F">
      <w:pPr>
        <w:pStyle w:val="Bulletpoint2"/>
        <w:numPr>
          <w:ilvl w:val="2"/>
          <w:numId w:val="9"/>
        </w:numPr>
        <w:tabs>
          <w:tab w:val="clear" w:pos="680"/>
        </w:tabs>
        <w:ind w:left="1701"/>
      </w:pPr>
      <w:r w:rsidRPr="00D42261">
        <w:t>to the extent the cost is immaterial or a causal based method of allocation cannot be established without undue cost and effort, be an allocator that accords with a well-accepted cost allocation method.</w:t>
      </w:r>
    </w:p>
    <w:p w14:paraId="4B5EBE36" w14:textId="77777777" w:rsidR="008F7448" w:rsidRDefault="008F7448" w:rsidP="008F7448">
      <w:pPr>
        <w:pStyle w:val="ListBullet"/>
      </w:pPr>
      <w:r w:rsidRPr="00D42261">
        <w:t>The same cost must not be allocated more than once.</w:t>
      </w:r>
    </w:p>
    <w:p w14:paraId="0CB3F5E3" w14:textId="77777777" w:rsidR="008F7448" w:rsidRPr="00353C60" w:rsidRDefault="008F7448" w:rsidP="008F7448">
      <w:pPr>
        <w:rPr>
          <w:rStyle w:val="Bold"/>
        </w:rPr>
      </w:pPr>
      <w:r w:rsidRPr="00353C60">
        <w:rPr>
          <w:rStyle w:val="Bold"/>
        </w:rPr>
        <w:t>Information on methodology to be disclosed</w:t>
      </w:r>
    </w:p>
    <w:p w14:paraId="6EECB7E4" w14:textId="0BBABC39" w:rsidR="008F7448" w:rsidRPr="00D42261" w:rsidRDefault="008F7448" w:rsidP="008F7448">
      <w:r w:rsidRPr="00D42261">
        <w:t xml:space="preserve">The </w:t>
      </w:r>
      <w:r w:rsidRPr="00353C60">
        <w:rPr>
          <w:rStyle w:val="Bold"/>
        </w:rPr>
        <w:t>service provider</w:t>
      </w:r>
      <w:r w:rsidRPr="00D42261">
        <w:t xml:space="preserve"> must disclose in the</w:t>
      </w:r>
      <w:r w:rsidR="00961D5D" w:rsidRPr="00961D5D">
        <w:t xml:space="preserve"> </w:t>
      </w:r>
      <w:r w:rsidR="00961D5D">
        <w:t>basis of preparation</w:t>
      </w:r>
      <w:r w:rsidRPr="00D42261">
        <w:t>:</w:t>
      </w:r>
    </w:p>
    <w:p w14:paraId="0A578909" w14:textId="77777777" w:rsidR="008F7448" w:rsidRPr="00D42261" w:rsidRDefault="008F7448" w:rsidP="008F7448">
      <w:pPr>
        <w:pStyle w:val="ListBullet"/>
      </w:pPr>
      <w:r w:rsidRPr="00D42261">
        <w:t>How the direct costs have been identified, and how they are recorded and tracked in the financial management information systems.</w:t>
      </w:r>
    </w:p>
    <w:p w14:paraId="5B30E4A0" w14:textId="131D6F3D" w:rsidR="008F7448" w:rsidRPr="00D42261" w:rsidRDefault="008F7448" w:rsidP="008F7448">
      <w:pPr>
        <w:pStyle w:val="ListBullet"/>
      </w:pPr>
      <w:r w:rsidRPr="00D42261">
        <w:t xml:space="preserve">For </w:t>
      </w:r>
      <w:r>
        <w:t>shared</w:t>
      </w:r>
      <w:r w:rsidRPr="00D42261">
        <w:t xml:space="preserve"> costs:</w:t>
      </w:r>
    </w:p>
    <w:p w14:paraId="7DBFBD77" w14:textId="77777777" w:rsidR="008F7448" w:rsidRPr="00D42261" w:rsidRDefault="008F7448" w:rsidP="006E578F">
      <w:pPr>
        <w:pStyle w:val="ListBullet"/>
        <w:numPr>
          <w:ilvl w:val="1"/>
          <w:numId w:val="10"/>
        </w:numPr>
      </w:pPr>
      <w:r w:rsidRPr="00D42261">
        <w:t>the nature of the allocator, or allocators, to be used for allocating each cost item, the reasons for selecting the allocator, or allocators, for each cost item;</w:t>
      </w:r>
    </w:p>
    <w:p w14:paraId="3FD47B49" w14:textId="77777777" w:rsidR="008F7448" w:rsidRPr="00D42261" w:rsidRDefault="008F7448" w:rsidP="006E578F">
      <w:pPr>
        <w:pStyle w:val="Bulletpoint2"/>
        <w:numPr>
          <w:ilvl w:val="1"/>
          <w:numId w:val="10"/>
        </w:numPr>
        <w:tabs>
          <w:tab w:val="clear" w:pos="680"/>
        </w:tabs>
      </w:pPr>
      <w:r w:rsidRPr="00D42261">
        <w:t>an explanation of why the allocator or allocators used is the most appropriate available allocator, or set of allocators, for the cost item; and</w:t>
      </w:r>
    </w:p>
    <w:p w14:paraId="558A7F80" w14:textId="77777777" w:rsidR="008F7448" w:rsidRPr="00D42261" w:rsidRDefault="008F7448" w:rsidP="006E578F">
      <w:pPr>
        <w:pStyle w:val="Bulletpoint2"/>
        <w:numPr>
          <w:ilvl w:val="1"/>
          <w:numId w:val="10"/>
        </w:numPr>
        <w:tabs>
          <w:tab w:val="clear" w:pos="680"/>
        </w:tabs>
      </w:pPr>
      <w:r w:rsidRPr="00D42261">
        <w:t>the numeric quantity or percentage of the allocator to be applied for each cost item, including an explanation of how the numeric quantity or percentage has been calculated, including where the data for determining this numeric quantity or percentage have been sourced.</w:t>
      </w:r>
    </w:p>
    <w:p w14:paraId="3D4A457D" w14:textId="6FF194A5" w:rsidR="008F7448" w:rsidRPr="00D42261" w:rsidRDefault="008F7448" w:rsidP="008F7448">
      <w:r w:rsidRPr="00D42261">
        <w:t xml:space="preserve">The </w:t>
      </w:r>
      <w:r w:rsidRPr="00353C60">
        <w:rPr>
          <w:rStyle w:val="Bold"/>
        </w:rPr>
        <w:t>financial reporting template’s</w:t>
      </w:r>
      <w:r w:rsidRPr="00D42261">
        <w:t xml:space="preserve"> compliance with the allocation principles will need to be independently audited, as outlined in Section </w:t>
      </w:r>
      <w:r w:rsidR="00507356">
        <w:t>8</w:t>
      </w:r>
      <w:r w:rsidRPr="00D42261">
        <w:t>.</w:t>
      </w:r>
    </w:p>
    <w:p w14:paraId="6558AD24" w14:textId="0BEE18BD" w:rsidR="008F7448" w:rsidRPr="00353C60" w:rsidRDefault="008F7448" w:rsidP="008F7448">
      <w:pPr>
        <w:rPr>
          <w:rStyle w:val="Bold"/>
        </w:rPr>
      </w:pPr>
      <w:r w:rsidRPr="00353C60">
        <w:rPr>
          <w:rStyle w:val="Bold"/>
        </w:rPr>
        <w:t>General principles for allocation of revenue to a pipeline</w:t>
      </w:r>
    </w:p>
    <w:p w14:paraId="15F72B07" w14:textId="6B413520" w:rsidR="008F7448" w:rsidRPr="00D42261" w:rsidRDefault="008F7448" w:rsidP="008F7448">
      <w:r w:rsidRPr="00D42261">
        <w:t xml:space="preserve">Each </w:t>
      </w:r>
      <w:r w:rsidRPr="00353C60">
        <w:rPr>
          <w:rStyle w:val="Bold"/>
        </w:rPr>
        <w:t>service provider</w:t>
      </w:r>
      <w:r w:rsidRPr="00D42261">
        <w:t xml:space="preserve"> is responsible for developing the detailed principles and policies for attributing revenue to a pipeline. A </w:t>
      </w:r>
      <w:r w:rsidRPr="00353C60">
        <w:rPr>
          <w:rStyle w:val="Bold"/>
        </w:rPr>
        <w:t>service provider’s</w:t>
      </w:r>
      <w:r w:rsidRPr="00D42261">
        <w:t xml:space="preserve"> detailed principles and policies for attributing revenue directly or indirectly to a pipeline, and between categories of services, must meet the following requirements:</w:t>
      </w:r>
    </w:p>
    <w:p w14:paraId="463A6311" w14:textId="746A7B13" w:rsidR="008F7448" w:rsidRPr="00D42261" w:rsidRDefault="008F7448" w:rsidP="008F7448">
      <w:pPr>
        <w:pStyle w:val="ListBullet"/>
      </w:pPr>
      <w:r w:rsidRPr="00D42261">
        <w:t>All revenue directly earned by the pipeline must</w:t>
      </w:r>
      <w:r w:rsidR="009C7AC9">
        <w:t xml:space="preserve"> be allocated to the pipeline (direct revenue</w:t>
      </w:r>
      <w:r w:rsidRPr="00D42261">
        <w:t>).</w:t>
      </w:r>
    </w:p>
    <w:p w14:paraId="48F74D81" w14:textId="77777777" w:rsidR="008F7448" w:rsidRPr="00D42261" w:rsidRDefault="008F7448" w:rsidP="008F7448">
      <w:pPr>
        <w:pStyle w:val="ListBullet"/>
      </w:pPr>
      <w:r w:rsidRPr="00D42261">
        <w:t>Any revenue that is generated under agreements that do not separate the revenue by pipeline must be allocated to each pipeline using an appropriate allocator or allocators.</w:t>
      </w:r>
    </w:p>
    <w:p w14:paraId="52652EE5" w14:textId="06E42A3B" w:rsidR="008F7448" w:rsidRPr="00D42261" w:rsidRDefault="008F7448" w:rsidP="008F7448">
      <w:pPr>
        <w:pStyle w:val="ListBullet"/>
      </w:pPr>
      <w:r w:rsidRPr="00D42261">
        <w:t>Any other revenue that does not directly relate to a specific pipeline must be allocated to each pipeline using an approp</w:t>
      </w:r>
      <w:r w:rsidR="009C7AC9">
        <w:t>riate allocator or allocators (indirect revenue</w:t>
      </w:r>
      <w:r w:rsidRPr="00D42261">
        <w:t xml:space="preserve">). </w:t>
      </w:r>
    </w:p>
    <w:p w14:paraId="0EC4E9A7" w14:textId="77777777" w:rsidR="008F7448" w:rsidRPr="00D42261" w:rsidRDefault="008F7448" w:rsidP="008F7448">
      <w:pPr>
        <w:pStyle w:val="ListBullet"/>
      </w:pPr>
      <w:r w:rsidRPr="00D42261">
        <w:t xml:space="preserve">Allocation of revenue between pipelines must be based on a causal or well accepted allocation methodology. </w:t>
      </w:r>
    </w:p>
    <w:p w14:paraId="334452B5" w14:textId="7A34DED0" w:rsidR="008F7448" w:rsidRPr="00D42261" w:rsidRDefault="008F7448" w:rsidP="008F7448">
      <w:pPr>
        <w:pStyle w:val="ListBullet"/>
      </w:pPr>
      <w:r w:rsidRPr="00D42261">
        <w:t xml:space="preserve">For revenue that is indirect or relates to more than one pipeline, the </w:t>
      </w:r>
      <w:r w:rsidRPr="00353C60">
        <w:rPr>
          <w:rStyle w:val="Bold"/>
        </w:rPr>
        <w:t>service provider</w:t>
      </w:r>
      <w:r w:rsidRPr="00D42261">
        <w:t xml:space="preserve"> must disclose in the</w:t>
      </w:r>
      <w:r w:rsidR="00961D5D" w:rsidRPr="00961D5D">
        <w:t xml:space="preserve"> </w:t>
      </w:r>
      <w:r w:rsidR="00961D5D">
        <w:t>basis of preparation</w:t>
      </w:r>
      <w:r w:rsidRPr="00D42261">
        <w:t>:</w:t>
      </w:r>
    </w:p>
    <w:p w14:paraId="5F25B594" w14:textId="77777777" w:rsidR="008F7448" w:rsidRPr="00D42261" w:rsidRDefault="008F7448" w:rsidP="006E578F">
      <w:pPr>
        <w:pStyle w:val="ListBullet"/>
        <w:numPr>
          <w:ilvl w:val="1"/>
          <w:numId w:val="10"/>
        </w:numPr>
        <w:ind w:left="1134"/>
      </w:pPr>
      <w:r w:rsidRPr="00D42261">
        <w:lastRenderedPageBreak/>
        <w:t>the nature of the allocator, or allocators, to be used for allocating each revenue item, the reasons for selecting the allocator, or allocators, for each revenue item</w:t>
      </w:r>
    </w:p>
    <w:p w14:paraId="44B3E813" w14:textId="77777777" w:rsidR="008F7448" w:rsidRPr="00D42261" w:rsidRDefault="008F7448" w:rsidP="006E578F">
      <w:pPr>
        <w:pStyle w:val="Bulletpoint2"/>
        <w:numPr>
          <w:ilvl w:val="1"/>
          <w:numId w:val="10"/>
        </w:numPr>
        <w:tabs>
          <w:tab w:val="clear" w:pos="680"/>
        </w:tabs>
        <w:ind w:left="1134"/>
      </w:pPr>
      <w:r w:rsidRPr="00D42261">
        <w:t>an explanation of why the allocator or allocators used is the most appropriate available allocator, or set of allocators, for the revenue item; and</w:t>
      </w:r>
    </w:p>
    <w:p w14:paraId="44DAFDAA" w14:textId="77777777" w:rsidR="008F7448" w:rsidRPr="00D42261" w:rsidRDefault="008F7448" w:rsidP="006E578F">
      <w:pPr>
        <w:pStyle w:val="Bulletpoint2"/>
        <w:numPr>
          <w:ilvl w:val="1"/>
          <w:numId w:val="10"/>
        </w:numPr>
        <w:tabs>
          <w:tab w:val="clear" w:pos="680"/>
        </w:tabs>
        <w:ind w:left="1134"/>
      </w:pPr>
      <w:r w:rsidRPr="00D42261">
        <w:t>the numeric quantity or percentage of the allocator to be applied for each revenue item including an explanation of how the numeric quantity or percentage has been calculated, including where the data for determining this numeric quantity or percentage have been sourced.</w:t>
      </w:r>
    </w:p>
    <w:p w14:paraId="204237A7" w14:textId="77777777" w:rsidR="008F7448" w:rsidRPr="00353C60" w:rsidRDefault="008F7448" w:rsidP="008F7448">
      <w:pPr>
        <w:rPr>
          <w:rStyle w:val="Bold"/>
        </w:rPr>
      </w:pPr>
      <w:r w:rsidRPr="00353C60">
        <w:rPr>
          <w:rStyle w:val="Bold"/>
        </w:rPr>
        <w:t>General principles for allocation of assets to the Statement of Pipeline Assets</w:t>
      </w:r>
    </w:p>
    <w:p w14:paraId="275DD3CB" w14:textId="77777777" w:rsidR="008F7448" w:rsidRPr="00D42261" w:rsidRDefault="008F7448" w:rsidP="008F7448">
      <w:r w:rsidRPr="00D42261">
        <w:t xml:space="preserve">Each </w:t>
      </w:r>
      <w:r w:rsidRPr="00353C60">
        <w:rPr>
          <w:rStyle w:val="Bold"/>
        </w:rPr>
        <w:t>service provider</w:t>
      </w:r>
      <w:r w:rsidRPr="00D42261">
        <w:t xml:space="preserve"> is responsible for developing the detailed principles and policies for attributing assets directly or indirectly to a pipeline. A </w:t>
      </w:r>
      <w:r w:rsidRPr="00353C60">
        <w:rPr>
          <w:rStyle w:val="Bold"/>
        </w:rPr>
        <w:t>service provider’s</w:t>
      </w:r>
      <w:r w:rsidRPr="00D42261">
        <w:t xml:space="preserve"> detailed principles and policies for attributing assets directly or indirectly to a pipeline, and between categories of assets, must meet the following requirements:</w:t>
      </w:r>
    </w:p>
    <w:p w14:paraId="5592C938" w14:textId="77777777" w:rsidR="008F7448" w:rsidRPr="00D42261" w:rsidRDefault="008F7448" w:rsidP="008F7448">
      <w:pPr>
        <w:pStyle w:val="ListBullet"/>
      </w:pPr>
      <w:r w:rsidRPr="00D42261">
        <w:t>All assets directly used by a specific pipeline must be allocated to that pipeline.</w:t>
      </w:r>
    </w:p>
    <w:p w14:paraId="7B3E4534" w14:textId="77777777" w:rsidR="008F7448" w:rsidRPr="00D42261" w:rsidRDefault="008F7448" w:rsidP="008F7448">
      <w:pPr>
        <w:pStyle w:val="ListBullet"/>
      </w:pPr>
      <w:r w:rsidRPr="00D42261">
        <w:t>Any assets that are shared between pipelines must be allocated to each pipeline using an appropriate allocator or allocators.</w:t>
      </w:r>
    </w:p>
    <w:p w14:paraId="1EF1D042" w14:textId="77777777" w:rsidR="008F7448" w:rsidRPr="00D42261" w:rsidRDefault="008F7448" w:rsidP="008F7448">
      <w:pPr>
        <w:pStyle w:val="ListBullet"/>
      </w:pPr>
      <w:r w:rsidRPr="00D42261">
        <w:t>Allocation of assets between pipelines must be based on a causal or well accepted allocation methodology.</w:t>
      </w:r>
    </w:p>
    <w:p w14:paraId="3DCF2AE6" w14:textId="2BF0D301" w:rsidR="008F7448" w:rsidRPr="00D42261" w:rsidRDefault="009C7AC9" w:rsidP="008F7448">
      <w:pPr>
        <w:pStyle w:val="ListBullet"/>
      </w:pPr>
      <w:r>
        <w:t xml:space="preserve">For assets that are </w:t>
      </w:r>
      <w:r w:rsidR="008F7448" w:rsidRPr="00D42261">
        <w:t xml:space="preserve">shared assets the </w:t>
      </w:r>
      <w:r w:rsidR="008F7448" w:rsidRPr="00353C60">
        <w:rPr>
          <w:rStyle w:val="Bold"/>
        </w:rPr>
        <w:t>service provider</w:t>
      </w:r>
      <w:r w:rsidR="008F7448" w:rsidRPr="00D42261">
        <w:t xml:space="preserve"> must disclose in the</w:t>
      </w:r>
      <w:r w:rsidR="00961D5D" w:rsidRPr="00961D5D">
        <w:t xml:space="preserve"> </w:t>
      </w:r>
      <w:r w:rsidR="00961D5D">
        <w:t>basis of preparation</w:t>
      </w:r>
      <w:r w:rsidR="008F7448" w:rsidRPr="00D42261">
        <w:t>:</w:t>
      </w:r>
    </w:p>
    <w:p w14:paraId="4FAD98DD" w14:textId="77777777" w:rsidR="008F7448" w:rsidRPr="00D42261" w:rsidRDefault="008F7448" w:rsidP="006E578F">
      <w:pPr>
        <w:pStyle w:val="ListBullet"/>
        <w:numPr>
          <w:ilvl w:val="1"/>
          <w:numId w:val="10"/>
        </w:numPr>
        <w:ind w:left="1134"/>
      </w:pPr>
      <w:r>
        <w:t>t</w:t>
      </w:r>
      <w:r w:rsidRPr="00D42261">
        <w:t>he nature of the allocator, or allocators, to be used, the reasons for selecting the allocator, or allocators for each asset or liability;</w:t>
      </w:r>
    </w:p>
    <w:p w14:paraId="51CE31EC" w14:textId="77777777" w:rsidR="008F7448" w:rsidRPr="00D42261" w:rsidRDefault="008F7448" w:rsidP="006E578F">
      <w:pPr>
        <w:pStyle w:val="Bulletpoint2"/>
        <w:numPr>
          <w:ilvl w:val="1"/>
          <w:numId w:val="10"/>
        </w:numPr>
        <w:tabs>
          <w:tab w:val="clear" w:pos="680"/>
        </w:tabs>
        <w:ind w:left="1134"/>
      </w:pPr>
      <w:r w:rsidRPr="00D42261">
        <w:t>an explanation of why the allocator or allocators used is the most appropriate available allocator, or set of allocators, for the asset or liability; and</w:t>
      </w:r>
    </w:p>
    <w:p w14:paraId="6E5E0A31" w14:textId="77777777" w:rsidR="008F7448" w:rsidRDefault="008F7448" w:rsidP="006E578F">
      <w:pPr>
        <w:pStyle w:val="Bulletpoint2"/>
        <w:numPr>
          <w:ilvl w:val="1"/>
          <w:numId w:val="10"/>
        </w:numPr>
        <w:tabs>
          <w:tab w:val="clear" w:pos="680"/>
        </w:tabs>
        <w:ind w:left="1134"/>
      </w:pPr>
      <w:r w:rsidRPr="00D42261">
        <w:t>the numeric quantity or percentage of the allocator to be applied for each asset or liability including an explanation of how the numeric quantity or percentage has been calculated, including where the data for determining this numeric quantity or percentage has been sourced.</w:t>
      </w:r>
    </w:p>
    <w:p w14:paraId="28B9E360" w14:textId="77777777" w:rsidR="008F7448" w:rsidRPr="00C01824" w:rsidRDefault="008F7448" w:rsidP="00685983">
      <w:pPr>
        <w:pStyle w:val="Heading3"/>
        <w:numPr>
          <w:ilvl w:val="2"/>
          <w:numId w:val="32"/>
        </w:numPr>
        <w:tabs>
          <w:tab w:val="left" w:pos="1021"/>
        </w:tabs>
        <w:ind w:left="1021" w:hanging="1021"/>
      </w:pPr>
      <w:bookmarkStart w:id="62" w:name="_Ref492973701"/>
      <w:bookmarkStart w:id="63" w:name="_Ref492973803"/>
      <w:bookmarkStart w:id="64" w:name="_Ref492976021"/>
      <w:bookmarkStart w:id="65" w:name="_Toc499203030"/>
      <w:bookmarkStart w:id="66" w:name="_Toc499898236"/>
      <w:bookmarkStart w:id="67" w:name="_Toc501379527"/>
      <w:r w:rsidRPr="00C01824">
        <w:t>Depreciation principles</w:t>
      </w:r>
      <w:bookmarkEnd w:id="62"/>
      <w:bookmarkEnd w:id="63"/>
      <w:bookmarkEnd w:id="64"/>
      <w:bookmarkEnd w:id="65"/>
      <w:bookmarkEnd w:id="66"/>
      <w:bookmarkEnd w:id="67"/>
    </w:p>
    <w:p w14:paraId="7E54B12A" w14:textId="77777777" w:rsidR="008F7448" w:rsidRDefault="008F7448" w:rsidP="008F7448">
      <w:r w:rsidRPr="00C01824">
        <w:t xml:space="preserve">The </w:t>
      </w:r>
      <w:r w:rsidRPr="00353C60">
        <w:rPr>
          <w:rStyle w:val="Bold"/>
        </w:rPr>
        <w:t>depreciation</w:t>
      </w:r>
      <w:r w:rsidRPr="00C01824">
        <w:t xml:space="preserve"> principles set out the basis on which </w:t>
      </w:r>
      <w:r w:rsidRPr="00353C60">
        <w:rPr>
          <w:rStyle w:val="Bold"/>
        </w:rPr>
        <w:t>pipeline assets</w:t>
      </w:r>
      <w:r w:rsidRPr="00C01824">
        <w:t xml:space="preserve"> </w:t>
      </w:r>
      <w:r w:rsidRPr="000624B2">
        <w:t xml:space="preserve">and supporting assets </w:t>
      </w:r>
      <w:r w:rsidRPr="00C01824">
        <w:t xml:space="preserve">are to be depreciated. </w:t>
      </w:r>
    </w:p>
    <w:p w14:paraId="121D898D" w14:textId="0A8E964A" w:rsidR="008F7448" w:rsidRDefault="008F7448" w:rsidP="008F7448">
      <w:r>
        <w:t xml:space="preserve">Assets are required to be depreciated using methods prescribed under the </w:t>
      </w:r>
      <w:r w:rsidRPr="0089611C">
        <w:rPr>
          <w:b/>
        </w:rPr>
        <w:t>AASB</w:t>
      </w:r>
      <w:r w:rsidRPr="007E7F32">
        <w:t xml:space="preserve"> </w:t>
      </w:r>
      <w:r w:rsidRPr="000624B2">
        <w:t xml:space="preserve">based on </w:t>
      </w:r>
      <w:r w:rsidRPr="007E7F32">
        <w:t xml:space="preserve">asset lives set out in worksheet </w:t>
      </w:r>
      <w:r>
        <w:t>3.</w:t>
      </w:r>
      <w:r w:rsidR="001A7AE2">
        <w:t>1</w:t>
      </w:r>
      <w:r w:rsidRPr="007E7F32">
        <w:t>.</w:t>
      </w:r>
    </w:p>
    <w:p w14:paraId="1232B247" w14:textId="77777777" w:rsidR="008F7448" w:rsidRPr="00D42261" w:rsidRDefault="008F7448" w:rsidP="008F7448">
      <w:r>
        <w:t xml:space="preserve">The asset base </w:t>
      </w:r>
      <w:r w:rsidRPr="00D42261">
        <w:t xml:space="preserve">used to calculate </w:t>
      </w:r>
      <w:r w:rsidRPr="00353C60">
        <w:rPr>
          <w:rStyle w:val="Bold"/>
        </w:rPr>
        <w:t>depreciation</w:t>
      </w:r>
      <w:r w:rsidRPr="00D42261">
        <w:t xml:space="preserve"> for each class of asset includes:</w:t>
      </w:r>
    </w:p>
    <w:p w14:paraId="3DEE0F48" w14:textId="77777777" w:rsidR="008F7448" w:rsidRDefault="008F7448" w:rsidP="008F7448">
      <w:pPr>
        <w:pStyle w:val="ListBullet"/>
      </w:pPr>
      <w:r>
        <w:t>the construction or acquisition cost</w:t>
      </w:r>
    </w:p>
    <w:p w14:paraId="70CD0D8D" w14:textId="77777777" w:rsidR="008F7448" w:rsidRDefault="008F7448" w:rsidP="008F7448">
      <w:pPr>
        <w:pStyle w:val="ListBullet"/>
      </w:pPr>
      <w:r>
        <w:t>acquisitions</w:t>
      </w:r>
    </w:p>
    <w:p w14:paraId="058DD69C" w14:textId="77777777" w:rsidR="008F7448" w:rsidRDefault="008F7448" w:rsidP="008F7448">
      <w:pPr>
        <w:pStyle w:val="ListBullet"/>
      </w:pPr>
      <w:r>
        <w:t>capitalised maintenance</w:t>
      </w:r>
    </w:p>
    <w:p w14:paraId="2D6EBFDE" w14:textId="77777777" w:rsidR="008F7448" w:rsidRPr="00D42261" w:rsidRDefault="008F7448" w:rsidP="008F7448">
      <w:pPr>
        <w:pStyle w:val="ListBullet"/>
      </w:pPr>
      <w:r>
        <w:t>less disposals</w:t>
      </w:r>
    </w:p>
    <w:p w14:paraId="0CC36D09" w14:textId="77777777" w:rsidR="008F7448" w:rsidRPr="00D42261" w:rsidRDefault="008F7448" w:rsidP="008F7448">
      <w:pPr>
        <w:pStyle w:val="ListBullet"/>
      </w:pPr>
      <w:r>
        <w:lastRenderedPageBreak/>
        <w:t>less any impairments</w:t>
      </w:r>
      <w:r w:rsidRPr="00D42261">
        <w:t>.</w:t>
      </w:r>
    </w:p>
    <w:p w14:paraId="403AAD63" w14:textId="41B36E46" w:rsidR="008F7448" w:rsidRDefault="008F7448" w:rsidP="008F7448">
      <w:r>
        <w:t xml:space="preserve">Upward revaluations above the original cost base of any of the above items or the total asset base are not permitted in the </w:t>
      </w:r>
      <w:r w:rsidRPr="00273911">
        <w:t>Statement of Pipeline Assets</w:t>
      </w:r>
      <w:r w:rsidRPr="00D47302">
        <w:t xml:space="preserve">. </w:t>
      </w:r>
      <w:r>
        <w:t xml:space="preserve">Where assets are revalued by the </w:t>
      </w:r>
      <w:r w:rsidRPr="00353C60">
        <w:rPr>
          <w:rStyle w:val="Bold"/>
        </w:rPr>
        <w:t>service provider</w:t>
      </w:r>
      <w:r>
        <w:t xml:space="preserve">, these revaluations can be disclosed in </w:t>
      </w:r>
      <w:r w:rsidR="00363F79">
        <w:t xml:space="preserve">the </w:t>
      </w:r>
      <w:r w:rsidR="00E01704">
        <w:t>basis of preparation</w:t>
      </w:r>
      <w:r>
        <w:t xml:space="preserve">. </w:t>
      </w:r>
      <w:r w:rsidRPr="00CC5F14">
        <w:t xml:space="preserve">Where assets are impaired, the reasons for impairment </w:t>
      </w:r>
      <w:r>
        <w:t xml:space="preserve">should </w:t>
      </w:r>
      <w:r w:rsidRPr="00CC5F14">
        <w:t xml:space="preserve">be disclosed </w:t>
      </w:r>
      <w:r w:rsidR="00E01704">
        <w:t>in</w:t>
      </w:r>
      <w:r w:rsidR="00E01704" w:rsidRPr="00847CDE">
        <w:t xml:space="preserve"> worksheet 3.</w:t>
      </w:r>
      <w:r w:rsidR="00E01704">
        <w:t xml:space="preserve">2 and </w:t>
      </w:r>
      <w:r w:rsidRPr="00CC5F14">
        <w:t xml:space="preserve">in the </w:t>
      </w:r>
      <w:r w:rsidR="00E01704">
        <w:t>basis of preparation</w:t>
      </w:r>
      <w:r>
        <w:t>. Where impairments are reversed, the reasons for reversal</w:t>
      </w:r>
      <w:r w:rsidRPr="008749AF">
        <w:t xml:space="preserve"> </w:t>
      </w:r>
      <w:r>
        <w:t xml:space="preserve">should </w:t>
      </w:r>
      <w:r w:rsidRPr="00CC5F14">
        <w:t>be disclosed in the notes</w:t>
      </w:r>
      <w:r w:rsidRPr="00847CDE">
        <w:t xml:space="preserve"> at worksheet 3.</w:t>
      </w:r>
      <w:r w:rsidR="001A7AE2">
        <w:t>2</w:t>
      </w:r>
      <w:r>
        <w:t xml:space="preserve"> </w:t>
      </w:r>
      <w:r w:rsidR="00E01704">
        <w:t xml:space="preserve">and </w:t>
      </w:r>
      <w:r w:rsidR="00E01704" w:rsidRPr="00CC5F14">
        <w:t xml:space="preserve">in the </w:t>
      </w:r>
      <w:r w:rsidR="00E01704">
        <w:t xml:space="preserve">basis of preparation. The reasons for reversal must be </w:t>
      </w:r>
      <w:r>
        <w:t xml:space="preserve">in accordance with the </w:t>
      </w:r>
      <w:r w:rsidRPr="00E07BB1">
        <w:rPr>
          <w:rStyle w:val="Strong"/>
        </w:rPr>
        <w:t>AASB</w:t>
      </w:r>
      <w:r w:rsidRPr="00CC5F14">
        <w:t>.</w:t>
      </w:r>
    </w:p>
    <w:p w14:paraId="261A94DF" w14:textId="00F5B00D" w:rsidR="008F7448" w:rsidRDefault="008F7448" w:rsidP="008F7448">
      <w:r>
        <w:t>The useful life of the asset and the reason for choosing this useful life is required to be disclosed in worksheet 3.</w:t>
      </w:r>
      <w:r w:rsidR="001A7AE2">
        <w:t>1</w:t>
      </w:r>
      <w:r>
        <w:t xml:space="preserve"> of the </w:t>
      </w:r>
      <w:r w:rsidRPr="00353C60">
        <w:rPr>
          <w:rStyle w:val="Bold"/>
        </w:rPr>
        <w:t>financial reporting template</w:t>
      </w:r>
      <w:r w:rsidR="00961D5D" w:rsidRPr="001C2893">
        <w:rPr>
          <w:rStyle w:val="Bold"/>
          <w:b w:val="0"/>
        </w:rPr>
        <w:t xml:space="preserve"> and the </w:t>
      </w:r>
      <w:r w:rsidR="00961D5D" w:rsidRPr="00961D5D">
        <w:rPr>
          <w:rStyle w:val="Bold"/>
          <w:b w:val="0"/>
        </w:rPr>
        <w:t>basis of preparation</w:t>
      </w:r>
      <w:r>
        <w:t>. These should be consistent with asset life principles in Section 3.2.3.</w:t>
      </w:r>
    </w:p>
    <w:p w14:paraId="64CDE3AF" w14:textId="77777777" w:rsidR="008F7448" w:rsidRDefault="008F7448" w:rsidP="008F7448">
      <w:r>
        <w:t>Revaluation Models are not allowed.</w:t>
      </w:r>
    </w:p>
    <w:p w14:paraId="49A4A503" w14:textId="77777777" w:rsidR="008F7448" w:rsidRDefault="008F7448" w:rsidP="00685983">
      <w:pPr>
        <w:pStyle w:val="Heading3"/>
        <w:numPr>
          <w:ilvl w:val="2"/>
          <w:numId w:val="32"/>
        </w:numPr>
        <w:tabs>
          <w:tab w:val="left" w:pos="1021"/>
        </w:tabs>
        <w:ind w:left="1021" w:hanging="1021"/>
      </w:pPr>
      <w:bookmarkStart w:id="68" w:name="_Ref493792109"/>
      <w:bookmarkStart w:id="69" w:name="_Toc499203031"/>
      <w:bookmarkStart w:id="70" w:name="_Toc499898237"/>
      <w:bookmarkStart w:id="71" w:name="_Toc501379528"/>
      <w:r>
        <w:t>Related party transactions</w:t>
      </w:r>
      <w:bookmarkEnd w:id="68"/>
      <w:bookmarkEnd w:id="69"/>
      <w:bookmarkEnd w:id="70"/>
      <w:bookmarkEnd w:id="71"/>
      <w:r>
        <w:t xml:space="preserve"> </w:t>
      </w:r>
    </w:p>
    <w:p w14:paraId="4C5B4845" w14:textId="6C6F90CD" w:rsidR="008F7448" w:rsidRDefault="008F7448" w:rsidP="008F7448">
      <w:r w:rsidRPr="0089611C">
        <w:rPr>
          <w:b/>
        </w:rPr>
        <w:t>Related party</w:t>
      </w:r>
      <w:r>
        <w:t xml:space="preserve"> transactions where a pipeline transacts with a </w:t>
      </w:r>
      <w:r w:rsidRPr="00353C60">
        <w:rPr>
          <w:rStyle w:val="Bold"/>
        </w:rPr>
        <w:t xml:space="preserve">related </w:t>
      </w:r>
      <w:r>
        <w:rPr>
          <w:rStyle w:val="Bold"/>
        </w:rPr>
        <w:t>party</w:t>
      </w:r>
      <w:r>
        <w:t xml:space="preserve"> are required to be separately reported in the </w:t>
      </w:r>
      <w:r w:rsidRPr="00C0721C">
        <w:t>Statement o</w:t>
      </w:r>
      <w:r>
        <w:t xml:space="preserve">f Pipeline Revenue and Expenses, </w:t>
      </w:r>
      <w:r w:rsidRPr="00273911">
        <w:t>Statement of Pipeline Assets</w:t>
      </w:r>
      <w:r>
        <w:t xml:space="preserve"> and </w:t>
      </w:r>
      <w:r w:rsidR="00961D5D">
        <w:t>the basis of preparation</w:t>
      </w:r>
      <w:r>
        <w:t xml:space="preserve">. </w:t>
      </w:r>
    </w:p>
    <w:p w14:paraId="64F05349" w14:textId="2E9E8250" w:rsidR="008F7448" w:rsidRDefault="008E714E" w:rsidP="00685983">
      <w:pPr>
        <w:pStyle w:val="Heading2"/>
        <w:numPr>
          <w:ilvl w:val="1"/>
          <w:numId w:val="32"/>
        </w:numPr>
        <w:tabs>
          <w:tab w:val="left" w:pos="680"/>
        </w:tabs>
        <w:ind w:left="680" w:hanging="680"/>
      </w:pPr>
      <w:bookmarkStart w:id="72" w:name="_Toc501379529"/>
      <w:bookmarkStart w:id="73" w:name="_Toc499203032"/>
      <w:bookmarkStart w:id="74" w:name="_Toc499898238"/>
      <w:r>
        <w:t>Pipeline information and f</w:t>
      </w:r>
      <w:r w:rsidR="008F7448">
        <w:t>inancial performance</w:t>
      </w:r>
      <w:bookmarkEnd w:id="72"/>
      <w:r w:rsidR="008F7448">
        <w:t xml:space="preserve"> </w:t>
      </w:r>
      <w:bookmarkEnd w:id="73"/>
      <w:bookmarkEnd w:id="74"/>
    </w:p>
    <w:p w14:paraId="4A0710F1" w14:textId="1CD85377" w:rsidR="008E714E" w:rsidRDefault="008E714E" w:rsidP="008F7448">
      <w:pPr>
        <w:rPr>
          <w:rStyle w:val="Bold"/>
        </w:rPr>
      </w:pPr>
      <w:r w:rsidRPr="00353C60">
        <w:rPr>
          <w:rStyle w:val="Bold"/>
        </w:rPr>
        <w:t>Service providers</w:t>
      </w:r>
      <w:r>
        <w:t xml:space="preserve"> are required to report the</w:t>
      </w:r>
      <w:r w:rsidRPr="008E714E">
        <w:t xml:space="preserve"> details of the pipeline, </w:t>
      </w:r>
      <w:r>
        <w:t xml:space="preserve">pipeline </w:t>
      </w:r>
      <w:r w:rsidRPr="008E714E">
        <w:t>services provided and whether these services are prov</w:t>
      </w:r>
      <w:r>
        <w:t>ided to related parties and non-</w:t>
      </w:r>
      <w:r w:rsidRPr="008E714E">
        <w:t>related parties</w:t>
      </w:r>
      <w:r>
        <w:t xml:space="preserve"> in worksheet 1 of the </w:t>
      </w:r>
      <w:r w:rsidRPr="00353C60">
        <w:rPr>
          <w:rStyle w:val="Bold"/>
        </w:rPr>
        <w:t>financial reporting template</w:t>
      </w:r>
      <w:r>
        <w:rPr>
          <w:rStyle w:val="Bold"/>
        </w:rPr>
        <w:t>.</w:t>
      </w:r>
    </w:p>
    <w:p w14:paraId="72B7F7A6" w14:textId="0C21C1D9" w:rsidR="008F7448" w:rsidRDefault="008F7448" w:rsidP="008F7448">
      <w:r w:rsidRPr="00353C60">
        <w:rPr>
          <w:rStyle w:val="Bold"/>
        </w:rPr>
        <w:t>Service providers</w:t>
      </w:r>
      <w:r>
        <w:t xml:space="preserve"> are required to report the following financial performance metrics in the </w:t>
      </w:r>
      <w:r w:rsidRPr="00353C60">
        <w:rPr>
          <w:rStyle w:val="Bold"/>
        </w:rPr>
        <w:t>financial reporting template</w:t>
      </w:r>
      <w:r>
        <w:t>:</w:t>
      </w:r>
    </w:p>
    <w:p w14:paraId="16A49D3C" w14:textId="77777777" w:rsidR="008F7448" w:rsidRDefault="008F7448" w:rsidP="008F7448">
      <w:pPr>
        <w:pStyle w:val="ListBullet"/>
      </w:pPr>
      <w:r>
        <w:rPr>
          <w:rFonts w:hint="eastAsia"/>
        </w:rPr>
        <w:t>Return on assets (</w:t>
      </w:r>
      <w:r>
        <w:t>Earnings Before Interest and Tax (</w:t>
      </w:r>
      <w:r>
        <w:rPr>
          <w:rFonts w:hint="eastAsia"/>
        </w:rPr>
        <w:t>EBIT</w:t>
      </w:r>
      <w:r>
        <w:t>)</w:t>
      </w:r>
      <w:r>
        <w:rPr>
          <w:rFonts w:hint="eastAsia"/>
        </w:rPr>
        <w:t xml:space="preserve"> on total assets)</w:t>
      </w:r>
      <w:r>
        <w:t xml:space="preserve"> in worksheet 1.1.</w:t>
      </w:r>
    </w:p>
    <w:p w14:paraId="4430B913" w14:textId="77777777" w:rsidR="008F7448" w:rsidRDefault="008F7448" w:rsidP="008F7448">
      <w:r w:rsidRPr="00440352">
        <w:t>Return on assets is to be provided on a standalone pipeline basis.</w:t>
      </w:r>
    </w:p>
    <w:p w14:paraId="1C38E32C" w14:textId="77777777" w:rsidR="008F7448" w:rsidRDefault="008F7448" w:rsidP="00685983">
      <w:pPr>
        <w:pStyle w:val="Heading2"/>
        <w:keepNext/>
        <w:numPr>
          <w:ilvl w:val="1"/>
          <w:numId w:val="32"/>
        </w:numPr>
        <w:tabs>
          <w:tab w:val="left" w:pos="680"/>
        </w:tabs>
        <w:ind w:left="680" w:hanging="680"/>
      </w:pPr>
      <w:bookmarkStart w:id="75" w:name="_Toc499898239"/>
      <w:bookmarkStart w:id="76" w:name="_Toc501379530"/>
      <w:r>
        <w:t>Assurance</w:t>
      </w:r>
      <w:bookmarkEnd w:id="75"/>
      <w:bookmarkEnd w:id="76"/>
    </w:p>
    <w:p w14:paraId="4D6FDD95" w14:textId="708E2B63" w:rsidR="008F7448" w:rsidRPr="008A5851" w:rsidRDefault="008F7448" w:rsidP="008F7448">
      <w:r>
        <w:t xml:space="preserve">The financial statements for individual non-scheme pipelines must be </w:t>
      </w:r>
      <w:r w:rsidR="00363F79">
        <w:t>assured</w:t>
      </w:r>
      <w:r>
        <w:t xml:space="preserve"> by an independent auditor in the </w:t>
      </w:r>
      <w:r w:rsidR="009C7AC9">
        <w:t>manner specified in Section 8.2</w:t>
      </w:r>
      <w:r>
        <w:t xml:space="preserve"> and prepared in accordance with the access information standard discussed in Section 8.</w:t>
      </w:r>
      <w:r w:rsidR="001A7AE2">
        <w:t>1</w:t>
      </w:r>
      <w:r>
        <w:t>.</w:t>
      </w:r>
    </w:p>
    <w:p w14:paraId="57948BB9" w14:textId="77777777" w:rsidR="008F7448" w:rsidRPr="00D42261" w:rsidRDefault="008F7448" w:rsidP="00685983">
      <w:pPr>
        <w:pStyle w:val="Heading1"/>
        <w:pageBreakBefore/>
        <w:numPr>
          <w:ilvl w:val="0"/>
          <w:numId w:val="32"/>
        </w:numPr>
        <w:tabs>
          <w:tab w:val="left" w:pos="680"/>
        </w:tabs>
        <w:ind w:left="680" w:hanging="680"/>
      </w:pPr>
      <w:bookmarkStart w:id="77" w:name="_Ref493592391"/>
      <w:bookmarkStart w:id="78" w:name="_Toc499203034"/>
      <w:bookmarkStart w:id="79" w:name="_Toc499898240"/>
      <w:bookmarkStart w:id="80" w:name="_Toc501379531"/>
      <w:r w:rsidRPr="00D42261">
        <w:lastRenderedPageBreak/>
        <w:t xml:space="preserve">Asset valuation </w:t>
      </w:r>
      <w:bookmarkEnd w:id="77"/>
      <w:bookmarkEnd w:id="78"/>
      <w:r>
        <w:t>using the recovered capital method</w:t>
      </w:r>
      <w:bookmarkEnd w:id="79"/>
      <w:bookmarkEnd w:id="80"/>
    </w:p>
    <w:p w14:paraId="78C115F0" w14:textId="02AB6B0C" w:rsidR="008F7448" w:rsidRPr="00D47302" w:rsidRDefault="008F7448" w:rsidP="008F7448">
      <w:r>
        <w:t>The asset valuation method arising from the application of the method set out in r</w:t>
      </w:r>
      <w:r w:rsidR="005A3F1B">
        <w:t>.</w:t>
      </w:r>
      <w:r>
        <w:t xml:space="preserve"> 569(4)(b) (the recovered capital method) is required to be disclosed in worksheet 4 of the </w:t>
      </w:r>
      <w:r w:rsidRPr="00353C60">
        <w:rPr>
          <w:rStyle w:val="Bold"/>
        </w:rPr>
        <w:t>financial reporting template</w:t>
      </w:r>
      <w:r>
        <w:t xml:space="preserve"> but does not impact the asset values reported in the pipeline </w:t>
      </w:r>
      <w:r w:rsidRPr="00273911">
        <w:t>Statement of Pipeline Assets</w:t>
      </w:r>
      <w:r>
        <w:t xml:space="preserve"> </w:t>
      </w:r>
      <w:r w:rsidRPr="00D47302">
        <w:t>or</w:t>
      </w:r>
      <w:r>
        <w:t xml:space="preserve"> depreciation in the</w:t>
      </w:r>
      <w:r w:rsidRPr="00D47302">
        <w:t xml:space="preserve"> </w:t>
      </w:r>
      <w:r w:rsidRPr="00C0721C">
        <w:t>Statement o</w:t>
      </w:r>
      <w:r>
        <w:t>f Pipeline Revenue and Expenses</w:t>
      </w:r>
      <w:r w:rsidRPr="00D47302">
        <w:t>.</w:t>
      </w:r>
    </w:p>
    <w:p w14:paraId="2273A14F" w14:textId="77777777" w:rsidR="008F7448" w:rsidRPr="00D42261" w:rsidRDefault="008F7448" w:rsidP="008F7448">
      <w:r w:rsidRPr="00D42261">
        <w:t xml:space="preserve">Rule 569(4) of the </w:t>
      </w:r>
      <w:r w:rsidRPr="00353C60">
        <w:rPr>
          <w:rStyle w:val="Bold"/>
        </w:rPr>
        <w:t>NGR</w:t>
      </w:r>
      <w:r w:rsidRPr="00D42261">
        <w:t xml:space="preserve"> states that the value of any assets used in the provision of the pipeline service:</w:t>
      </w:r>
    </w:p>
    <w:p w14:paraId="490016C3" w14:textId="77777777" w:rsidR="008F7448" w:rsidRPr="00A3158F" w:rsidRDefault="008F7448" w:rsidP="00685983">
      <w:pPr>
        <w:pStyle w:val="Listalphabet"/>
        <w:numPr>
          <w:ilvl w:val="0"/>
          <w:numId w:val="33"/>
        </w:numPr>
        <w:tabs>
          <w:tab w:val="clear" w:pos="340"/>
          <w:tab w:val="left" w:pos="567"/>
        </w:tabs>
        <w:spacing w:line="276" w:lineRule="auto"/>
        <w:ind w:left="567" w:hanging="567"/>
      </w:pPr>
      <w:r w:rsidRPr="00A3158F">
        <w:t>must be determined using asset valuation techniques that are consistent with the objectives of this Part set out in rule 546(1); and</w:t>
      </w:r>
    </w:p>
    <w:p w14:paraId="2376001F" w14:textId="77777777" w:rsidR="008F7448" w:rsidRPr="00A3158F" w:rsidRDefault="008F7448" w:rsidP="006E578F">
      <w:pPr>
        <w:pStyle w:val="Listalphabet"/>
        <w:numPr>
          <w:ilvl w:val="0"/>
          <w:numId w:val="29"/>
        </w:numPr>
        <w:tabs>
          <w:tab w:val="clear" w:pos="340"/>
          <w:tab w:val="left" w:pos="567"/>
        </w:tabs>
        <w:spacing w:line="276" w:lineRule="auto"/>
        <w:ind w:left="567" w:hanging="567"/>
      </w:pPr>
      <w:r w:rsidRPr="00A3158F">
        <w:t>unless inconsistent with (a), the value of any assets is to be calculated as:</w:t>
      </w:r>
    </w:p>
    <w:p w14:paraId="00EF7178" w14:textId="18C9A796" w:rsidR="008F7448" w:rsidRPr="00D42261" w:rsidRDefault="008F7448" w:rsidP="00BC720E">
      <w:pPr>
        <w:pStyle w:val="ListLegal"/>
        <w:numPr>
          <w:ilvl w:val="3"/>
          <w:numId w:val="9"/>
        </w:numPr>
        <w:tabs>
          <w:tab w:val="clear" w:pos="680"/>
          <w:tab w:val="left" w:pos="1134"/>
        </w:tabs>
        <w:ind w:left="1134" w:hanging="567"/>
      </w:pPr>
      <w:r w:rsidRPr="00D42261">
        <w:t xml:space="preserve">the cost of construction of the pipeline and </w:t>
      </w:r>
      <w:r w:rsidRPr="00FE68C0">
        <w:rPr>
          <w:rStyle w:val="Bold"/>
        </w:rPr>
        <w:t>pipeline assets</w:t>
      </w:r>
      <w:r w:rsidRPr="00D42261">
        <w:t xml:space="preserve"> incurred before commissioning of the pipeline (including the cost of acquiring easements and other interests in land necessary for the establishment and operation of the pipeline);</w:t>
      </w:r>
    </w:p>
    <w:p w14:paraId="7CE0B1A7" w14:textId="77777777" w:rsidR="008F7448" w:rsidRDefault="008F7448" w:rsidP="008F7448">
      <w:r w:rsidRPr="00D42261">
        <w:tab/>
        <w:t>plus:</w:t>
      </w:r>
    </w:p>
    <w:p w14:paraId="530C4230" w14:textId="77777777" w:rsidR="008F7448" w:rsidRPr="00D42261" w:rsidRDefault="008F7448" w:rsidP="00BC720E">
      <w:pPr>
        <w:pStyle w:val="ListLegal"/>
        <w:numPr>
          <w:ilvl w:val="3"/>
          <w:numId w:val="9"/>
        </w:numPr>
        <w:tabs>
          <w:tab w:val="clear" w:pos="680"/>
          <w:tab w:val="left" w:pos="1134"/>
        </w:tabs>
        <w:ind w:left="1134" w:hanging="567"/>
      </w:pPr>
      <w:r w:rsidRPr="00D42261">
        <w:t xml:space="preserve">the amount of </w:t>
      </w:r>
      <w:r w:rsidRPr="00FE68C0">
        <w:rPr>
          <w:rStyle w:val="Bold"/>
        </w:rPr>
        <w:t>capital expenditure</w:t>
      </w:r>
      <w:r w:rsidRPr="00D42261">
        <w:t xml:space="preserve"> since the commissioning of the pipeline;</w:t>
      </w:r>
    </w:p>
    <w:p w14:paraId="18540DD2" w14:textId="77777777" w:rsidR="008F7448" w:rsidRPr="00D42261" w:rsidRDefault="008F7448" w:rsidP="008F7448">
      <w:r w:rsidRPr="00D42261">
        <w:tab/>
        <w:t>less:</w:t>
      </w:r>
    </w:p>
    <w:p w14:paraId="6BA2F7B8" w14:textId="77777777" w:rsidR="008F7448" w:rsidRDefault="008F7448" w:rsidP="00BC720E">
      <w:pPr>
        <w:pStyle w:val="ListLegal"/>
        <w:numPr>
          <w:ilvl w:val="3"/>
          <w:numId w:val="9"/>
        </w:numPr>
        <w:tabs>
          <w:tab w:val="clear" w:pos="680"/>
          <w:tab w:val="left" w:pos="1134"/>
        </w:tabs>
        <w:ind w:left="1134" w:hanging="567"/>
      </w:pPr>
      <w:r w:rsidRPr="00D42261">
        <w:t xml:space="preserve">the </w:t>
      </w:r>
      <w:r w:rsidRPr="00FE68C0">
        <w:rPr>
          <w:rStyle w:val="Bold"/>
        </w:rPr>
        <w:t>return of capital</w:t>
      </w:r>
      <w:r w:rsidRPr="00D42261">
        <w:t xml:space="preserve"> recovered since the commissioning of the pipeline; and</w:t>
      </w:r>
    </w:p>
    <w:p w14:paraId="66064427" w14:textId="77777777" w:rsidR="008F7448" w:rsidRDefault="008F7448" w:rsidP="00BC720E">
      <w:pPr>
        <w:pStyle w:val="ListLegal"/>
        <w:numPr>
          <w:ilvl w:val="3"/>
          <w:numId w:val="9"/>
        </w:numPr>
        <w:tabs>
          <w:tab w:val="clear" w:pos="680"/>
          <w:tab w:val="left" w:pos="1134"/>
        </w:tabs>
        <w:ind w:left="1134" w:hanging="567"/>
      </w:pPr>
      <w:r w:rsidRPr="00D42261">
        <w:t xml:space="preserve">the value of </w:t>
      </w:r>
      <w:r w:rsidRPr="00FE68C0">
        <w:rPr>
          <w:rStyle w:val="Bold"/>
        </w:rPr>
        <w:t>pipeline assets</w:t>
      </w:r>
      <w:r w:rsidRPr="00D42261">
        <w:t xml:space="preserve"> disposed of since the commissioning of the pipeline.</w:t>
      </w:r>
    </w:p>
    <w:p w14:paraId="1971852E" w14:textId="76857A6E" w:rsidR="008F7448" w:rsidRPr="000A12D6" w:rsidRDefault="008F7448" w:rsidP="008F7448">
      <w:r w:rsidRPr="000A12D6">
        <w:t>This asset valuation is one approach that may be considered in the event of an arbitration. In arbitration, the inputs and methodology to calculate should be assessed and reliance should not be placed on amounts pr</w:t>
      </w:r>
      <w:r w:rsidR="0089611C">
        <w:t xml:space="preserve">epared in accordance with this </w:t>
      </w:r>
      <w:r w:rsidR="0089611C" w:rsidRPr="0089611C">
        <w:rPr>
          <w:b/>
        </w:rPr>
        <w:t>G</w:t>
      </w:r>
      <w:r w:rsidRPr="0089611C">
        <w:rPr>
          <w:b/>
        </w:rPr>
        <w:t>uideline</w:t>
      </w:r>
      <w:r w:rsidRPr="000A12D6">
        <w:t>.</w:t>
      </w:r>
    </w:p>
    <w:p w14:paraId="330EF69A" w14:textId="77777777" w:rsidR="008F7448" w:rsidRPr="000A12D6" w:rsidRDefault="008F7448" w:rsidP="008F7448">
      <w:r w:rsidRPr="000A12D6">
        <w:t>The approach in this section should be considered in isolation from the guidance material provided in Section 3</w:t>
      </w:r>
      <w:r>
        <w:t xml:space="preserve"> </w:t>
      </w:r>
      <w:r w:rsidRPr="000A12D6">
        <w:t>for preparing the Pipeline Statement of Assets.</w:t>
      </w:r>
    </w:p>
    <w:p w14:paraId="601730F5" w14:textId="77777777" w:rsidR="008F7448" w:rsidRPr="000A12D6" w:rsidRDefault="008F7448" w:rsidP="008F7448">
      <w:r w:rsidRPr="000A12D6">
        <w:t xml:space="preserve">To determine the reported value of </w:t>
      </w:r>
      <w:r w:rsidRPr="00FE68C0">
        <w:rPr>
          <w:rStyle w:val="Bold"/>
        </w:rPr>
        <w:t>pipeline assets</w:t>
      </w:r>
      <w:r w:rsidRPr="000A12D6">
        <w:t xml:space="preserve"> under this method, </w:t>
      </w:r>
      <w:r w:rsidRPr="00FE68C0">
        <w:rPr>
          <w:rStyle w:val="Bold"/>
        </w:rPr>
        <w:t>service providers</w:t>
      </w:r>
      <w:r w:rsidRPr="000A12D6">
        <w:t xml:space="preserve"> are to complete the schedule at worksheet </w:t>
      </w:r>
      <w:r>
        <w:t>4</w:t>
      </w:r>
      <w:r w:rsidRPr="000A12D6">
        <w:t xml:space="preserve"> of the </w:t>
      </w:r>
      <w:r w:rsidRPr="00FE68C0">
        <w:rPr>
          <w:rStyle w:val="Bold"/>
        </w:rPr>
        <w:t>financial reporting template</w:t>
      </w:r>
      <w:r w:rsidRPr="000A12D6">
        <w:t>.</w:t>
      </w:r>
    </w:p>
    <w:p w14:paraId="74BE1DFD" w14:textId="4FA97887" w:rsidR="008F7448" w:rsidRDefault="008F7448" w:rsidP="008F7448">
      <w:r w:rsidRPr="000A12D6">
        <w:t xml:space="preserve">In preparing the </w:t>
      </w:r>
      <w:r w:rsidR="005A3F1B" w:rsidRPr="005A3F1B">
        <w:rPr>
          <w:b/>
        </w:rPr>
        <w:t>financial reporting</w:t>
      </w:r>
      <w:r w:rsidR="005A3F1B">
        <w:t xml:space="preserve"> </w:t>
      </w:r>
      <w:r w:rsidRPr="00FE68C0">
        <w:rPr>
          <w:rStyle w:val="Bold"/>
        </w:rPr>
        <w:t>template</w:t>
      </w:r>
      <w:r w:rsidRPr="000A12D6">
        <w:t xml:space="preserve">, </w:t>
      </w:r>
      <w:r w:rsidRPr="00FE68C0">
        <w:rPr>
          <w:rStyle w:val="Bold"/>
        </w:rPr>
        <w:t>service providers</w:t>
      </w:r>
      <w:r w:rsidRPr="000A12D6">
        <w:t xml:space="preserve"> are to provide the following:</w:t>
      </w:r>
    </w:p>
    <w:p w14:paraId="3C915DD5" w14:textId="77777777" w:rsidR="008F7448" w:rsidRPr="000A12D6" w:rsidRDefault="008F7448" w:rsidP="008F7448">
      <w:pPr>
        <w:pStyle w:val="ListBullet"/>
      </w:pPr>
      <w:r>
        <w:t xml:space="preserve">The construction date of the </w:t>
      </w:r>
      <w:r w:rsidRPr="00FE68C0">
        <w:rPr>
          <w:rStyle w:val="Bold"/>
        </w:rPr>
        <w:t>pipeline assets</w:t>
      </w:r>
      <w:r w:rsidRPr="000A12D6">
        <w:t>.</w:t>
      </w:r>
    </w:p>
    <w:p w14:paraId="2FC99603" w14:textId="77777777" w:rsidR="008F7448" w:rsidRPr="000A12D6" w:rsidRDefault="008F7448" w:rsidP="008F7448">
      <w:pPr>
        <w:pStyle w:val="ListBullet"/>
      </w:pPr>
      <w:r>
        <w:t xml:space="preserve">The </w:t>
      </w:r>
      <w:r w:rsidRPr="00940C9F">
        <w:rPr>
          <w:b/>
        </w:rPr>
        <w:t>construction cost</w:t>
      </w:r>
      <w:r>
        <w:t xml:space="preserve"> of the </w:t>
      </w:r>
      <w:r w:rsidRPr="00FE68C0">
        <w:rPr>
          <w:rStyle w:val="Bold"/>
        </w:rPr>
        <w:t>pipeline assets</w:t>
      </w:r>
      <w:r w:rsidRPr="000A12D6">
        <w:t>, by year. Where an asset has a required decommissioning cost (i.e. negative residual value), this should be included in the cost base.</w:t>
      </w:r>
    </w:p>
    <w:p w14:paraId="638CBE90" w14:textId="77777777" w:rsidR="008F7448" w:rsidRDefault="008F7448" w:rsidP="008F7448">
      <w:pPr>
        <w:pStyle w:val="ListBullet"/>
      </w:pPr>
      <w:r>
        <w:t>For shared assets:</w:t>
      </w:r>
    </w:p>
    <w:p w14:paraId="29779379" w14:textId="77777777" w:rsidR="008F7448" w:rsidRPr="000A12D6" w:rsidRDefault="008F7448" w:rsidP="00685983">
      <w:pPr>
        <w:pStyle w:val="ListLegal"/>
        <w:numPr>
          <w:ilvl w:val="0"/>
          <w:numId w:val="35"/>
        </w:numPr>
        <w:tabs>
          <w:tab w:val="clear" w:pos="680"/>
          <w:tab w:val="left" w:pos="1134"/>
        </w:tabs>
        <w:ind w:left="1134"/>
      </w:pPr>
      <w:r>
        <w:t xml:space="preserve">the </w:t>
      </w:r>
      <w:r w:rsidRPr="00940C9F">
        <w:rPr>
          <w:b/>
        </w:rPr>
        <w:t>construction cost</w:t>
      </w:r>
      <w:r w:rsidRPr="000A12D6">
        <w:t xml:space="preserve">, by year, if the asset is of a type constructed by </w:t>
      </w:r>
      <w:r w:rsidRPr="00FE68C0">
        <w:rPr>
          <w:rStyle w:val="Bold"/>
        </w:rPr>
        <w:t>service providers</w:t>
      </w:r>
      <w:r w:rsidRPr="000A12D6">
        <w:t>; or</w:t>
      </w:r>
    </w:p>
    <w:p w14:paraId="6B6157C7" w14:textId="77777777" w:rsidR="008F7448" w:rsidRPr="000A12D6" w:rsidRDefault="008F7448" w:rsidP="00685983">
      <w:pPr>
        <w:pStyle w:val="ListLegal"/>
        <w:numPr>
          <w:ilvl w:val="0"/>
          <w:numId w:val="35"/>
        </w:numPr>
        <w:tabs>
          <w:tab w:val="clear" w:pos="680"/>
          <w:tab w:val="left" w:pos="1134"/>
        </w:tabs>
        <w:ind w:left="1134"/>
      </w:pPr>
      <w:r>
        <w:lastRenderedPageBreak/>
        <w:t xml:space="preserve">the </w:t>
      </w:r>
      <w:r w:rsidRPr="000A12D6">
        <w:t xml:space="preserve">acquisition costs, by year, if the asset is not of a type constructed by </w:t>
      </w:r>
      <w:r w:rsidRPr="00BA51A2">
        <w:rPr>
          <w:b/>
        </w:rPr>
        <w:t>s</w:t>
      </w:r>
      <w:r w:rsidRPr="00FE68C0">
        <w:rPr>
          <w:rStyle w:val="Bold"/>
        </w:rPr>
        <w:t>ervice providers</w:t>
      </w:r>
      <w:r w:rsidRPr="000A12D6">
        <w:t xml:space="preserve"> (for example, motor vehicles and information technology equipment). For clarity, if a </w:t>
      </w:r>
      <w:r w:rsidRPr="0089611C">
        <w:rPr>
          <w:b/>
        </w:rPr>
        <w:t>service provider</w:t>
      </w:r>
      <w:r w:rsidRPr="000A12D6">
        <w:t xml:space="preserve"> does not build </w:t>
      </w:r>
      <w:r w:rsidRPr="0089611C">
        <w:rPr>
          <w:b/>
        </w:rPr>
        <w:t>pipeline assets</w:t>
      </w:r>
      <w:r w:rsidRPr="000A12D6">
        <w:t xml:space="preserve"> but acquires them, they are not able to use the acquisition cost of the asset but must use historical construction cost.</w:t>
      </w:r>
    </w:p>
    <w:p w14:paraId="107170CC" w14:textId="77777777" w:rsidR="008F7448" w:rsidRPr="000A12D6" w:rsidRDefault="008F7448" w:rsidP="00685983">
      <w:pPr>
        <w:pStyle w:val="ListLegal"/>
        <w:numPr>
          <w:ilvl w:val="0"/>
          <w:numId w:val="35"/>
        </w:numPr>
        <w:tabs>
          <w:tab w:val="clear" w:pos="680"/>
          <w:tab w:val="left" w:pos="1134"/>
        </w:tabs>
        <w:ind w:left="1134"/>
      </w:pPr>
      <w:r>
        <w:t xml:space="preserve">Shared assets are assets that support multiple pipeline operations rather than assets that are used for the operation of a single pipeline or other business operations. </w:t>
      </w:r>
    </w:p>
    <w:p w14:paraId="6B00ED31" w14:textId="77777777" w:rsidR="008F7448" w:rsidRPr="000A12D6" w:rsidRDefault="008F7448" w:rsidP="008F7448">
      <w:pPr>
        <w:pStyle w:val="ListBullet"/>
      </w:pPr>
      <w:r>
        <w:t xml:space="preserve">Any </w:t>
      </w:r>
      <w:r w:rsidRPr="00FE68C0">
        <w:rPr>
          <w:rStyle w:val="Bold"/>
        </w:rPr>
        <w:t>capital expenditure</w:t>
      </w:r>
      <w:r w:rsidRPr="000A12D6">
        <w:t xml:space="preserve"> that has been incurred, by year, and at cost.</w:t>
      </w:r>
    </w:p>
    <w:p w14:paraId="1D985BA7" w14:textId="77777777" w:rsidR="008F7448" w:rsidRPr="000A12D6" w:rsidRDefault="008F7448" w:rsidP="008F7448">
      <w:pPr>
        <w:pStyle w:val="ListBullet"/>
      </w:pPr>
      <w:r>
        <w:t xml:space="preserve">Any disposals of </w:t>
      </w:r>
      <w:r w:rsidRPr="00FE68C0">
        <w:rPr>
          <w:rStyle w:val="Bold"/>
        </w:rPr>
        <w:t>pipeline assets</w:t>
      </w:r>
      <w:r w:rsidRPr="000A12D6">
        <w:t>, by year, and at cost.</w:t>
      </w:r>
    </w:p>
    <w:p w14:paraId="7900CA0A" w14:textId="77777777" w:rsidR="008F7448" w:rsidRPr="000A12D6" w:rsidRDefault="008F7448" w:rsidP="008F7448">
      <w:pPr>
        <w:pStyle w:val="ListBullet"/>
      </w:pPr>
      <w:r>
        <w:t xml:space="preserve">The </w:t>
      </w:r>
      <w:r w:rsidRPr="00FE68C0">
        <w:rPr>
          <w:rStyle w:val="Bold"/>
        </w:rPr>
        <w:t>return of capital</w:t>
      </w:r>
      <w:r w:rsidRPr="000A12D6">
        <w:t xml:space="preserve"> calculated using the methodology provided below.</w:t>
      </w:r>
    </w:p>
    <w:p w14:paraId="77D7F477" w14:textId="77777777" w:rsidR="008F7448" w:rsidRPr="00CF253E" w:rsidRDefault="008F7448" w:rsidP="008F7448">
      <w:r w:rsidRPr="00CF253E">
        <w:t xml:space="preserve">The recovered capital method is designed to take into account the capital that has already been recovered by the </w:t>
      </w:r>
      <w:r w:rsidRPr="00FE68C0">
        <w:rPr>
          <w:rStyle w:val="Bold"/>
        </w:rPr>
        <w:t>service provider</w:t>
      </w:r>
      <w:r w:rsidRPr="00CF253E">
        <w:t xml:space="preserve"> and can be expressed formulaically as follows:</w:t>
      </w:r>
    </w:p>
    <w:p w14:paraId="32CA6727" w14:textId="77777777" w:rsidR="008F7448" w:rsidRPr="00CF253E" w:rsidRDefault="00BA13D2" w:rsidP="008F7448">
      <m:oMathPara>
        <m:oMath>
          <m:sSub>
            <m:sSubPr>
              <m:ctrlPr>
                <w:rPr>
                  <w:rFonts w:ascii="Cambria Math" w:hAnsi="Cambria Math"/>
                  <w:i/>
                </w:rPr>
              </m:ctrlPr>
            </m:sSubPr>
            <m:e>
              <m:r>
                <w:rPr>
                  <w:rFonts w:ascii="Cambria Math" w:hAnsi="Cambria Math"/>
                </w:rPr>
                <m:t>Value of Capital Base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 xml:space="preserve">Construction Cost </m:t>
              </m:r>
            </m:e>
            <m:sub>
              <m:r>
                <w:rPr>
                  <w:rFonts w:ascii="Cambria Math" w:hAnsi="Cambria Math"/>
                </w:rPr>
                <m:t>0</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Capex</m:t>
                  </m:r>
                </m:e>
                <m:sub>
                  <m:r>
                    <w:rPr>
                      <w:rFonts w:ascii="Cambria Math" w:hAnsi="Cambria Math"/>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Return of Capital</m:t>
                  </m:r>
                </m:e>
                <m:sub>
                  <m:r>
                    <w:rPr>
                      <w:rFonts w:ascii="Cambria Math" w:hAnsi="Cambria Math"/>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Asset Disposals</m:t>
                  </m:r>
                </m:e>
                <m:sub>
                  <m:r>
                    <w:rPr>
                      <w:rFonts w:ascii="Cambria Math" w:hAnsi="Cambria Math"/>
                    </w:rPr>
                    <m:t>i</m:t>
                  </m:r>
                </m:sub>
              </m:sSub>
            </m:e>
          </m:nary>
        </m:oMath>
      </m:oMathPara>
    </w:p>
    <w:p w14:paraId="19E408A1" w14:textId="77777777" w:rsidR="008F7448" w:rsidRPr="00CF253E" w:rsidRDefault="008F7448" w:rsidP="008F7448">
      <w:r w:rsidRPr="00483887">
        <w:t>Where</w:t>
      </w:r>
    </w:p>
    <w:p w14:paraId="5C2BCA93" w14:textId="77777777" w:rsidR="008F7448" w:rsidRPr="00CF253E" w:rsidRDefault="00BA13D2" w:rsidP="008F7448">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Return of Capital</m:t>
                  </m:r>
                </m:e>
                <m:sub>
                  <m:r>
                    <w:rPr>
                      <w:rFonts w:ascii="Cambria Math" w:hAnsi="Cambria Math"/>
                    </w:rPr>
                    <m:t>i</m:t>
                  </m:r>
                </m:sub>
              </m:sSub>
            </m:e>
          </m:nary>
          <m:r>
            <w:rPr>
              <w:rFonts w:ascii="Cambria Math" w:hAnsi="Cambria Math"/>
            </w:rPr>
            <m:t>=</m:t>
          </m:r>
          <m:r>
            <m:rPr>
              <m:sty m:val="p"/>
            </m:rPr>
            <w:rPr>
              <w:rFonts w:ascii="Cambria Math" w:hAnsi="Cambria Math"/>
            </w:rPr>
            <w:br/>
          </m:r>
        </m:oMath>
        <m:oMath>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Revenue</m:t>
                  </m:r>
                </m:e>
                <m:sub>
                  <m:r>
                    <w:rPr>
                      <w:rFonts w:ascii="Cambria Math" w:hAnsi="Cambria Math"/>
                    </w:rPr>
                    <m:t>i</m:t>
                  </m:r>
                </m:sub>
              </m:sSub>
              <m:r>
                <w:rPr>
                  <w:rFonts w:ascii="Cambria Math" w:hAnsi="Cambria Math"/>
                </w:rPr>
                <m:t>-</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Opex</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Return on Capital</m:t>
                              </m:r>
                            </m:e>
                            <m:sub>
                              <m:r>
                                <w:rPr>
                                  <w:rFonts w:ascii="Cambria Math" w:hAnsi="Cambria Math"/>
                                </w:rPr>
                                <m:t>i</m:t>
                              </m:r>
                            </m:sub>
                          </m:sSub>
                          <m:r>
                            <w:rPr>
                              <w:rFonts w:ascii="Cambria Math" w:hAnsi="Cambria Math"/>
                            </w:rPr>
                            <m:t>+</m:t>
                          </m:r>
                        </m:e>
                      </m:nary>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Net Tax Liabilities</m:t>
                              </m:r>
                            </m:e>
                            <m:sub>
                              <m:r>
                                <w:rPr>
                                  <w:rFonts w:ascii="Cambria Math" w:hAnsi="Cambria Math"/>
                                </w:rPr>
                                <m:t>i</m:t>
                              </m:r>
                            </m:sub>
                          </m:sSub>
                        </m:e>
                      </m:nary>
                    </m:e>
                  </m:nary>
                </m:e>
              </m:d>
            </m:e>
          </m:nary>
        </m:oMath>
      </m:oMathPara>
    </w:p>
    <w:p w14:paraId="719CC4CD" w14:textId="77777777" w:rsidR="000964CE" w:rsidRDefault="000964CE" w:rsidP="008F7448"/>
    <w:p w14:paraId="17074B30" w14:textId="77777777" w:rsidR="008F7448" w:rsidRPr="00CF253E" w:rsidRDefault="008F7448" w:rsidP="008F7448">
      <w:r w:rsidRPr="00CF253E">
        <w:t xml:space="preserve">The term </w:t>
      </w:r>
      <w:r w:rsidRPr="00FE68C0">
        <w:rPr>
          <w:rStyle w:val="Bold"/>
        </w:rPr>
        <w:t>return of capital</w:t>
      </w:r>
      <w:r w:rsidRPr="00CF253E">
        <w:t xml:space="preserve"> in this formula is used to refer to the change in the economic value of the asset and is equal to the difference between: </w:t>
      </w:r>
    </w:p>
    <w:p w14:paraId="0DDC257D" w14:textId="77777777" w:rsidR="008F7448" w:rsidRPr="00FE68C0" w:rsidRDefault="008F7448" w:rsidP="008F7448">
      <w:pPr>
        <w:pStyle w:val="ListBullet"/>
      </w:pPr>
      <w:r w:rsidRPr="00FE68C0">
        <w:t xml:space="preserve">the revenue earned by the </w:t>
      </w:r>
      <w:r w:rsidRPr="00FE68C0">
        <w:rPr>
          <w:rStyle w:val="Bold"/>
        </w:rPr>
        <w:t>service provider</w:t>
      </w:r>
      <w:r w:rsidRPr="00FE68C0">
        <w:t xml:space="preserve">; and </w:t>
      </w:r>
    </w:p>
    <w:p w14:paraId="5196F6F7" w14:textId="77777777" w:rsidR="008F7448" w:rsidRPr="00FE68C0" w:rsidRDefault="008F7448" w:rsidP="008F7448">
      <w:pPr>
        <w:pStyle w:val="ListBullet"/>
      </w:pPr>
      <w:r w:rsidRPr="00FE68C0">
        <w:t xml:space="preserve">the costs incurred by the </w:t>
      </w:r>
      <w:r w:rsidRPr="00FE68C0">
        <w:rPr>
          <w:rStyle w:val="Bold"/>
        </w:rPr>
        <w:t>service provider</w:t>
      </w:r>
      <w:r w:rsidRPr="00FE68C0">
        <w:t>, where costs include operating expenditure, net tax liabilities and a return on capital.</w:t>
      </w:r>
    </w:p>
    <w:p w14:paraId="278D314E" w14:textId="77777777" w:rsidR="008F7448" w:rsidRPr="00CF253E" w:rsidRDefault="008F7448" w:rsidP="008F7448">
      <w:r w:rsidRPr="00CF253E">
        <w:t xml:space="preserve">In order to calculate the </w:t>
      </w:r>
      <w:r w:rsidRPr="00FE68C0">
        <w:rPr>
          <w:rStyle w:val="Bold"/>
        </w:rPr>
        <w:t>return of capital</w:t>
      </w:r>
      <w:r w:rsidRPr="00CF253E">
        <w:t xml:space="preserve"> for </w:t>
      </w:r>
      <w:r w:rsidRPr="00FE68C0">
        <w:rPr>
          <w:rStyle w:val="Bold"/>
        </w:rPr>
        <w:t>pipeline assets</w:t>
      </w:r>
      <w:r w:rsidRPr="00CF253E">
        <w:t xml:space="preserve">, the </w:t>
      </w:r>
      <w:r w:rsidRPr="00FE68C0">
        <w:rPr>
          <w:rStyle w:val="Bold"/>
        </w:rPr>
        <w:t>service provider</w:t>
      </w:r>
      <w:r w:rsidRPr="00CF253E">
        <w:t xml:space="preserve"> will require the following information:</w:t>
      </w:r>
    </w:p>
    <w:p w14:paraId="6EA9536D" w14:textId="77777777" w:rsidR="008F7448" w:rsidRPr="00CF253E" w:rsidRDefault="008F7448" w:rsidP="008F7448">
      <w:pPr>
        <w:pStyle w:val="ListBullet"/>
      </w:pPr>
      <w:r w:rsidRPr="00CF253E">
        <w:t xml:space="preserve">the actual revenue earned by the </w:t>
      </w:r>
      <w:r w:rsidRPr="00FE68C0">
        <w:rPr>
          <w:rStyle w:val="Bold"/>
        </w:rPr>
        <w:t>service provider</w:t>
      </w:r>
      <w:r w:rsidRPr="00CF253E">
        <w:t xml:space="preserve"> from the provision of all services by the pipeline in each year following the construction of the asset;</w:t>
      </w:r>
    </w:p>
    <w:p w14:paraId="70F2717C" w14:textId="7A40CA3F" w:rsidR="008F7448" w:rsidRPr="00CF253E" w:rsidRDefault="008F7448" w:rsidP="008F7448">
      <w:pPr>
        <w:pStyle w:val="ListBullet"/>
      </w:pPr>
      <w:r w:rsidRPr="00CF253E">
        <w:t xml:space="preserve">the </w:t>
      </w:r>
      <w:r w:rsidRPr="00FE68C0">
        <w:rPr>
          <w:rStyle w:val="Bold"/>
        </w:rPr>
        <w:t>operating expenditure</w:t>
      </w:r>
      <w:r w:rsidRPr="00CF253E">
        <w:t xml:space="preserve"> incurred by the </w:t>
      </w:r>
      <w:r w:rsidRPr="00FE68C0">
        <w:rPr>
          <w:rStyle w:val="Bold"/>
        </w:rPr>
        <w:t>service provider</w:t>
      </w:r>
      <w:r w:rsidRPr="00CF253E">
        <w:t xml:space="preserve"> in each year following the construction of the asset;</w:t>
      </w:r>
    </w:p>
    <w:p w14:paraId="1FF889AD" w14:textId="77777777" w:rsidR="008F7448" w:rsidRPr="00CF253E" w:rsidRDefault="008F7448" w:rsidP="008F7448">
      <w:pPr>
        <w:pStyle w:val="ListBullet"/>
      </w:pPr>
      <w:r w:rsidRPr="00CF253E">
        <w:lastRenderedPageBreak/>
        <w:t xml:space="preserve">the net tax liabilities incurred by the </w:t>
      </w:r>
      <w:r w:rsidRPr="00FE68C0">
        <w:rPr>
          <w:rStyle w:val="Bold"/>
        </w:rPr>
        <w:t>service provider</w:t>
      </w:r>
      <w:r w:rsidRPr="00CF253E">
        <w:t xml:space="preserve"> in each year following the construction of the asset; and</w:t>
      </w:r>
    </w:p>
    <w:p w14:paraId="1CC66D6B" w14:textId="77777777" w:rsidR="008F7448" w:rsidRPr="00CF253E" w:rsidRDefault="008F7448" w:rsidP="008F7448">
      <w:pPr>
        <w:pStyle w:val="ListBullet"/>
      </w:pPr>
      <w:r w:rsidRPr="00CF253E">
        <w:t xml:space="preserve">the return on capital required by the </w:t>
      </w:r>
      <w:r w:rsidRPr="00FE68C0">
        <w:rPr>
          <w:rStyle w:val="Bold"/>
        </w:rPr>
        <w:t>service provider</w:t>
      </w:r>
      <w:r w:rsidRPr="00CF253E">
        <w:t xml:space="preserve"> in each year, which will require information on:</w:t>
      </w:r>
    </w:p>
    <w:p w14:paraId="036064DC" w14:textId="77777777" w:rsidR="008F7448" w:rsidRPr="00CF253E" w:rsidRDefault="008F7448" w:rsidP="00685983">
      <w:pPr>
        <w:pStyle w:val="Bulletpoint2"/>
        <w:numPr>
          <w:ilvl w:val="0"/>
          <w:numId w:val="38"/>
        </w:numPr>
        <w:tabs>
          <w:tab w:val="clear" w:pos="680"/>
        </w:tabs>
      </w:pPr>
      <w:r w:rsidRPr="00CF253E">
        <w:t xml:space="preserve">the closing value of the </w:t>
      </w:r>
      <w:r w:rsidRPr="00FE68C0">
        <w:rPr>
          <w:rStyle w:val="Bold"/>
        </w:rPr>
        <w:t>capital base</w:t>
      </w:r>
      <w:r w:rsidRPr="00CF253E">
        <w:t xml:space="preserve"> in each year</w:t>
      </w:r>
    </w:p>
    <w:p w14:paraId="240A0E3C" w14:textId="77777777" w:rsidR="008F7448" w:rsidRDefault="008F7448" w:rsidP="00685983">
      <w:pPr>
        <w:pStyle w:val="Bulletpoint2"/>
        <w:numPr>
          <w:ilvl w:val="0"/>
          <w:numId w:val="38"/>
        </w:numPr>
        <w:tabs>
          <w:tab w:val="clear" w:pos="680"/>
        </w:tabs>
      </w:pPr>
      <w:r w:rsidRPr="00CF253E">
        <w:t xml:space="preserve">the rate of return to be applied to the closing value of the </w:t>
      </w:r>
      <w:r w:rsidRPr="00FE68C0">
        <w:rPr>
          <w:rStyle w:val="Bold"/>
        </w:rPr>
        <w:t>capital base</w:t>
      </w:r>
      <w:r w:rsidRPr="00CF253E">
        <w:t xml:space="preserve"> from the immediately preceding year, which should be determined for each year and should be commensurate with the prevailing conditions in the market for funds and reflect the risks the </w:t>
      </w:r>
      <w:r w:rsidRPr="00FE68C0">
        <w:rPr>
          <w:rStyle w:val="Bold"/>
        </w:rPr>
        <w:t>service provider</w:t>
      </w:r>
      <w:r w:rsidRPr="00CF253E">
        <w:t xml:space="preserve"> faces in providing pipeline services.</w:t>
      </w:r>
    </w:p>
    <w:p w14:paraId="30D0E41F" w14:textId="77777777" w:rsidR="008F7448" w:rsidRPr="00CF253E" w:rsidRDefault="008F7448" w:rsidP="008F7448">
      <w:r w:rsidRPr="00CF253E">
        <w:t>Where relevant, the inputs used in this calculation should be subject to the same allocation principles as those used for the pipeline statements</w:t>
      </w:r>
      <w:r>
        <w:t xml:space="preserve"> as referred to in Section 3.</w:t>
      </w:r>
      <w:r w:rsidRPr="00CF253E">
        <w:t xml:space="preserve"> </w:t>
      </w:r>
    </w:p>
    <w:p w14:paraId="58CC484F" w14:textId="6934BAC5" w:rsidR="008F7448" w:rsidRDefault="008F7448" w:rsidP="008F7448">
      <w:r w:rsidRPr="00CF253E">
        <w:t xml:space="preserve">The source of information used in the calculation of the value of the </w:t>
      </w:r>
      <w:r w:rsidRPr="00FE68C0">
        <w:rPr>
          <w:rStyle w:val="Bold"/>
        </w:rPr>
        <w:t>capital base</w:t>
      </w:r>
      <w:r w:rsidRPr="00CF253E">
        <w:t xml:space="preserve"> should be documented in</w:t>
      </w:r>
      <w:r w:rsidR="00344554">
        <w:t xml:space="preserve"> the basis of preparation</w:t>
      </w:r>
      <w:r w:rsidRPr="00CF253E">
        <w:t>.</w:t>
      </w:r>
      <w:r>
        <w:t xml:space="preserve"> </w:t>
      </w:r>
    </w:p>
    <w:p w14:paraId="2FFEF0BE" w14:textId="4CEA294A" w:rsidR="008F7448" w:rsidRPr="00CF253E" w:rsidRDefault="008F7448" w:rsidP="008F7448">
      <w:r w:rsidRPr="00961D5D">
        <w:t xml:space="preserve">Capital expenditure </w:t>
      </w:r>
      <w:r w:rsidR="000028F3" w:rsidRPr="00961D5D">
        <w:t>amounts, which are more than 5% of the construction cost,</w:t>
      </w:r>
      <w:r w:rsidRPr="00961D5D">
        <w:t xml:space="preserve"> should be disclosed in worksheet </w:t>
      </w:r>
      <w:r w:rsidR="00BD2427" w:rsidRPr="00961D5D">
        <w:t>4.1</w:t>
      </w:r>
      <w:r w:rsidRPr="00961D5D">
        <w:t xml:space="preserve"> of the </w:t>
      </w:r>
      <w:r w:rsidRPr="00961D5D">
        <w:rPr>
          <w:rStyle w:val="Bold"/>
        </w:rPr>
        <w:t>financial reporting template</w:t>
      </w:r>
      <w:r w:rsidRPr="00961D5D">
        <w:t>.</w:t>
      </w:r>
    </w:p>
    <w:p w14:paraId="62666E08" w14:textId="77777777" w:rsidR="008F7448" w:rsidRDefault="008F7448" w:rsidP="008F7448">
      <w:r w:rsidRPr="00CF253E">
        <w:t xml:space="preserve">Note that under the recovered capital method, if a </w:t>
      </w:r>
      <w:r w:rsidRPr="00FE68C0">
        <w:rPr>
          <w:rStyle w:val="Bold"/>
        </w:rPr>
        <w:t>service provider</w:t>
      </w:r>
      <w:r w:rsidRPr="00CF253E">
        <w:t xml:space="preserve"> has not generated sufficient revenue to recover the operating expenditure, return on capital and net tax liabilities in a year, then the </w:t>
      </w:r>
      <w:r w:rsidRPr="00FE68C0">
        <w:rPr>
          <w:rStyle w:val="Bold"/>
        </w:rPr>
        <w:t>return of capital</w:t>
      </w:r>
      <w:r w:rsidRPr="00CF253E">
        <w:t xml:space="preserve"> value will be negative, which will increase the value of the capital base. </w:t>
      </w:r>
    </w:p>
    <w:p w14:paraId="0E980DEA" w14:textId="77777777" w:rsidR="008F7448" w:rsidRDefault="008F7448" w:rsidP="008F7448">
      <w:r w:rsidRPr="00CF253E">
        <w:t xml:space="preserve">Note that if the application of this approach produces a negative value for the </w:t>
      </w:r>
      <w:r w:rsidRPr="00FE68C0">
        <w:rPr>
          <w:rStyle w:val="Bold"/>
        </w:rPr>
        <w:t>capital base</w:t>
      </w:r>
      <w:r w:rsidRPr="00CF253E">
        <w:t xml:space="preserve">, then the value of the </w:t>
      </w:r>
      <w:r w:rsidRPr="00FE68C0">
        <w:rPr>
          <w:rStyle w:val="Bold"/>
        </w:rPr>
        <w:t>capital base</w:t>
      </w:r>
      <w:r w:rsidRPr="00CF253E">
        <w:t xml:space="preserve"> will be zero.</w:t>
      </w:r>
    </w:p>
    <w:p w14:paraId="04222FB2" w14:textId="77777777" w:rsidR="008F7448" w:rsidRPr="00CF253E" w:rsidRDefault="008F7448" w:rsidP="00685983">
      <w:pPr>
        <w:pStyle w:val="Heading2"/>
        <w:numPr>
          <w:ilvl w:val="1"/>
          <w:numId w:val="32"/>
        </w:numPr>
        <w:tabs>
          <w:tab w:val="left" w:pos="680"/>
        </w:tabs>
        <w:ind w:left="680" w:hanging="680"/>
      </w:pPr>
      <w:bookmarkStart w:id="81" w:name="_Toc499898241"/>
      <w:bookmarkStart w:id="82" w:name="_Toc501379532"/>
      <w:r w:rsidRPr="00CF253E">
        <w:t>Estimates</w:t>
      </w:r>
      <w:bookmarkEnd w:id="81"/>
      <w:bookmarkEnd w:id="82"/>
    </w:p>
    <w:p w14:paraId="2E8C7F6E" w14:textId="77777777" w:rsidR="008F7448" w:rsidRPr="00CF253E" w:rsidRDefault="008F7448" w:rsidP="008F7448">
      <w:r w:rsidRPr="00B83DCA">
        <w:rPr>
          <w:b/>
        </w:rPr>
        <w:t>Service providers</w:t>
      </w:r>
      <w:r w:rsidRPr="005D2F23">
        <w:t xml:space="preserve"> </w:t>
      </w:r>
      <w:r>
        <w:t>must</w:t>
      </w:r>
      <w:r w:rsidRPr="005D2F23">
        <w:t xml:space="preserve"> take all reasonable steps to obtain </w:t>
      </w:r>
      <w:r>
        <w:t>historical</w:t>
      </w:r>
      <w:r w:rsidRPr="005D2F23">
        <w:t xml:space="preserve"> information</w:t>
      </w:r>
      <w:r>
        <w:t xml:space="preserve">. </w:t>
      </w:r>
      <w:r w:rsidRPr="00CF253E">
        <w:t>Whil</w:t>
      </w:r>
      <w:r>
        <w:t>e</w:t>
      </w:r>
      <w:r w:rsidRPr="00CF253E">
        <w:t xml:space="preserve"> appropriate potential sources of information may differ for different pipelines, the following potential sources of information may be considered:</w:t>
      </w:r>
    </w:p>
    <w:p w14:paraId="5F01688A" w14:textId="77777777" w:rsidR="008F7448" w:rsidRPr="00CF253E" w:rsidRDefault="008F7448" w:rsidP="008F7448">
      <w:pPr>
        <w:pStyle w:val="ListBullet"/>
      </w:pPr>
      <w:r w:rsidRPr="00CF253E">
        <w:t>Where a pipeline has been acquired, requesting information from previous owners</w:t>
      </w:r>
    </w:p>
    <w:p w14:paraId="54145E35" w14:textId="77777777" w:rsidR="008F7448" w:rsidRDefault="008F7448" w:rsidP="008F7448">
      <w:pPr>
        <w:pStyle w:val="ListBullet"/>
      </w:pPr>
      <w:r w:rsidRPr="00CF253E">
        <w:t>Searches of historical media information</w:t>
      </w:r>
    </w:p>
    <w:p w14:paraId="2C6EFC8F" w14:textId="77777777" w:rsidR="008F7448" w:rsidRPr="00CF253E" w:rsidRDefault="008F7448" w:rsidP="008F7448">
      <w:pPr>
        <w:pStyle w:val="ListBullet"/>
      </w:pPr>
      <w:r w:rsidRPr="00CF253E">
        <w:t xml:space="preserve">Where a pipeline was previously regulated, information requests to the </w:t>
      </w:r>
      <w:r w:rsidRPr="00B83DCA">
        <w:rPr>
          <w:b/>
        </w:rPr>
        <w:t>AER</w:t>
      </w:r>
      <w:r w:rsidRPr="00CF253E">
        <w:t xml:space="preserve"> or ERA</w:t>
      </w:r>
    </w:p>
    <w:p w14:paraId="38DBC39B" w14:textId="77777777" w:rsidR="008F7448" w:rsidRPr="00CF253E" w:rsidRDefault="008F7448" w:rsidP="008F7448">
      <w:pPr>
        <w:pStyle w:val="ListBullet"/>
      </w:pPr>
      <w:r w:rsidRPr="00CF253E">
        <w:t xml:space="preserve">Freedom of Information requests to the Australian Taxation Office </w:t>
      </w:r>
    </w:p>
    <w:p w14:paraId="61EBD9FD" w14:textId="77777777" w:rsidR="008F7448" w:rsidRPr="00CF253E" w:rsidRDefault="008F7448" w:rsidP="008F7448">
      <w:pPr>
        <w:pStyle w:val="ListBullet"/>
      </w:pPr>
      <w:r w:rsidRPr="00CF253E">
        <w:t>ASX announcements</w:t>
      </w:r>
    </w:p>
    <w:p w14:paraId="3016A018" w14:textId="77777777" w:rsidR="008F7448" w:rsidRPr="00CF253E" w:rsidRDefault="008F7448" w:rsidP="008F7448">
      <w:pPr>
        <w:pStyle w:val="ListBullet"/>
      </w:pPr>
      <w:r w:rsidRPr="00CF253E">
        <w:t>ASIC register searches</w:t>
      </w:r>
    </w:p>
    <w:p w14:paraId="6F0882BF" w14:textId="26EE1719" w:rsidR="008F7448" w:rsidRDefault="008F7448" w:rsidP="008F7448">
      <w:pPr>
        <w:pStyle w:val="ListBullet"/>
      </w:pPr>
      <w:r w:rsidRPr="00CF253E">
        <w:t>Information requests to other parties involved in pipeline construction such as building contractors and materials suppliers</w:t>
      </w:r>
      <w:r w:rsidR="009C7AC9">
        <w:t>.</w:t>
      </w:r>
    </w:p>
    <w:p w14:paraId="348CC4E9" w14:textId="16F8D368" w:rsidR="008F7448" w:rsidRPr="00165A94" w:rsidRDefault="008F7448" w:rsidP="008F7448">
      <w:r w:rsidRPr="00165A94">
        <w:t xml:space="preserve">If having taken all reasonable steps to obtain the historic information, </w:t>
      </w:r>
      <w:r w:rsidRPr="0089611C">
        <w:rPr>
          <w:b/>
        </w:rPr>
        <w:t>service providers</w:t>
      </w:r>
      <w:r w:rsidRPr="00165A94">
        <w:t xml:space="preserve"> are unable to </w:t>
      </w:r>
      <w:r>
        <w:t>locate</w:t>
      </w:r>
      <w:r w:rsidRPr="00165A94">
        <w:t xml:space="preserve"> the </w:t>
      </w:r>
      <w:r>
        <w:t>historical</w:t>
      </w:r>
      <w:r w:rsidRPr="00165A94">
        <w:t xml:space="preserve"> information, </w:t>
      </w:r>
      <w:r>
        <w:t xml:space="preserve">they may estimate the relevant information and </w:t>
      </w:r>
      <w:r w:rsidRPr="0089611C">
        <w:rPr>
          <w:b/>
        </w:rPr>
        <w:t>service providers</w:t>
      </w:r>
      <w:r>
        <w:t xml:space="preserve"> must </w:t>
      </w:r>
      <w:r w:rsidRPr="00165A94">
        <w:t>document in a basis of preparation:</w:t>
      </w:r>
    </w:p>
    <w:p w14:paraId="176AEB4D" w14:textId="77777777" w:rsidR="008F7448" w:rsidRPr="00165A94" w:rsidRDefault="008F7448" w:rsidP="008F7448">
      <w:pPr>
        <w:pStyle w:val="ListBullet"/>
      </w:pPr>
      <w:r>
        <w:t>t</w:t>
      </w:r>
      <w:r w:rsidRPr="00165A94">
        <w:t xml:space="preserve">he steps taken to locate the </w:t>
      </w:r>
      <w:r>
        <w:t>historical information; and</w:t>
      </w:r>
    </w:p>
    <w:p w14:paraId="7BD1957A" w14:textId="77777777" w:rsidR="008F7448" w:rsidRPr="00165A94" w:rsidRDefault="008F7448" w:rsidP="008F7448">
      <w:pPr>
        <w:pStyle w:val="ListBullet"/>
      </w:pPr>
      <w:r>
        <w:lastRenderedPageBreak/>
        <w:t>h</w:t>
      </w:r>
      <w:r w:rsidRPr="00165A94">
        <w:t>ow the estimate was arrived at including any methods</w:t>
      </w:r>
      <w:r>
        <w:t xml:space="preserve">, principles, inputs and </w:t>
      </w:r>
      <w:r w:rsidRPr="00165A94">
        <w:t>assumptions that have been used</w:t>
      </w:r>
      <w:r>
        <w:t xml:space="preserve"> to develop the estimate.</w:t>
      </w:r>
    </w:p>
    <w:p w14:paraId="228D86F3" w14:textId="77777777" w:rsidR="009C7AC9" w:rsidRDefault="009C7AC9" w:rsidP="009C7AC9">
      <w:r>
        <w:t>The following process must be followed and documented in the basis or preparation:</w:t>
      </w:r>
    </w:p>
    <w:p w14:paraId="2A7ED92B" w14:textId="3C7C24EF" w:rsidR="009C7AC9" w:rsidRDefault="00280DFE" w:rsidP="009C7AC9">
      <w:pPr>
        <w:pStyle w:val="ListBullet"/>
      </w:pPr>
      <w:r>
        <w:t xml:space="preserve">where </w:t>
      </w:r>
      <w:r w:rsidR="009C7AC9">
        <w:t>source documents are available, they have been considered</w:t>
      </w:r>
    </w:p>
    <w:p w14:paraId="5F5E05A2" w14:textId="79B6B8E1" w:rsidR="009C7AC9" w:rsidRDefault="00280DFE" w:rsidP="009C7AC9">
      <w:pPr>
        <w:pStyle w:val="ListBullet"/>
      </w:pPr>
      <w:r>
        <w:t xml:space="preserve">if </w:t>
      </w:r>
      <w:r w:rsidR="009C7AC9">
        <w:t xml:space="preserve">source documents are not used, </w:t>
      </w:r>
      <w:r w:rsidR="00B83DCA">
        <w:t xml:space="preserve">the </w:t>
      </w:r>
      <w:r w:rsidR="009C7AC9">
        <w:t xml:space="preserve">reasons </w:t>
      </w:r>
      <w:r w:rsidR="00B83DCA">
        <w:t>why</w:t>
      </w:r>
    </w:p>
    <w:p w14:paraId="350B0ED7" w14:textId="29CCD4D9" w:rsidR="009C7AC9" w:rsidRDefault="00280DFE" w:rsidP="009C7AC9">
      <w:pPr>
        <w:pStyle w:val="ListBullet"/>
      </w:pPr>
      <w:r>
        <w:t xml:space="preserve">if </w:t>
      </w:r>
      <w:r w:rsidR="009C7AC9">
        <w:t xml:space="preserve">source documents are unavailable, the process undertaken to attempt to locate them </w:t>
      </w:r>
    </w:p>
    <w:p w14:paraId="044512AB" w14:textId="320E62AC" w:rsidR="009C7AC9" w:rsidRDefault="00280DFE" w:rsidP="009C7AC9">
      <w:pPr>
        <w:pStyle w:val="ListBullet"/>
      </w:pPr>
      <w:r>
        <w:t xml:space="preserve">where </w:t>
      </w:r>
      <w:r w:rsidR="009C7AC9">
        <w:t xml:space="preserve">estimates are used, the estimates applied and the rationale for determining a particular estimate </w:t>
      </w:r>
    </w:p>
    <w:p w14:paraId="700F1AEE" w14:textId="6CFB48BF" w:rsidR="009C7AC9" w:rsidRDefault="00280DFE" w:rsidP="009C7AC9">
      <w:pPr>
        <w:pStyle w:val="ListBullet"/>
      </w:pPr>
      <w:r>
        <w:t xml:space="preserve">the </w:t>
      </w:r>
      <w:r w:rsidR="009C7AC9">
        <w:t xml:space="preserve">methodology applied to obtain the amount used in the </w:t>
      </w:r>
      <w:r w:rsidRPr="00280DFE">
        <w:rPr>
          <w:b/>
        </w:rPr>
        <w:t>financial reporting template</w:t>
      </w:r>
      <w:r>
        <w:rPr>
          <w:b/>
        </w:rPr>
        <w:t>,</w:t>
      </w:r>
      <w:r w:rsidR="009C7AC9">
        <w:t xml:space="preserve"> consistent with </w:t>
      </w:r>
      <w:r>
        <w:t xml:space="preserve">this </w:t>
      </w:r>
      <w:r w:rsidR="009C7AC9">
        <w:t xml:space="preserve">Section 4 of the </w:t>
      </w:r>
      <w:r w:rsidR="009C7AC9" w:rsidRPr="00280DFE">
        <w:rPr>
          <w:b/>
        </w:rPr>
        <w:t>Guideline</w:t>
      </w:r>
      <w:r w:rsidR="009C7AC9">
        <w:t>.</w:t>
      </w:r>
    </w:p>
    <w:p w14:paraId="3721D269" w14:textId="77777777" w:rsidR="008F7448" w:rsidRDefault="008F7448" w:rsidP="008F7448">
      <w:pPr>
        <w:pStyle w:val="Bulletpoint"/>
        <w:numPr>
          <w:ilvl w:val="0"/>
          <w:numId w:val="0"/>
        </w:numPr>
      </w:pPr>
      <w:r>
        <w:t>W</w:t>
      </w:r>
      <w:r w:rsidRPr="006764F7">
        <w:t xml:space="preserve">hile it may be necessary to utilise estimates </w:t>
      </w:r>
      <w:r>
        <w:t xml:space="preserve">initially in relation to unavailable </w:t>
      </w:r>
      <w:r w:rsidRPr="006764F7">
        <w:t xml:space="preserve">historic information, </w:t>
      </w:r>
      <w:r w:rsidRPr="0089611C">
        <w:rPr>
          <w:b/>
        </w:rPr>
        <w:t>service providers</w:t>
      </w:r>
      <w:r w:rsidRPr="006764F7">
        <w:t xml:space="preserve"> </w:t>
      </w:r>
      <w:r>
        <w:t xml:space="preserve">must </w:t>
      </w:r>
      <w:r w:rsidRPr="006764F7">
        <w:t xml:space="preserve">utilise actual information on </w:t>
      </w:r>
      <w:r w:rsidRPr="0089611C">
        <w:rPr>
          <w:b/>
        </w:rPr>
        <w:t>capital expenditure</w:t>
      </w:r>
      <w:r w:rsidRPr="006764F7">
        <w:t xml:space="preserve">, asset disposals and the </w:t>
      </w:r>
      <w:r w:rsidRPr="0089611C">
        <w:rPr>
          <w:b/>
        </w:rPr>
        <w:t>return of capital</w:t>
      </w:r>
      <w:r>
        <w:t xml:space="preserve"> to update the asset value in future years</w:t>
      </w:r>
      <w:r w:rsidRPr="006764F7">
        <w:t xml:space="preserve">. </w:t>
      </w:r>
    </w:p>
    <w:p w14:paraId="2791DEDD" w14:textId="3C4D01EC" w:rsidR="008F7448" w:rsidRDefault="00D031B3" w:rsidP="008F7448">
      <w:pPr>
        <w:pStyle w:val="Bulletpoint"/>
        <w:numPr>
          <w:ilvl w:val="0"/>
          <w:numId w:val="0"/>
        </w:numPr>
      </w:pPr>
      <w:r w:rsidRPr="00D031B3">
        <w:t xml:space="preserve">If a pipeline was previously regulated and a determination made on the asset value, the </w:t>
      </w:r>
      <w:r w:rsidRPr="00D031B3">
        <w:rPr>
          <w:b/>
        </w:rPr>
        <w:t>service provider</w:t>
      </w:r>
      <w:r w:rsidRPr="00D031B3">
        <w:t xml:space="preserve"> may use this as the opening balance for the calculation under this method from the date the determination was made and to roll it forward using the method set out in the </w:t>
      </w:r>
      <w:r w:rsidR="0089611C">
        <w:rPr>
          <w:b/>
        </w:rPr>
        <w:t>G</w:t>
      </w:r>
      <w:r w:rsidRPr="00D031B3">
        <w:rPr>
          <w:b/>
        </w:rPr>
        <w:t>uideline</w:t>
      </w:r>
      <w:r w:rsidRPr="00D031B3">
        <w:t>.</w:t>
      </w:r>
    </w:p>
    <w:p w14:paraId="221F7A29" w14:textId="0462AC85" w:rsidR="008F7448" w:rsidRDefault="008F7448" w:rsidP="008F7448">
      <w:r>
        <w:t xml:space="preserve">We note that </w:t>
      </w:r>
      <w:r w:rsidRPr="0003364B">
        <w:rPr>
          <w:rStyle w:val="Strong"/>
        </w:rPr>
        <w:t xml:space="preserve">service providers </w:t>
      </w:r>
      <w:r>
        <w:t xml:space="preserve">are required to use </w:t>
      </w:r>
      <w:r w:rsidRPr="00280DFE">
        <w:rPr>
          <w:i/>
        </w:rPr>
        <w:t>best estimates</w:t>
      </w:r>
      <w:r>
        <w:t xml:space="preserve"> in accordance with the </w:t>
      </w:r>
      <w:r w:rsidR="00B83DCA">
        <w:t xml:space="preserve">access information standard </w:t>
      </w:r>
      <w:r>
        <w:t xml:space="preserve">outlined in Section </w:t>
      </w:r>
      <w:r w:rsidR="00344554">
        <w:t>8</w:t>
      </w:r>
      <w:r w:rsidR="00280DFE">
        <w:t>.1</w:t>
      </w:r>
      <w:r>
        <w:t>.</w:t>
      </w:r>
    </w:p>
    <w:p w14:paraId="2C9E4160" w14:textId="77777777" w:rsidR="008F7448" w:rsidRPr="00CF253E" w:rsidRDefault="008F7448" w:rsidP="00685983">
      <w:pPr>
        <w:pStyle w:val="Heading2"/>
        <w:numPr>
          <w:ilvl w:val="1"/>
          <w:numId w:val="32"/>
        </w:numPr>
        <w:tabs>
          <w:tab w:val="left" w:pos="680"/>
        </w:tabs>
        <w:ind w:left="680" w:hanging="680"/>
      </w:pPr>
      <w:bookmarkStart w:id="83" w:name="_Toc499898242"/>
      <w:bookmarkStart w:id="84" w:name="_Toc501379533"/>
      <w:r w:rsidRPr="00CF253E">
        <w:t>Assurance</w:t>
      </w:r>
      <w:bookmarkEnd w:id="83"/>
      <w:bookmarkEnd w:id="84"/>
    </w:p>
    <w:p w14:paraId="4E3EC87B" w14:textId="29101C21" w:rsidR="008F7448" w:rsidRDefault="008F7448" w:rsidP="008F7448">
      <w:r w:rsidRPr="00CF253E">
        <w:t>Th</w:t>
      </w:r>
      <w:r w:rsidR="00280DFE">
        <w:t>e</w:t>
      </w:r>
      <w:r w:rsidRPr="00CF253E">
        <w:t xml:space="preserve"> information </w:t>
      </w:r>
      <w:r w:rsidR="00280DFE">
        <w:t>prepared in accordance with the recovered capital method</w:t>
      </w:r>
      <w:r w:rsidR="00280DFE" w:rsidRPr="00CF253E">
        <w:t xml:space="preserve"> </w:t>
      </w:r>
      <w:r w:rsidRPr="00CF253E">
        <w:t xml:space="preserve">must be </w:t>
      </w:r>
      <w:r w:rsidR="002D0387">
        <w:t>reviewed</w:t>
      </w:r>
      <w:r w:rsidRPr="00CF253E">
        <w:t xml:space="preserve"> in the manner specified in Section </w:t>
      </w:r>
      <w:r>
        <w:t>8.2</w:t>
      </w:r>
      <w:r w:rsidRPr="00CF253E">
        <w:t xml:space="preserve"> and prepared in accordance with the access information </w:t>
      </w:r>
      <w:r>
        <w:t xml:space="preserve">standard </w:t>
      </w:r>
      <w:r w:rsidR="00280DFE">
        <w:t>outlined</w:t>
      </w:r>
      <w:r>
        <w:t xml:space="preserve"> in Section 8.</w:t>
      </w:r>
      <w:r w:rsidR="005A3F1B">
        <w:t>1</w:t>
      </w:r>
      <w:r w:rsidRPr="00CF253E">
        <w:t>.</w:t>
      </w:r>
    </w:p>
    <w:p w14:paraId="599DF0E5" w14:textId="77777777" w:rsidR="008F7448" w:rsidRPr="00CF253E" w:rsidRDefault="008F7448" w:rsidP="008F7448"/>
    <w:p w14:paraId="1B2F75B5" w14:textId="77777777" w:rsidR="008F7448" w:rsidRPr="00CF253E" w:rsidRDefault="008F7448" w:rsidP="00685983">
      <w:pPr>
        <w:pStyle w:val="Heading1"/>
        <w:pageBreakBefore/>
        <w:numPr>
          <w:ilvl w:val="0"/>
          <w:numId w:val="32"/>
        </w:numPr>
        <w:tabs>
          <w:tab w:val="left" w:pos="680"/>
        </w:tabs>
        <w:ind w:left="680" w:hanging="680"/>
      </w:pPr>
      <w:bookmarkStart w:id="85" w:name="_Ref499277684"/>
      <w:bookmarkStart w:id="86" w:name="_Toc499898243"/>
      <w:bookmarkStart w:id="87" w:name="_Toc501379534"/>
      <w:r w:rsidRPr="00CF253E">
        <w:lastRenderedPageBreak/>
        <w:t>Requirement to publish weighted average price information</w:t>
      </w:r>
      <w:bookmarkEnd w:id="85"/>
      <w:bookmarkEnd w:id="86"/>
      <w:bookmarkEnd w:id="87"/>
      <w:r w:rsidRPr="00CF253E">
        <w:t xml:space="preserve"> </w:t>
      </w:r>
    </w:p>
    <w:p w14:paraId="06C3658B" w14:textId="39D7B0BE" w:rsidR="008F7448" w:rsidRPr="00CF253E" w:rsidRDefault="008F7448" w:rsidP="008F7448">
      <w:r w:rsidRPr="00FE68C0">
        <w:rPr>
          <w:rStyle w:val="Bold"/>
        </w:rPr>
        <w:t>Service providers</w:t>
      </w:r>
      <w:r w:rsidRPr="00CF253E">
        <w:t xml:space="preserve"> are required to publish </w:t>
      </w:r>
      <w:r w:rsidRPr="00FE68C0">
        <w:rPr>
          <w:rStyle w:val="Bold"/>
        </w:rPr>
        <w:t>weighted average price information</w:t>
      </w:r>
      <w:r w:rsidRPr="00CF253E">
        <w:t xml:space="preserve"> for a non-scheme pipeline (see r</w:t>
      </w:r>
      <w:r w:rsidR="007D5A2D">
        <w:t>.</w:t>
      </w:r>
      <w:r w:rsidRPr="00CF253E">
        <w:t xml:space="preserve"> 556 or the </w:t>
      </w:r>
      <w:r w:rsidRPr="00FE68C0">
        <w:rPr>
          <w:rStyle w:val="Bold"/>
        </w:rPr>
        <w:t>NGR</w:t>
      </w:r>
      <w:r w:rsidRPr="00CF253E">
        <w:t xml:space="preserve">), including the weighted average prices paid by users for pipeline services and a description of the methodology used by the </w:t>
      </w:r>
      <w:r w:rsidRPr="00FE68C0">
        <w:rPr>
          <w:rStyle w:val="Bold"/>
        </w:rPr>
        <w:t>service provider</w:t>
      </w:r>
      <w:r w:rsidRPr="00CF253E">
        <w:t xml:space="preserve"> to calculate the weighted average prices. </w:t>
      </w:r>
    </w:p>
    <w:p w14:paraId="111B2F3C" w14:textId="77777777" w:rsidR="008F7448" w:rsidRPr="00CF253E" w:rsidRDefault="008F7448" w:rsidP="008F7448">
      <w:r w:rsidRPr="00FE68C0">
        <w:rPr>
          <w:rStyle w:val="Bold"/>
        </w:rPr>
        <w:t>Weighted average price information</w:t>
      </w:r>
      <w:r w:rsidRPr="00CF253E">
        <w:t xml:space="preserve"> provides a measure of the amount that shippers are charged, on average, for a particular service.</w:t>
      </w:r>
    </w:p>
    <w:p w14:paraId="5AEFCAF1" w14:textId="5B8216B4" w:rsidR="008F7448" w:rsidRDefault="008F7448" w:rsidP="008F7448">
      <w:pPr>
        <w:pStyle w:val="ListBullet"/>
        <w:numPr>
          <w:ilvl w:val="0"/>
          <w:numId w:val="0"/>
        </w:numPr>
      </w:pPr>
      <w:r w:rsidRPr="00FE68C0">
        <w:rPr>
          <w:rStyle w:val="Bold"/>
        </w:rPr>
        <w:t>Service providers</w:t>
      </w:r>
      <w:r w:rsidRPr="00CF253E">
        <w:t xml:space="preserve"> are required to publish the weighted average price of each service provided in the </w:t>
      </w:r>
      <w:r w:rsidRPr="00FE68C0">
        <w:rPr>
          <w:rStyle w:val="Bold"/>
        </w:rPr>
        <w:t>reporting period</w:t>
      </w:r>
      <w:r w:rsidRPr="00CF253E">
        <w:t xml:space="preserve">. The weighted average price must be determined using the methodology set out in this </w:t>
      </w:r>
      <w:r w:rsidR="00B83DCA">
        <w:rPr>
          <w:rStyle w:val="Bold"/>
        </w:rPr>
        <w:t>G</w:t>
      </w:r>
      <w:r w:rsidRPr="00FE68C0">
        <w:rPr>
          <w:rStyle w:val="Bold"/>
        </w:rPr>
        <w:t>uideline</w:t>
      </w:r>
      <w:r w:rsidRPr="00CF253E">
        <w:t xml:space="preserve"> and be in the form and contain the information specified in this </w:t>
      </w:r>
      <w:r w:rsidR="00B83DCA">
        <w:rPr>
          <w:rStyle w:val="Bold"/>
        </w:rPr>
        <w:t>G</w:t>
      </w:r>
      <w:r w:rsidRPr="00FE68C0">
        <w:rPr>
          <w:rStyle w:val="Bold"/>
        </w:rPr>
        <w:t>uideline</w:t>
      </w:r>
      <w:r w:rsidRPr="00CF253E">
        <w:t>. Where more than one charging method is used for a particular service type, the weighted average price under each charging method is to be separately disclosed for the service.</w:t>
      </w:r>
    </w:p>
    <w:p w14:paraId="3C495798" w14:textId="77777777" w:rsidR="008F7448" w:rsidRPr="00CF253E" w:rsidRDefault="008F7448" w:rsidP="008F7448">
      <w:r w:rsidRPr="00CF253E">
        <w:t xml:space="preserve">Worksheet 5 of the </w:t>
      </w:r>
      <w:r w:rsidRPr="00FE68C0">
        <w:rPr>
          <w:rStyle w:val="Bold"/>
        </w:rPr>
        <w:t>financial reporting template</w:t>
      </w:r>
      <w:r w:rsidRPr="00CF253E">
        <w:t xml:space="preserve"> provides a template for </w:t>
      </w:r>
      <w:r w:rsidRPr="00FE68C0">
        <w:rPr>
          <w:rStyle w:val="Bold"/>
        </w:rPr>
        <w:t>service providers</w:t>
      </w:r>
      <w:r w:rsidRPr="00CF253E">
        <w:t xml:space="preserve"> to input information to calculate </w:t>
      </w:r>
      <w:r w:rsidRPr="00FE68C0">
        <w:rPr>
          <w:rStyle w:val="Bold"/>
        </w:rPr>
        <w:t>weighted average price information</w:t>
      </w:r>
      <w:r w:rsidRPr="00CF253E">
        <w:t xml:space="preserve">. </w:t>
      </w:r>
    </w:p>
    <w:p w14:paraId="64B2261A" w14:textId="77777777" w:rsidR="008F7448" w:rsidRDefault="008F7448" w:rsidP="008F7448">
      <w:r w:rsidRPr="00FE68C0">
        <w:rPr>
          <w:rStyle w:val="Bold"/>
        </w:rPr>
        <w:t>Service providers</w:t>
      </w:r>
      <w:r w:rsidRPr="00CF253E">
        <w:t xml:space="preserve"> are required to classify pipeline revenue for the </w:t>
      </w:r>
      <w:r w:rsidRPr="00FE68C0">
        <w:rPr>
          <w:rStyle w:val="Bold"/>
        </w:rPr>
        <w:t>reporting period</w:t>
      </w:r>
      <w:r w:rsidRPr="00CF253E">
        <w:t xml:space="preserve"> (the most recent financial year) into the following service categories in order to calculate separate </w:t>
      </w:r>
      <w:r w:rsidRPr="00FE68C0">
        <w:rPr>
          <w:rStyle w:val="Bold"/>
        </w:rPr>
        <w:t>weighted average price information</w:t>
      </w:r>
      <w:r w:rsidRPr="00CF253E">
        <w:t xml:space="preserve"> for each service:</w:t>
      </w:r>
    </w:p>
    <w:p w14:paraId="216CA304" w14:textId="77777777" w:rsidR="008F7448" w:rsidRDefault="008F7448" w:rsidP="008F7448">
      <w:pPr>
        <w:pStyle w:val="ListBullet"/>
      </w:pPr>
      <w:r>
        <w:t>Transportation services</w:t>
      </w:r>
    </w:p>
    <w:p w14:paraId="5FB695AF" w14:textId="77777777" w:rsidR="008F7448" w:rsidRDefault="008F7448" w:rsidP="00685983">
      <w:pPr>
        <w:pStyle w:val="ListLegal"/>
        <w:numPr>
          <w:ilvl w:val="0"/>
          <w:numId w:val="36"/>
        </w:numPr>
        <w:tabs>
          <w:tab w:val="clear" w:pos="680"/>
          <w:tab w:val="left" w:pos="1134"/>
        </w:tabs>
        <w:ind w:left="1134"/>
      </w:pPr>
      <w:r w:rsidRPr="00CF253E">
        <w:t>Firm forward haul transportation services (includes bi-directional services, if a pipeline operates in a bi-directional manner)</w:t>
      </w:r>
    </w:p>
    <w:p w14:paraId="7A99547B" w14:textId="77777777" w:rsidR="008F7448" w:rsidRDefault="008F7448" w:rsidP="00685983">
      <w:pPr>
        <w:pStyle w:val="ListLegal"/>
        <w:numPr>
          <w:ilvl w:val="0"/>
          <w:numId w:val="36"/>
        </w:numPr>
        <w:tabs>
          <w:tab w:val="clear" w:pos="680"/>
          <w:tab w:val="left" w:pos="1134"/>
        </w:tabs>
        <w:ind w:left="1134"/>
      </w:pPr>
      <w:r w:rsidRPr="00CF253E">
        <w:t>Interruptible or as available transportation service</w:t>
      </w:r>
    </w:p>
    <w:p w14:paraId="674AE0D3" w14:textId="77777777" w:rsidR="008F7448" w:rsidRPr="00CF253E" w:rsidRDefault="008F7448" w:rsidP="00685983">
      <w:pPr>
        <w:pStyle w:val="ListLegal"/>
        <w:numPr>
          <w:ilvl w:val="0"/>
          <w:numId w:val="36"/>
        </w:numPr>
        <w:tabs>
          <w:tab w:val="clear" w:pos="680"/>
          <w:tab w:val="left" w:pos="1134"/>
        </w:tabs>
        <w:ind w:left="1134"/>
      </w:pPr>
      <w:r w:rsidRPr="00CF253E">
        <w:t>Backhaul services</w:t>
      </w:r>
    </w:p>
    <w:p w14:paraId="3E9FFF74" w14:textId="5A0AB976" w:rsidR="008F7448" w:rsidRDefault="00BA51A2" w:rsidP="009D7DEE">
      <w:pPr>
        <w:pStyle w:val="ListBullet"/>
      </w:pPr>
      <w:r>
        <w:t>Stand-</w:t>
      </w:r>
      <w:r w:rsidR="008F7448">
        <w:t xml:space="preserve">alone </w:t>
      </w:r>
      <w:r w:rsidR="00961D5D">
        <w:t xml:space="preserve">firm </w:t>
      </w:r>
      <w:r w:rsidR="008F7448">
        <w:t>c</w:t>
      </w:r>
      <w:r w:rsidR="008F7448" w:rsidRPr="001860BA">
        <w:t>ompression services</w:t>
      </w:r>
    </w:p>
    <w:p w14:paraId="7F33A4F2" w14:textId="6A13ED8F" w:rsidR="008F7448" w:rsidRDefault="00961D5D" w:rsidP="008F7448">
      <w:pPr>
        <w:pStyle w:val="ListBullet"/>
      </w:pPr>
      <w:r>
        <w:t>Firm s</w:t>
      </w:r>
      <w:r w:rsidR="008F7448">
        <w:t>torage (combined park and park and loan) services</w:t>
      </w:r>
      <w:r w:rsidR="00280DFE">
        <w:t>.</w:t>
      </w:r>
    </w:p>
    <w:p w14:paraId="26643772" w14:textId="77777777" w:rsidR="008F7448" w:rsidRDefault="008F7448" w:rsidP="008F7448">
      <w:r>
        <w:t>To enable weighted average prices to be compared with the prices shippers are paying or are being offered, the weighted average prices charged to customers for transportation services must be further classified based on the method of calculating the charges, which may include:</w:t>
      </w:r>
    </w:p>
    <w:p w14:paraId="6DAFD113" w14:textId="77777777" w:rsidR="008F7448" w:rsidRPr="00280DFE" w:rsidRDefault="008F7448" w:rsidP="00685983">
      <w:pPr>
        <w:pStyle w:val="ListLegal"/>
        <w:numPr>
          <w:ilvl w:val="0"/>
          <w:numId w:val="39"/>
        </w:numPr>
        <w:tabs>
          <w:tab w:val="clear" w:pos="680"/>
        </w:tabs>
        <w:ind w:left="993" w:hanging="284"/>
        <w:rPr>
          <w:rStyle w:val="Bold"/>
          <w:b w:val="0"/>
        </w:rPr>
      </w:pPr>
      <w:r w:rsidRPr="00280DFE">
        <w:rPr>
          <w:rStyle w:val="Bold"/>
          <w:b w:val="0"/>
        </w:rPr>
        <w:t>The postage stamp charging method</w:t>
      </w:r>
    </w:p>
    <w:p w14:paraId="0CF4BCBE" w14:textId="77777777" w:rsidR="008F7448" w:rsidRPr="00527358" w:rsidRDefault="008F7448" w:rsidP="00280DFE">
      <w:pPr>
        <w:ind w:left="680"/>
      </w:pPr>
      <w:r w:rsidRPr="00527358">
        <w:t>Where the same charge is payable along the length of the pipeline, irrespective of the distance transported.</w:t>
      </w:r>
    </w:p>
    <w:p w14:paraId="23F97BCC" w14:textId="77777777" w:rsidR="008F7448" w:rsidRPr="00280DFE" w:rsidRDefault="008F7448" w:rsidP="00685983">
      <w:pPr>
        <w:pStyle w:val="ListLegal"/>
        <w:keepNext/>
        <w:numPr>
          <w:ilvl w:val="0"/>
          <w:numId w:val="39"/>
        </w:numPr>
        <w:tabs>
          <w:tab w:val="clear" w:pos="680"/>
        </w:tabs>
        <w:ind w:left="993" w:hanging="284"/>
        <w:rPr>
          <w:rStyle w:val="Bold"/>
          <w:b w:val="0"/>
        </w:rPr>
      </w:pPr>
      <w:r w:rsidRPr="00280DFE">
        <w:rPr>
          <w:rStyle w:val="Bold"/>
          <w:b w:val="0"/>
        </w:rPr>
        <w:t xml:space="preserve">The zonal based charging method </w:t>
      </w:r>
    </w:p>
    <w:p w14:paraId="350F127C" w14:textId="5C51E39A" w:rsidR="008F7448" w:rsidRPr="00527358" w:rsidRDefault="008F7448" w:rsidP="00280DFE">
      <w:pPr>
        <w:ind w:left="680"/>
      </w:pPr>
      <w:r w:rsidRPr="00527358">
        <w:t xml:space="preserve">Where a pipeline is separated into zones and a separate tariff is calculated based on the number of zones </w:t>
      </w:r>
      <w:r w:rsidR="000028F3">
        <w:t xml:space="preserve">through which </w:t>
      </w:r>
      <w:r w:rsidRPr="00527358">
        <w:t>gas is transported. Each zone is required to be disclosed separately.</w:t>
      </w:r>
    </w:p>
    <w:p w14:paraId="1E44DC91" w14:textId="77777777" w:rsidR="008F7448" w:rsidRPr="00280DFE" w:rsidRDefault="008F7448" w:rsidP="00685983">
      <w:pPr>
        <w:pStyle w:val="ListLegal"/>
        <w:numPr>
          <w:ilvl w:val="0"/>
          <w:numId w:val="39"/>
        </w:numPr>
        <w:tabs>
          <w:tab w:val="clear" w:pos="680"/>
        </w:tabs>
        <w:ind w:left="993" w:hanging="284"/>
        <w:rPr>
          <w:rStyle w:val="Bold"/>
          <w:b w:val="0"/>
        </w:rPr>
      </w:pPr>
      <w:r w:rsidRPr="00280DFE">
        <w:rPr>
          <w:rStyle w:val="Bold"/>
          <w:b w:val="0"/>
        </w:rPr>
        <w:lastRenderedPageBreak/>
        <w:t>Distance based charging method</w:t>
      </w:r>
    </w:p>
    <w:p w14:paraId="52CE5F05" w14:textId="77777777" w:rsidR="008F7448" w:rsidRDefault="008F7448" w:rsidP="00280DFE">
      <w:pPr>
        <w:ind w:left="680"/>
      </w:pPr>
      <w:r w:rsidRPr="00527358">
        <w:t>Where a charge for a service is based on the dollar per GJ per kilometre basis. Each major delivery point is required to be disclosed separately.</w:t>
      </w:r>
    </w:p>
    <w:p w14:paraId="5220336F" w14:textId="13E95915" w:rsidR="008F7448" w:rsidRPr="00527358" w:rsidRDefault="008F7448" w:rsidP="008F7448">
      <w:r w:rsidRPr="00527358">
        <w:t>Each of the</w:t>
      </w:r>
      <w:r w:rsidR="00280DFE">
        <w:t>se</w:t>
      </w:r>
      <w:r w:rsidRPr="00527358">
        <w:t xml:space="preserve"> categories are then required to be further allocated between:</w:t>
      </w:r>
    </w:p>
    <w:p w14:paraId="38620364" w14:textId="0FF28336" w:rsidR="008F7448" w:rsidRPr="00527358" w:rsidRDefault="00280DFE" w:rsidP="008F7448">
      <w:pPr>
        <w:pStyle w:val="ListBullet"/>
      </w:pPr>
      <w:r>
        <w:t>c</w:t>
      </w:r>
      <w:r w:rsidR="008F7448" w:rsidRPr="00527358">
        <w:t>apacity based charges where a service is charged on a dollar per GJ of maximum daily quantity (MDQ) of reserved capacity regardless of whether the customer fully utilises this capacity</w:t>
      </w:r>
    </w:p>
    <w:p w14:paraId="2328D38B" w14:textId="6FF11D00" w:rsidR="008F7448" w:rsidRDefault="00280DFE" w:rsidP="008F7448">
      <w:pPr>
        <w:pStyle w:val="ListBullet"/>
      </w:pPr>
      <w:r>
        <w:t>v</w:t>
      </w:r>
      <w:r w:rsidR="008F7448" w:rsidRPr="00527358">
        <w:t>olumetric based charging: where a service is charged based on each GJ of gas transported by the customer.</w:t>
      </w:r>
    </w:p>
    <w:p w14:paraId="70484885" w14:textId="77777777" w:rsidR="008F7448" w:rsidRPr="00527358" w:rsidRDefault="008F7448" w:rsidP="00685983">
      <w:pPr>
        <w:pStyle w:val="Heading2"/>
        <w:numPr>
          <w:ilvl w:val="1"/>
          <w:numId w:val="32"/>
        </w:numPr>
        <w:tabs>
          <w:tab w:val="left" w:pos="680"/>
        </w:tabs>
        <w:ind w:left="680" w:hanging="680"/>
      </w:pPr>
      <w:bookmarkStart w:id="88" w:name="_Toc499898244"/>
      <w:bookmarkStart w:id="89" w:name="_Toc501379535"/>
      <w:r w:rsidRPr="00527358">
        <w:t>Methods, principles and inputs used</w:t>
      </w:r>
      <w:bookmarkEnd w:id="88"/>
      <w:bookmarkEnd w:id="89"/>
    </w:p>
    <w:p w14:paraId="20130C08" w14:textId="77777777" w:rsidR="008F7448" w:rsidRPr="00527358" w:rsidRDefault="008F7448" w:rsidP="00685983">
      <w:pPr>
        <w:pStyle w:val="Heading3"/>
        <w:numPr>
          <w:ilvl w:val="2"/>
          <w:numId w:val="32"/>
        </w:numPr>
        <w:tabs>
          <w:tab w:val="left" w:pos="1021"/>
        </w:tabs>
        <w:ind w:left="1021" w:hanging="1021"/>
      </w:pPr>
      <w:bookmarkStart w:id="90" w:name="_Toc499898245"/>
      <w:bookmarkStart w:id="91" w:name="_Toc501379536"/>
      <w:r w:rsidRPr="00527358">
        <w:t>Estimates</w:t>
      </w:r>
      <w:bookmarkEnd w:id="90"/>
      <w:bookmarkEnd w:id="91"/>
    </w:p>
    <w:p w14:paraId="15C1502C" w14:textId="77777777" w:rsidR="008F7448" w:rsidRDefault="008F7448" w:rsidP="008F7448">
      <w:r w:rsidRPr="00527358">
        <w:t>Where a customer is charged for the use of more than one pipeline under an agreement</w:t>
      </w:r>
      <w:r>
        <w:t xml:space="preserve"> and/or invoice</w:t>
      </w:r>
      <w:r w:rsidRPr="00527358">
        <w:t xml:space="preserve"> an estimate of the proportion of this revenue that is attributable to a particular pipeline will be required.</w:t>
      </w:r>
    </w:p>
    <w:p w14:paraId="342D637A" w14:textId="77777777" w:rsidR="008F7448" w:rsidRPr="00527358" w:rsidRDefault="008F7448" w:rsidP="008F7448">
      <w:r w:rsidRPr="00527358">
        <w:t xml:space="preserve">Where the </w:t>
      </w:r>
      <w:r w:rsidRPr="00FE68C0">
        <w:rPr>
          <w:rStyle w:val="Bold"/>
        </w:rPr>
        <w:t>financial reporting template</w:t>
      </w:r>
      <w:r w:rsidRPr="00527358">
        <w:t xml:space="preserve"> requires the use of an estimate, information on the nature of an estimate must be supported by a statement of the basis of the estimate. Where actual information is available, an estimate should not be used.</w:t>
      </w:r>
    </w:p>
    <w:p w14:paraId="4C4E21B3" w14:textId="16BEEDC9" w:rsidR="008F7448" w:rsidRPr="00527358" w:rsidRDefault="008F7448" w:rsidP="008F7448">
      <w:r w:rsidRPr="00527358">
        <w:t>Estimates should be consistent with r</w:t>
      </w:r>
      <w:r w:rsidR="007D5A2D">
        <w:t>.</w:t>
      </w:r>
      <w:r w:rsidRPr="00527358">
        <w:t xml:space="preserve"> </w:t>
      </w:r>
      <w:r>
        <w:t xml:space="preserve">551 </w:t>
      </w:r>
      <w:r w:rsidRPr="00527358">
        <w:t xml:space="preserve">of the </w:t>
      </w:r>
      <w:r w:rsidRPr="00FE68C0">
        <w:rPr>
          <w:rStyle w:val="Bold"/>
        </w:rPr>
        <w:t>NGR</w:t>
      </w:r>
      <w:r>
        <w:t xml:space="preserve"> which requires that a forecast or estimate is supported by a statement of the basis of the forecast or estimate and:</w:t>
      </w:r>
    </w:p>
    <w:p w14:paraId="6C6FBCD2" w14:textId="77777777" w:rsidR="008F7448" w:rsidRPr="00527358" w:rsidRDefault="008F7448" w:rsidP="006E578F">
      <w:pPr>
        <w:pStyle w:val="Bulletpoint"/>
        <w:ind w:left="357" w:hanging="357"/>
      </w:pPr>
      <w:r>
        <w:t>is arrived</w:t>
      </w:r>
      <w:r w:rsidRPr="00527358">
        <w:t xml:space="preserve"> at on a reasonable basis; and</w:t>
      </w:r>
    </w:p>
    <w:p w14:paraId="15ABBA9B" w14:textId="77777777" w:rsidR="008F7448" w:rsidRPr="00527358" w:rsidRDefault="008F7448" w:rsidP="006E578F">
      <w:pPr>
        <w:pStyle w:val="Bulletpoint"/>
        <w:ind w:left="357" w:hanging="357"/>
      </w:pPr>
      <w:r w:rsidRPr="00527358">
        <w:t>represent</w:t>
      </w:r>
      <w:r>
        <w:t>s</w:t>
      </w:r>
      <w:r w:rsidRPr="00527358">
        <w:t xml:space="preserve"> the best </w:t>
      </w:r>
      <w:r>
        <w:t xml:space="preserve">forecast or </w:t>
      </w:r>
      <w:r w:rsidRPr="00527358">
        <w:t>estimate possible in the circumstances.</w:t>
      </w:r>
    </w:p>
    <w:p w14:paraId="78227897" w14:textId="565B7352" w:rsidR="008F7448" w:rsidRDefault="008F7448" w:rsidP="008F7448">
      <w:r w:rsidRPr="00527358">
        <w:t xml:space="preserve">Where estimates are applied because agreements </w:t>
      </w:r>
      <w:r>
        <w:t xml:space="preserve">and/or invoices </w:t>
      </w:r>
      <w:r w:rsidRPr="00527358">
        <w:t xml:space="preserve">do not separate revenue under a pipeline or service type, disclosure of the basis of allocation between pipelines and service types is required in </w:t>
      </w:r>
      <w:r>
        <w:t>the basis of preparation.</w:t>
      </w:r>
    </w:p>
    <w:p w14:paraId="5D79201B" w14:textId="77777777" w:rsidR="008F7448" w:rsidRDefault="008F7448" w:rsidP="00685983">
      <w:pPr>
        <w:pStyle w:val="Heading3"/>
        <w:numPr>
          <w:ilvl w:val="2"/>
          <w:numId w:val="32"/>
        </w:numPr>
        <w:tabs>
          <w:tab w:val="left" w:pos="1021"/>
        </w:tabs>
        <w:ind w:left="1021" w:hanging="1021"/>
      </w:pPr>
      <w:bookmarkStart w:id="92" w:name="_Toc499898246"/>
      <w:bookmarkStart w:id="93" w:name="_Toc501379537"/>
      <w:r w:rsidRPr="00527358">
        <w:t>Weighted average price calculations</w:t>
      </w:r>
      <w:bookmarkEnd w:id="92"/>
      <w:bookmarkEnd w:id="93"/>
    </w:p>
    <w:p w14:paraId="0AD19157" w14:textId="77777777" w:rsidR="008F7448" w:rsidRDefault="008F7448" w:rsidP="008F7448">
      <w:r>
        <w:t>The weighted average price calculation for the most recent financial year is determined as follows.</w:t>
      </w:r>
    </w:p>
    <w:p w14:paraId="24C16ECE" w14:textId="77777777" w:rsidR="008F7448" w:rsidRPr="00527358" w:rsidRDefault="008F7448" w:rsidP="008F7448">
      <w:r>
        <w:t xml:space="preserve">Capacity based charges =  </w:t>
      </w:r>
      <m:oMath>
        <m:f>
          <m:fPr>
            <m:ctrlPr>
              <w:rPr>
                <w:rFonts w:ascii="Cambria Math" w:hAnsi="Cambria Math"/>
                <w:i/>
              </w:rPr>
            </m:ctrlPr>
          </m:fPr>
          <m:num>
            <m:r>
              <w:rPr>
                <w:rFonts w:ascii="Cambria Math" w:hAnsi="Cambria Math"/>
              </w:rPr>
              <m:t>$Revenue</m:t>
            </m:r>
          </m:num>
          <m:den>
            <m:r>
              <w:rPr>
                <w:rFonts w:ascii="Cambria Math" w:hAnsi="Cambria Math"/>
              </w:rPr>
              <m:t>Maximum daily quantity</m:t>
            </m:r>
          </m:den>
        </m:f>
      </m:oMath>
    </w:p>
    <w:p w14:paraId="2BC49128" w14:textId="77777777" w:rsidR="008F7448" w:rsidRPr="00527358" w:rsidRDefault="008F7448" w:rsidP="008F7448"/>
    <w:p w14:paraId="2F01677A" w14:textId="77777777" w:rsidR="008F7448" w:rsidRPr="00527358" w:rsidRDefault="008F7448" w:rsidP="008F7448">
      <w:r>
        <w:t xml:space="preserve">Volumetric based charging =  </w:t>
      </w:r>
      <m:oMath>
        <m:f>
          <m:fPr>
            <m:ctrlPr>
              <w:rPr>
                <w:rFonts w:ascii="Cambria Math" w:hAnsi="Cambria Math"/>
                <w:i/>
              </w:rPr>
            </m:ctrlPr>
          </m:fPr>
          <m:num>
            <m:r>
              <w:rPr>
                <w:rFonts w:ascii="Cambria Math" w:hAnsi="Cambria Math"/>
              </w:rPr>
              <m:t>$Revenue</m:t>
            </m:r>
          </m:num>
          <m:den>
            <m:r>
              <w:rPr>
                <w:rFonts w:ascii="Cambria Math" w:hAnsi="Cambria Math"/>
              </w:rPr>
              <m:t>Gigajoules transported</m:t>
            </m:r>
          </m:den>
        </m:f>
      </m:oMath>
    </w:p>
    <w:p w14:paraId="63EB72C8" w14:textId="77777777" w:rsidR="008F7448" w:rsidRPr="00527358" w:rsidRDefault="008F7448" w:rsidP="008F7448">
      <w:r w:rsidRPr="00527358">
        <w:t xml:space="preserve">The maximum daily quantity is to be measured in GJ. </w:t>
      </w:r>
    </w:p>
    <w:p w14:paraId="5A9F5D16" w14:textId="65A06BFB" w:rsidR="008F7448" w:rsidRPr="00045E4D" w:rsidRDefault="008F7448" w:rsidP="008F7448">
      <w:r w:rsidRPr="00527358">
        <w:t xml:space="preserve">Revenue is required to be reported on an accrual basis, consistent with the revenue recognition requirements in Section </w:t>
      </w:r>
      <w:r w:rsidR="00344554">
        <w:t>3.1.1.1</w:t>
      </w:r>
      <w:r w:rsidRPr="00527358">
        <w:t xml:space="preserve">. </w:t>
      </w:r>
    </w:p>
    <w:p w14:paraId="2EC30D8E" w14:textId="77777777" w:rsidR="008F7448" w:rsidRPr="00527358" w:rsidRDefault="008F7448" w:rsidP="00685983">
      <w:pPr>
        <w:pStyle w:val="Heading2"/>
        <w:numPr>
          <w:ilvl w:val="1"/>
          <w:numId w:val="32"/>
        </w:numPr>
        <w:tabs>
          <w:tab w:val="left" w:pos="680"/>
        </w:tabs>
        <w:ind w:left="680" w:hanging="680"/>
      </w:pPr>
      <w:bookmarkStart w:id="94" w:name="_Toc499898247"/>
      <w:bookmarkStart w:id="95" w:name="_Toc501379538"/>
      <w:r>
        <w:lastRenderedPageBreak/>
        <w:t>Assurance</w:t>
      </w:r>
      <w:bookmarkEnd w:id="94"/>
      <w:bookmarkEnd w:id="95"/>
      <w:r w:rsidRPr="00527358">
        <w:t xml:space="preserve"> </w:t>
      </w:r>
    </w:p>
    <w:p w14:paraId="0BEBBE08" w14:textId="665CD271" w:rsidR="008F7448" w:rsidRPr="00527358" w:rsidRDefault="008F7448" w:rsidP="008F7448">
      <w:r w:rsidRPr="00527358">
        <w:t xml:space="preserve">The </w:t>
      </w:r>
      <w:r w:rsidRPr="00FE68C0">
        <w:rPr>
          <w:rStyle w:val="Bold"/>
        </w:rPr>
        <w:t>weighted average price information</w:t>
      </w:r>
      <w:r w:rsidRPr="00527358">
        <w:t xml:space="preserve"> must be </w:t>
      </w:r>
      <w:r>
        <w:t>reviewed</w:t>
      </w:r>
      <w:r w:rsidRPr="00527358">
        <w:t xml:space="preserve"> by an independent auditor in the manner provided for in Section </w:t>
      </w:r>
      <w:r>
        <w:t>8.2</w:t>
      </w:r>
      <w:r w:rsidRPr="00527358">
        <w:t xml:space="preserve"> and prepared in accordance with the access information standard discussed in Section </w:t>
      </w:r>
      <w:r>
        <w:t>8.</w:t>
      </w:r>
      <w:r w:rsidR="007D5A2D">
        <w:t>1</w:t>
      </w:r>
      <w:r w:rsidRPr="00527358">
        <w:t>.</w:t>
      </w:r>
    </w:p>
    <w:p w14:paraId="6DE5EA48" w14:textId="77777777" w:rsidR="008F7448" w:rsidRPr="00527358" w:rsidRDefault="008F7448" w:rsidP="00685983">
      <w:pPr>
        <w:pStyle w:val="Heading2"/>
        <w:numPr>
          <w:ilvl w:val="1"/>
          <w:numId w:val="32"/>
        </w:numPr>
        <w:tabs>
          <w:tab w:val="left" w:pos="680"/>
        </w:tabs>
        <w:ind w:left="680" w:hanging="680"/>
      </w:pPr>
      <w:bookmarkStart w:id="96" w:name="_Toc499898248"/>
      <w:bookmarkStart w:id="97" w:name="_Toc501379539"/>
      <w:r w:rsidRPr="00527358">
        <w:t>Exemptions</w:t>
      </w:r>
      <w:bookmarkEnd w:id="96"/>
      <w:bookmarkEnd w:id="97"/>
    </w:p>
    <w:p w14:paraId="2859C0E5" w14:textId="120228C6" w:rsidR="008F7448" w:rsidRPr="00527358" w:rsidRDefault="008F7448" w:rsidP="008F7448">
      <w:r w:rsidRPr="00527358">
        <w:t>To maintain the confidentiality of shippers, in accordance with r</w:t>
      </w:r>
      <w:r w:rsidR="009B34B6">
        <w:t>.</w:t>
      </w:r>
      <w:r w:rsidRPr="00527358">
        <w:t xml:space="preserve"> 556(3) of the </w:t>
      </w:r>
      <w:r w:rsidRPr="00FE68C0">
        <w:rPr>
          <w:rStyle w:val="Bold"/>
        </w:rPr>
        <w:t>NGR</w:t>
      </w:r>
      <w:r w:rsidRPr="00527358">
        <w:t xml:space="preserve">, the </w:t>
      </w:r>
      <w:r w:rsidRPr="00B83DCA">
        <w:rPr>
          <w:b/>
        </w:rPr>
        <w:t>service provider</w:t>
      </w:r>
      <w:r w:rsidRPr="00527358">
        <w:t xml:space="preserve"> is not required to publish the </w:t>
      </w:r>
      <w:r w:rsidRPr="00FE68C0">
        <w:rPr>
          <w:rStyle w:val="Bold"/>
        </w:rPr>
        <w:t>weighted average price information</w:t>
      </w:r>
      <w:r w:rsidRPr="00527358">
        <w:t xml:space="preserve"> for a pipeline service if:</w:t>
      </w:r>
    </w:p>
    <w:p w14:paraId="1649EB09" w14:textId="77777777" w:rsidR="008F7448" w:rsidRPr="00527358" w:rsidRDefault="008F7448" w:rsidP="008F7448">
      <w:pPr>
        <w:pStyle w:val="ListBullet"/>
      </w:pPr>
      <w:r w:rsidRPr="00527358">
        <w:t>the pipeline service was provided, directly or indirectly, to no more than two users of the non-scheme pipeline; and</w:t>
      </w:r>
    </w:p>
    <w:p w14:paraId="2CCA6394" w14:textId="77777777" w:rsidR="008F7448" w:rsidRPr="00527358" w:rsidRDefault="008F7448" w:rsidP="008F7448">
      <w:pPr>
        <w:pStyle w:val="ListBullet"/>
      </w:pPr>
      <w:r w:rsidRPr="00527358">
        <w:t xml:space="preserve">the </w:t>
      </w:r>
      <w:r w:rsidRPr="00FE68C0">
        <w:rPr>
          <w:rStyle w:val="Bold"/>
        </w:rPr>
        <w:t>service provider</w:t>
      </w:r>
      <w:r w:rsidRPr="00527358">
        <w:t xml:space="preserve"> gives a notice to the </w:t>
      </w:r>
      <w:r w:rsidRPr="00FE68C0">
        <w:rPr>
          <w:rStyle w:val="Bold"/>
        </w:rPr>
        <w:t>AER</w:t>
      </w:r>
      <w:r w:rsidRPr="00527358">
        <w:t xml:space="preserve"> at least 20 business days before the date required for publication certifying this. </w:t>
      </w:r>
    </w:p>
    <w:p w14:paraId="6B5AFE27" w14:textId="77777777" w:rsidR="008F7448" w:rsidRPr="00FE68C0" w:rsidRDefault="008F7448" w:rsidP="008F7448">
      <w:pPr>
        <w:rPr>
          <w:rStyle w:val="Bold"/>
        </w:rPr>
      </w:pPr>
      <w:r w:rsidRPr="00527358">
        <w:t xml:space="preserve">When such a notice is given, the </w:t>
      </w:r>
      <w:r w:rsidRPr="00FE68C0">
        <w:rPr>
          <w:rStyle w:val="Bold"/>
        </w:rPr>
        <w:t>AER</w:t>
      </w:r>
      <w:r w:rsidRPr="00527358">
        <w:t xml:space="preserve"> may, by notice to the </w:t>
      </w:r>
      <w:r w:rsidRPr="00FE68C0">
        <w:rPr>
          <w:rStyle w:val="Bold"/>
        </w:rPr>
        <w:t>service provider</w:t>
      </w:r>
      <w:r w:rsidRPr="00527358">
        <w:t xml:space="preserve">, require services to be combined for the purpose of calculating the </w:t>
      </w:r>
      <w:r w:rsidRPr="00FE68C0">
        <w:rPr>
          <w:rStyle w:val="Bold"/>
        </w:rPr>
        <w:t xml:space="preserve">weighted average price information. </w:t>
      </w:r>
    </w:p>
    <w:p w14:paraId="1CD512C2" w14:textId="3CEB32D5" w:rsidR="008F7448" w:rsidRDefault="008F7448" w:rsidP="008F7448">
      <w:r w:rsidRPr="00527358">
        <w:t xml:space="preserve">Where services are combined in response to a notice by the </w:t>
      </w:r>
      <w:r w:rsidRPr="00FE68C0">
        <w:rPr>
          <w:rStyle w:val="Bold"/>
        </w:rPr>
        <w:t>AER</w:t>
      </w:r>
      <w:r w:rsidRPr="00527358">
        <w:t xml:space="preserve">, the </w:t>
      </w:r>
      <w:r w:rsidRPr="00FE68C0">
        <w:rPr>
          <w:rStyle w:val="Bold"/>
        </w:rPr>
        <w:t>weighted average price information</w:t>
      </w:r>
      <w:r w:rsidRPr="00527358">
        <w:t xml:space="preserve"> for combined services are to be disclosed in row </w:t>
      </w:r>
      <w:r w:rsidR="00E01704">
        <w:t>19</w:t>
      </w:r>
      <w:r w:rsidRPr="00527358">
        <w:t xml:space="preserve"> of worksheet 5 and a list of the combined services must be disclosed in the </w:t>
      </w:r>
      <w:r w:rsidR="00280DFE">
        <w:t xml:space="preserve">exempt </w:t>
      </w:r>
      <w:r w:rsidRPr="00527358">
        <w:t>weighted average price worksheet 5.</w:t>
      </w:r>
      <w:r w:rsidR="00280DFE">
        <w:t>1.</w:t>
      </w:r>
    </w:p>
    <w:p w14:paraId="353D683B" w14:textId="77777777" w:rsidR="008F7448" w:rsidRPr="00527358" w:rsidRDefault="008F7448" w:rsidP="00685983">
      <w:pPr>
        <w:pStyle w:val="Heading1"/>
        <w:pageBreakBefore/>
        <w:numPr>
          <w:ilvl w:val="0"/>
          <w:numId w:val="32"/>
        </w:numPr>
        <w:tabs>
          <w:tab w:val="left" w:pos="680"/>
        </w:tabs>
        <w:ind w:left="680" w:hanging="680"/>
      </w:pPr>
      <w:bookmarkStart w:id="98" w:name="_Toc499898249"/>
      <w:bookmarkStart w:id="99" w:name="_Toc501379540"/>
      <w:r w:rsidRPr="00527358">
        <w:lastRenderedPageBreak/>
        <w:t>Compliance and enforcement</w:t>
      </w:r>
      <w:bookmarkEnd w:id="98"/>
      <w:bookmarkEnd w:id="99"/>
    </w:p>
    <w:p w14:paraId="0FD46B6A" w14:textId="77777777" w:rsidR="008F7448" w:rsidRPr="00527358" w:rsidRDefault="008F7448" w:rsidP="00685983">
      <w:pPr>
        <w:pStyle w:val="Heading2"/>
        <w:numPr>
          <w:ilvl w:val="1"/>
          <w:numId w:val="32"/>
        </w:numPr>
        <w:tabs>
          <w:tab w:val="left" w:pos="680"/>
        </w:tabs>
        <w:ind w:left="680" w:hanging="680"/>
      </w:pPr>
      <w:bookmarkStart w:id="100" w:name="_Toc499898250"/>
      <w:bookmarkStart w:id="101" w:name="_Toc501379541"/>
      <w:r w:rsidRPr="00527358">
        <w:t>Maintaining compliance</w:t>
      </w:r>
      <w:bookmarkEnd w:id="100"/>
      <w:bookmarkEnd w:id="101"/>
    </w:p>
    <w:p w14:paraId="63297C06" w14:textId="77777777" w:rsidR="008F7448" w:rsidRDefault="008F7448" w:rsidP="008F7448">
      <w:r w:rsidRPr="00527358">
        <w:t xml:space="preserve">Section 27 of the </w:t>
      </w:r>
      <w:r w:rsidRPr="00FE68C0">
        <w:rPr>
          <w:rStyle w:val="Bold"/>
        </w:rPr>
        <w:t>NGL</w:t>
      </w:r>
      <w:r w:rsidRPr="00527358">
        <w:t xml:space="preserve"> requires the </w:t>
      </w:r>
      <w:r w:rsidRPr="00FE68C0">
        <w:rPr>
          <w:rStyle w:val="Bold"/>
        </w:rPr>
        <w:t>AER</w:t>
      </w:r>
      <w:r w:rsidRPr="00527358">
        <w:t xml:space="preserve"> to monitor, investigate and enforce compliance with the </w:t>
      </w:r>
      <w:r w:rsidRPr="00FE68C0">
        <w:rPr>
          <w:rStyle w:val="Bold"/>
        </w:rPr>
        <w:t>NGL</w:t>
      </w:r>
      <w:r w:rsidRPr="00527358">
        <w:t xml:space="preserve">, </w:t>
      </w:r>
      <w:r w:rsidRPr="00FE68C0">
        <w:rPr>
          <w:rStyle w:val="Bold"/>
        </w:rPr>
        <w:t>NGR</w:t>
      </w:r>
      <w:r w:rsidRPr="00527358">
        <w:t xml:space="preserve"> and Procedures. The </w:t>
      </w:r>
      <w:r w:rsidRPr="00FE68C0">
        <w:rPr>
          <w:rStyle w:val="Bold"/>
        </w:rPr>
        <w:t>AER</w:t>
      </w:r>
      <w:r w:rsidRPr="00527358">
        <w:t xml:space="preserve"> has these roles in relation to the information disclosure requirements in Part 23, including with regard to the financial information reporting in accordance with the </w:t>
      </w:r>
      <w:r w:rsidRPr="00FE68C0">
        <w:rPr>
          <w:rStyle w:val="Bold"/>
        </w:rPr>
        <w:t>Guideline</w:t>
      </w:r>
      <w:r w:rsidRPr="00527358">
        <w:t>.</w:t>
      </w:r>
    </w:p>
    <w:p w14:paraId="4987ED10" w14:textId="77777777" w:rsidR="008F7448" w:rsidRDefault="008F7448" w:rsidP="00685983">
      <w:pPr>
        <w:pStyle w:val="Heading2"/>
        <w:numPr>
          <w:ilvl w:val="1"/>
          <w:numId w:val="32"/>
        </w:numPr>
        <w:tabs>
          <w:tab w:val="left" w:pos="680"/>
        </w:tabs>
        <w:ind w:left="680" w:hanging="680"/>
      </w:pPr>
      <w:bookmarkStart w:id="102" w:name="_Toc499898251"/>
      <w:bookmarkStart w:id="103" w:name="_Toc501379542"/>
      <w:r>
        <w:t>Reporting by the AER</w:t>
      </w:r>
      <w:bookmarkEnd w:id="102"/>
      <w:bookmarkEnd w:id="103"/>
    </w:p>
    <w:p w14:paraId="7E9E5474" w14:textId="77777777" w:rsidR="008F7448" w:rsidRDefault="008F7448" w:rsidP="008F7448">
      <w:r>
        <w:t xml:space="preserve">The </w:t>
      </w:r>
      <w:r w:rsidRPr="00741ACA">
        <w:rPr>
          <w:rStyle w:val="Strong"/>
        </w:rPr>
        <w:t>AER</w:t>
      </w:r>
      <w:r w:rsidRPr="003775EF">
        <w:t xml:space="preserve"> </w:t>
      </w:r>
      <w:r>
        <w:t xml:space="preserve">may publish reports from time to time about </w:t>
      </w:r>
      <w:r w:rsidRPr="00741ACA">
        <w:rPr>
          <w:rStyle w:val="Strong"/>
        </w:rPr>
        <w:t>service providers</w:t>
      </w:r>
      <w:r>
        <w:rPr>
          <w:rStyle w:val="Strong"/>
        </w:rPr>
        <w:t>'</w:t>
      </w:r>
      <w:r>
        <w:t xml:space="preserve"> compliance with this </w:t>
      </w:r>
      <w:r w:rsidRPr="00741ACA">
        <w:rPr>
          <w:rStyle w:val="Strong"/>
        </w:rPr>
        <w:t>Guideline</w:t>
      </w:r>
      <w:r>
        <w:t>.</w:t>
      </w:r>
    </w:p>
    <w:p w14:paraId="1B1AD796" w14:textId="77777777" w:rsidR="008F7448" w:rsidRPr="003775EF" w:rsidRDefault="008F7448" w:rsidP="00685983">
      <w:pPr>
        <w:pStyle w:val="Heading2"/>
        <w:numPr>
          <w:ilvl w:val="1"/>
          <w:numId w:val="32"/>
        </w:numPr>
        <w:tabs>
          <w:tab w:val="left" w:pos="680"/>
        </w:tabs>
        <w:ind w:left="680" w:hanging="680"/>
      </w:pPr>
      <w:bookmarkStart w:id="104" w:name="_Toc499898252"/>
      <w:bookmarkStart w:id="105" w:name="_Toc501379543"/>
      <w:r w:rsidRPr="003775EF">
        <w:t>Complaints and investigations</w:t>
      </w:r>
      <w:bookmarkEnd w:id="104"/>
      <w:bookmarkEnd w:id="105"/>
      <w:r w:rsidRPr="003775EF">
        <w:t xml:space="preserve"> </w:t>
      </w:r>
    </w:p>
    <w:p w14:paraId="6FCD4944" w14:textId="77777777" w:rsidR="008F7448" w:rsidRDefault="008F7448" w:rsidP="008F7448">
      <w:r w:rsidRPr="003775EF">
        <w:t xml:space="preserve">The </w:t>
      </w:r>
      <w:r w:rsidRPr="00741ACA">
        <w:rPr>
          <w:rStyle w:val="Strong"/>
        </w:rPr>
        <w:t>AER</w:t>
      </w:r>
      <w:r w:rsidRPr="003775EF">
        <w:t xml:space="preserve"> may, at any time, require a </w:t>
      </w:r>
      <w:r w:rsidRPr="00741ACA">
        <w:rPr>
          <w:rStyle w:val="Strong"/>
        </w:rPr>
        <w:t>service provider</w:t>
      </w:r>
      <w:r>
        <w:t xml:space="preserve"> </w:t>
      </w:r>
      <w:r w:rsidRPr="003775EF">
        <w:t xml:space="preserve">to provide a written response to a complaint or concern the </w:t>
      </w:r>
      <w:r w:rsidRPr="00741ACA">
        <w:rPr>
          <w:rStyle w:val="Strong"/>
        </w:rPr>
        <w:t>AER</w:t>
      </w:r>
      <w:r w:rsidRPr="003775EF">
        <w:t xml:space="preserve"> raises with the </w:t>
      </w:r>
      <w:r w:rsidRPr="00741ACA">
        <w:rPr>
          <w:rStyle w:val="Strong"/>
        </w:rPr>
        <w:t>service provider</w:t>
      </w:r>
      <w:r w:rsidRPr="003775EF">
        <w:t xml:space="preserve"> about its compliance with this </w:t>
      </w:r>
      <w:r w:rsidRPr="00741ACA">
        <w:rPr>
          <w:rStyle w:val="Strong"/>
        </w:rPr>
        <w:t>Guideline</w:t>
      </w:r>
      <w:r w:rsidRPr="003775EF">
        <w:t xml:space="preserve">, including where the </w:t>
      </w:r>
      <w:r w:rsidRPr="00741ACA">
        <w:rPr>
          <w:rStyle w:val="Strong"/>
        </w:rPr>
        <w:t>AER</w:t>
      </w:r>
      <w:r w:rsidRPr="003775EF">
        <w:t xml:space="preserve"> has previously required the </w:t>
      </w:r>
      <w:r w:rsidRPr="00741ACA">
        <w:rPr>
          <w:rStyle w:val="Strong"/>
        </w:rPr>
        <w:t>service provider</w:t>
      </w:r>
      <w:r w:rsidRPr="003775EF">
        <w:t xml:space="preserve"> to provide one or more written responses to the relevant complaint or concern.</w:t>
      </w:r>
    </w:p>
    <w:p w14:paraId="44D8AFB6" w14:textId="77777777" w:rsidR="00D031B3" w:rsidRDefault="00D031B3" w:rsidP="00685983">
      <w:pPr>
        <w:pStyle w:val="Heading2"/>
        <w:numPr>
          <w:ilvl w:val="1"/>
          <w:numId w:val="32"/>
        </w:numPr>
        <w:tabs>
          <w:tab w:val="left" w:pos="680"/>
        </w:tabs>
        <w:ind w:left="680" w:hanging="680"/>
      </w:pPr>
      <w:bookmarkStart w:id="106" w:name="_Toc501379544"/>
      <w:r>
        <w:t>Enforcement</w:t>
      </w:r>
      <w:bookmarkEnd w:id="106"/>
    </w:p>
    <w:p w14:paraId="47D9B4AE" w14:textId="1348F0FE" w:rsidR="00D031B3" w:rsidRDefault="00D031B3" w:rsidP="00D031B3">
      <w:r w:rsidRPr="00D031B3">
        <w:rPr>
          <w:b/>
        </w:rPr>
        <w:t>Service providers</w:t>
      </w:r>
      <w:r>
        <w:t xml:space="preserve"> must comply with the </w:t>
      </w:r>
      <w:r w:rsidR="0089611C">
        <w:t>G</w:t>
      </w:r>
      <w:r w:rsidRPr="00D031B3">
        <w:rPr>
          <w:b/>
        </w:rPr>
        <w:t>uideline</w:t>
      </w:r>
      <w:r>
        <w:t xml:space="preserve">. Under the </w:t>
      </w:r>
      <w:r w:rsidRPr="00B83DCA">
        <w:rPr>
          <w:b/>
        </w:rPr>
        <w:t>NGL</w:t>
      </w:r>
      <w:r>
        <w:t xml:space="preserve">, if a </w:t>
      </w:r>
      <w:r w:rsidRPr="00D031B3">
        <w:rPr>
          <w:b/>
        </w:rPr>
        <w:t>service provider</w:t>
      </w:r>
      <w:r>
        <w:t xml:space="preserve"> fails to comply with the disclosure requirements, the AER can: </w:t>
      </w:r>
    </w:p>
    <w:p w14:paraId="05F54FB5" w14:textId="33B28D3D" w:rsidR="00D031B3" w:rsidRDefault="00D031B3" w:rsidP="00685983">
      <w:pPr>
        <w:pStyle w:val="ListParagraph"/>
        <w:numPr>
          <w:ilvl w:val="0"/>
          <w:numId w:val="37"/>
        </w:numPr>
      </w:pPr>
      <w:r>
        <w:t xml:space="preserve">seek an administrative resolution, which may include a voluntary commitment by the </w:t>
      </w:r>
      <w:r w:rsidRPr="00B83DCA">
        <w:rPr>
          <w:b/>
        </w:rPr>
        <w:t>service provider</w:t>
      </w:r>
      <w:r>
        <w:t xml:space="preserve"> to rectify non-compliance; or</w:t>
      </w:r>
    </w:p>
    <w:p w14:paraId="290205DF" w14:textId="7592619D" w:rsidR="00D031B3" w:rsidRPr="00527358" w:rsidRDefault="00D031B3" w:rsidP="00685983">
      <w:pPr>
        <w:pStyle w:val="ListParagraph"/>
        <w:numPr>
          <w:ilvl w:val="0"/>
          <w:numId w:val="37"/>
        </w:numPr>
      </w:pPr>
      <w:r>
        <w:t xml:space="preserve">institute civil proceedings in the Federal Court and seek an injunction or an order that the </w:t>
      </w:r>
      <w:r w:rsidRPr="00B83DCA">
        <w:rPr>
          <w:b/>
        </w:rPr>
        <w:t>service provider</w:t>
      </w:r>
      <w:r>
        <w:t xml:space="preserve"> cease or remedy the conduct.</w:t>
      </w:r>
    </w:p>
    <w:p w14:paraId="3180A340" w14:textId="77777777" w:rsidR="008F7448" w:rsidRDefault="008F7448" w:rsidP="00685983">
      <w:pPr>
        <w:pStyle w:val="Heading1"/>
        <w:pageBreakBefore/>
        <w:numPr>
          <w:ilvl w:val="0"/>
          <w:numId w:val="32"/>
        </w:numPr>
        <w:tabs>
          <w:tab w:val="left" w:pos="680"/>
        </w:tabs>
        <w:ind w:left="680" w:hanging="680"/>
      </w:pPr>
      <w:bookmarkStart w:id="107" w:name="_Ref499305325"/>
      <w:bookmarkStart w:id="108" w:name="_Ref499305331"/>
      <w:bookmarkStart w:id="109" w:name="_Toc499898253"/>
      <w:bookmarkStart w:id="110" w:name="_Toc501379545"/>
      <w:r>
        <w:lastRenderedPageBreak/>
        <w:t>Basis of preparation</w:t>
      </w:r>
      <w:bookmarkEnd w:id="107"/>
      <w:bookmarkEnd w:id="108"/>
      <w:bookmarkEnd w:id="109"/>
      <w:bookmarkEnd w:id="110"/>
    </w:p>
    <w:p w14:paraId="2F03974E" w14:textId="2609E927" w:rsidR="008F7448" w:rsidRPr="003B2C6D" w:rsidRDefault="008F7448" w:rsidP="008F7448">
      <w:r w:rsidRPr="003B2C6D">
        <w:rPr>
          <w:rStyle w:val="Strong"/>
        </w:rPr>
        <w:t>Service providers</w:t>
      </w:r>
      <w:r w:rsidRPr="003B2C6D">
        <w:t xml:space="preserve"> are required to provide a basis of preparation separate to the </w:t>
      </w:r>
      <w:r w:rsidRPr="003B2C6D">
        <w:rPr>
          <w:rStyle w:val="Strong"/>
        </w:rPr>
        <w:t>financial reporting template</w:t>
      </w:r>
      <w:r w:rsidRPr="003B2C6D">
        <w:t xml:space="preserve">. This is required to be published on the </w:t>
      </w:r>
      <w:r w:rsidRPr="003B2C6D">
        <w:rPr>
          <w:rStyle w:val="Strong"/>
        </w:rPr>
        <w:t>service provider's</w:t>
      </w:r>
      <w:r w:rsidRPr="003B2C6D">
        <w:t xml:space="preserve"> website with the </w:t>
      </w:r>
      <w:r w:rsidRPr="003B2C6D">
        <w:rPr>
          <w:rStyle w:val="Strong"/>
        </w:rPr>
        <w:t>financial reporting template</w:t>
      </w:r>
      <w:r w:rsidRPr="003B2C6D">
        <w:t>.</w:t>
      </w:r>
    </w:p>
    <w:p w14:paraId="3F3FC752" w14:textId="77777777" w:rsidR="00D031B3" w:rsidRDefault="00D031B3" w:rsidP="00D031B3">
      <w:r>
        <w:t>The basis of preparation must be a separate document providing information in relation to the:</w:t>
      </w:r>
    </w:p>
    <w:p w14:paraId="0CCE6B1C" w14:textId="7DEA66F1" w:rsidR="00D031B3" w:rsidRPr="00D031B3" w:rsidRDefault="00D031B3" w:rsidP="001D15FE">
      <w:pPr>
        <w:pStyle w:val="Bulletpoint"/>
        <w:ind w:left="357" w:hanging="357"/>
      </w:pPr>
      <w:r w:rsidRPr="00D031B3">
        <w:t xml:space="preserve">pipeline financial statements, </w:t>
      </w:r>
    </w:p>
    <w:p w14:paraId="65EFCE3D" w14:textId="49E105B5" w:rsidR="00D031B3" w:rsidRPr="00D031B3" w:rsidRDefault="00D031B3" w:rsidP="001D15FE">
      <w:pPr>
        <w:pStyle w:val="Bulletpoint"/>
        <w:ind w:left="357" w:hanging="357"/>
      </w:pPr>
      <w:r w:rsidRPr="00D031B3">
        <w:t xml:space="preserve">pipeline information, </w:t>
      </w:r>
    </w:p>
    <w:p w14:paraId="3BC7D56C" w14:textId="474A4061" w:rsidR="00D031B3" w:rsidRPr="00D031B3" w:rsidRDefault="00D031B3" w:rsidP="001D15FE">
      <w:pPr>
        <w:pStyle w:val="Bulletpoint"/>
        <w:ind w:left="357" w:hanging="357"/>
      </w:pPr>
      <w:r w:rsidRPr="00D031B3">
        <w:t xml:space="preserve">asset value determined using the recovered capital method and </w:t>
      </w:r>
    </w:p>
    <w:p w14:paraId="7C537336" w14:textId="6A9CD63D" w:rsidR="00D031B3" w:rsidRPr="00D031B3" w:rsidRDefault="00D031B3" w:rsidP="001D15FE">
      <w:pPr>
        <w:pStyle w:val="Bulletpoint"/>
        <w:ind w:left="357" w:hanging="357"/>
      </w:pPr>
      <w:r w:rsidRPr="00D031B3">
        <w:t>the weighted average prices calculated</w:t>
      </w:r>
      <w:r w:rsidR="001D15FE">
        <w:t>,</w:t>
      </w:r>
      <w:r w:rsidRPr="00D031B3">
        <w:t xml:space="preserve"> </w:t>
      </w:r>
    </w:p>
    <w:p w14:paraId="7A2D536F" w14:textId="77777777" w:rsidR="00D031B3" w:rsidRDefault="00D031B3" w:rsidP="00D031B3">
      <w:r>
        <w:t xml:space="preserve">that the </w:t>
      </w:r>
      <w:r w:rsidRPr="00D031B3">
        <w:rPr>
          <w:b/>
        </w:rPr>
        <w:t>service provider</w:t>
      </w:r>
      <w:r>
        <w:t xml:space="preserve"> publishes with its completed </w:t>
      </w:r>
      <w:r w:rsidRPr="00D031B3">
        <w:rPr>
          <w:b/>
        </w:rPr>
        <w:t>financial reporting template</w:t>
      </w:r>
      <w:r>
        <w:t xml:space="preserve">. </w:t>
      </w:r>
    </w:p>
    <w:p w14:paraId="37D068FF" w14:textId="37BE36B3" w:rsidR="008F7448" w:rsidRPr="003B2C6D" w:rsidRDefault="008F7448" w:rsidP="00D031B3">
      <w:r w:rsidRPr="003B2C6D">
        <w:t>The basis of preparation must:</w:t>
      </w:r>
    </w:p>
    <w:p w14:paraId="5158DA6C" w14:textId="77777777" w:rsidR="008F7448" w:rsidRPr="003B2C6D" w:rsidRDefault="008F7448" w:rsidP="006E578F">
      <w:pPr>
        <w:pStyle w:val="Bulletpoint"/>
        <w:ind w:left="357" w:hanging="357"/>
      </w:pPr>
      <w:r w:rsidRPr="003B2C6D">
        <w:t xml:space="preserve">explain the source/s from which the </w:t>
      </w:r>
      <w:r w:rsidRPr="00B83DCA">
        <w:rPr>
          <w:b/>
        </w:rPr>
        <w:t>service provider</w:t>
      </w:r>
      <w:r w:rsidRPr="003B2C6D">
        <w:t xml:space="preserve"> obtained the information provided, including where information is obtained from external sources</w:t>
      </w:r>
    </w:p>
    <w:p w14:paraId="58C04EA1" w14:textId="77777777" w:rsidR="008F7448" w:rsidRPr="003B2C6D" w:rsidRDefault="008F7448" w:rsidP="006E578F">
      <w:pPr>
        <w:pStyle w:val="Bulletpoint"/>
        <w:ind w:left="357" w:hanging="357"/>
      </w:pPr>
      <w:r w:rsidRPr="003B2C6D">
        <w:t xml:space="preserve">explain the methodology the </w:t>
      </w:r>
      <w:r w:rsidRPr="003B2C6D">
        <w:rPr>
          <w:rStyle w:val="Strong"/>
        </w:rPr>
        <w:t>service provider</w:t>
      </w:r>
      <w:r w:rsidRPr="003B2C6D">
        <w:t xml:space="preserve"> applied to provide the required information, including any assumptions the </w:t>
      </w:r>
      <w:r w:rsidRPr="003B2C6D">
        <w:rPr>
          <w:rStyle w:val="Strong"/>
        </w:rPr>
        <w:t>service provider</w:t>
      </w:r>
      <w:r w:rsidRPr="003B2C6D">
        <w:t xml:space="preserve"> made</w:t>
      </w:r>
      <w:r>
        <w:t xml:space="preserve"> and inputs used</w:t>
      </w:r>
    </w:p>
    <w:p w14:paraId="649557D1" w14:textId="77777777" w:rsidR="008F7448" w:rsidRPr="003B2C6D" w:rsidRDefault="008F7448" w:rsidP="006E578F">
      <w:pPr>
        <w:pStyle w:val="Bulletpoint"/>
        <w:ind w:left="357" w:hanging="357"/>
      </w:pPr>
      <w:r w:rsidRPr="003B2C6D">
        <w:t xml:space="preserve">explain, in circumstances where the </w:t>
      </w:r>
      <w:r w:rsidRPr="003B2C6D">
        <w:rPr>
          <w:rStyle w:val="Strong"/>
        </w:rPr>
        <w:t>service provider</w:t>
      </w:r>
      <w:r w:rsidRPr="003B2C6D">
        <w:t xml:space="preserve"> cannot provide actual information and only estimates are available:</w:t>
      </w:r>
    </w:p>
    <w:p w14:paraId="5056EB41" w14:textId="77777777" w:rsidR="008F7448" w:rsidRPr="003B2C6D" w:rsidRDefault="008F7448" w:rsidP="006E578F">
      <w:pPr>
        <w:pStyle w:val="Bulletpoint"/>
        <w:numPr>
          <w:ilvl w:val="1"/>
          <w:numId w:val="2"/>
        </w:numPr>
      </w:pPr>
      <w:r w:rsidRPr="003B2C6D">
        <w:t xml:space="preserve">why it was not possible for the </w:t>
      </w:r>
      <w:r w:rsidRPr="006E578F">
        <w:rPr>
          <w:b/>
        </w:rPr>
        <w:t>service provider</w:t>
      </w:r>
      <w:r w:rsidRPr="003B2C6D">
        <w:t xml:space="preserve"> to provide actual information;</w:t>
      </w:r>
    </w:p>
    <w:p w14:paraId="318BFFE5" w14:textId="77777777" w:rsidR="008F7448" w:rsidRPr="003B2C6D" w:rsidRDefault="008F7448" w:rsidP="006E578F">
      <w:pPr>
        <w:pStyle w:val="Bulletpoint"/>
        <w:numPr>
          <w:ilvl w:val="1"/>
          <w:numId w:val="2"/>
        </w:numPr>
      </w:pPr>
      <w:r w:rsidRPr="003B2C6D">
        <w:t xml:space="preserve">what steps the </w:t>
      </w:r>
      <w:r w:rsidRPr="006E578F">
        <w:rPr>
          <w:b/>
        </w:rPr>
        <w:t>service provider</w:t>
      </w:r>
      <w:r w:rsidRPr="003B2C6D">
        <w:t xml:space="preserve"> took to locate </w:t>
      </w:r>
      <w:r>
        <w:t xml:space="preserve">actual </w:t>
      </w:r>
      <w:r w:rsidRPr="003B2C6D">
        <w:t>information;</w:t>
      </w:r>
    </w:p>
    <w:p w14:paraId="62E4C184" w14:textId="77777777" w:rsidR="008F7448" w:rsidRDefault="008F7448" w:rsidP="006E578F">
      <w:pPr>
        <w:pStyle w:val="Bulletpoint"/>
        <w:numPr>
          <w:ilvl w:val="1"/>
          <w:numId w:val="2"/>
        </w:numPr>
      </w:pPr>
      <w:r w:rsidRPr="003B2C6D">
        <w:t xml:space="preserve">if an estimate has been provided, the basis for the estimate, including the </w:t>
      </w:r>
      <w:r>
        <w:t xml:space="preserve">methods, </w:t>
      </w:r>
      <w:r w:rsidRPr="003B2C6D">
        <w:t xml:space="preserve">assumptions </w:t>
      </w:r>
      <w:r>
        <w:t>and inputs used</w:t>
      </w:r>
    </w:p>
    <w:p w14:paraId="7CE0D02C" w14:textId="77777777" w:rsidR="008F7448" w:rsidRPr="003B2C6D" w:rsidRDefault="008F7448" w:rsidP="006E578F">
      <w:pPr>
        <w:pStyle w:val="Bulletpoint"/>
        <w:numPr>
          <w:ilvl w:val="1"/>
          <w:numId w:val="2"/>
        </w:numPr>
      </w:pPr>
      <w:r>
        <w:t>why the estimate represents the best estimate possible in the circumstances and has been arrived at on a reasonable basis</w:t>
      </w:r>
      <w:r w:rsidRPr="003B2C6D">
        <w:t>.</w:t>
      </w:r>
    </w:p>
    <w:p w14:paraId="0F6B300C" w14:textId="0A78DFB2" w:rsidR="008F7448" w:rsidRPr="003B2C6D" w:rsidRDefault="008F7448" w:rsidP="008F7448">
      <w:r w:rsidRPr="003B2C6D">
        <w:t>The basis of preparation must follow a logical structure that enables auditors</w:t>
      </w:r>
      <w:r w:rsidR="009B34B6">
        <w:t>,</w:t>
      </w:r>
      <w:r w:rsidRPr="003B2C6D">
        <w:t xml:space="preserve"> </w:t>
      </w:r>
      <w:r>
        <w:t>prospective users</w:t>
      </w:r>
      <w:r w:rsidR="004C34D3">
        <w:t>, arbitrators</w:t>
      </w:r>
      <w:r>
        <w:t xml:space="preserve"> </w:t>
      </w:r>
      <w:r w:rsidRPr="003B2C6D">
        <w:t xml:space="preserve">and the </w:t>
      </w:r>
      <w:r w:rsidRPr="003B2C6D">
        <w:rPr>
          <w:rStyle w:val="Strong"/>
        </w:rPr>
        <w:t>AER</w:t>
      </w:r>
      <w:r w:rsidRPr="003B2C6D">
        <w:t xml:space="preserve"> to clearly understand how the </w:t>
      </w:r>
      <w:r w:rsidRPr="003B2C6D">
        <w:rPr>
          <w:rStyle w:val="Strong"/>
        </w:rPr>
        <w:t>service provider</w:t>
      </w:r>
      <w:r w:rsidRPr="003B2C6D">
        <w:t xml:space="preserve"> has complied with the requirements of the </w:t>
      </w:r>
      <w:r w:rsidR="00280DFE">
        <w:rPr>
          <w:rStyle w:val="Strong"/>
        </w:rPr>
        <w:t>G</w:t>
      </w:r>
      <w:r w:rsidR="00280DFE" w:rsidRPr="003B2C6D">
        <w:rPr>
          <w:rStyle w:val="Strong"/>
        </w:rPr>
        <w:t>uideline</w:t>
      </w:r>
      <w:r w:rsidRPr="003B2C6D">
        <w:t xml:space="preserve">. </w:t>
      </w:r>
    </w:p>
    <w:p w14:paraId="1E1EFC5A" w14:textId="7D0FD132" w:rsidR="008F7448" w:rsidRDefault="008F7448" w:rsidP="008F7448">
      <w:r w:rsidRPr="003B2C6D">
        <w:t xml:space="preserve">When carrying out an </w:t>
      </w:r>
      <w:r w:rsidR="00280DFE">
        <w:t>assurance engagement</w:t>
      </w:r>
      <w:r w:rsidRPr="003B2C6D">
        <w:t xml:space="preserve"> as specified in Section </w:t>
      </w:r>
      <w:r w:rsidRPr="003B2C6D">
        <w:fldChar w:fldCharType="begin"/>
      </w:r>
      <w:r w:rsidRPr="003B2C6D">
        <w:instrText xml:space="preserve"> REF _Ref499278347 \r \h </w:instrText>
      </w:r>
      <w:r w:rsidRPr="003B2C6D">
        <w:fldChar w:fldCharType="separate"/>
      </w:r>
      <w:r w:rsidR="00192C7D">
        <w:t>8</w:t>
      </w:r>
      <w:r w:rsidRPr="003B2C6D">
        <w:fldChar w:fldCharType="end"/>
      </w:r>
      <w:r w:rsidRPr="003B2C6D">
        <w:t>, an auditor shall have re</w:t>
      </w:r>
      <w:r>
        <w:t>gard</w:t>
      </w:r>
      <w:r w:rsidRPr="003B2C6D">
        <w:t xml:space="preserve"> to the </w:t>
      </w:r>
      <w:r w:rsidRPr="003B2C6D">
        <w:rPr>
          <w:rStyle w:val="Strong"/>
        </w:rPr>
        <w:t>service provider's</w:t>
      </w:r>
      <w:r w:rsidRPr="003B2C6D">
        <w:t xml:space="preserve"> basis of preparation.</w:t>
      </w:r>
    </w:p>
    <w:p w14:paraId="634665C5" w14:textId="77777777" w:rsidR="008F7448" w:rsidRPr="009D4A3F" w:rsidRDefault="008F7448" w:rsidP="008F7448"/>
    <w:p w14:paraId="0B42E281" w14:textId="77777777" w:rsidR="008F7448" w:rsidRDefault="008F7448" w:rsidP="00685983">
      <w:pPr>
        <w:pStyle w:val="Heading1"/>
        <w:pageBreakBefore/>
        <w:numPr>
          <w:ilvl w:val="0"/>
          <w:numId w:val="32"/>
        </w:numPr>
        <w:tabs>
          <w:tab w:val="left" w:pos="680"/>
        </w:tabs>
        <w:ind w:left="680" w:hanging="680"/>
      </w:pPr>
      <w:bookmarkStart w:id="111" w:name="_Ref499278347"/>
      <w:bookmarkStart w:id="112" w:name="_Toc499898254"/>
      <w:bookmarkStart w:id="113" w:name="_Toc501379546"/>
      <w:r>
        <w:lastRenderedPageBreak/>
        <w:t>Assurance</w:t>
      </w:r>
      <w:bookmarkEnd w:id="111"/>
      <w:bookmarkEnd w:id="112"/>
      <w:bookmarkEnd w:id="113"/>
    </w:p>
    <w:p w14:paraId="1FF838D2" w14:textId="77777777" w:rsidR="008F7448" w:rsidRPr="003B2C6D" w:rsidRDefault="008F7448" w:rsidP="00685983">
      <w:pPr>
        <w:pStyle w:val="Heading2"/>
        <w:numPr>
          <w:ilvl w:val="1"/>
          <w:numId w:val="32"/>
        </w:numPr>
        <w:tabs>
          <w:tab w:val="left" w:pos="680"/>
        </w:tabs>
        <w:ind w:left="680" w:hanging="680"/>
      </w:pPr>
      <w:bookmarkStart w:id="114" w:name="_Toc499898255"/>
      <w:bookmarkStart w:id="115" w:name="_Toc501379547"/>
      <w:r w:rsidRPr="003B2C6D">
        <w:t>Access information standard</w:t>
      </w:r>
      <w:bookmarkEnd w:id="114"/>
      <w:bookmarkEnd w:id="115"/>
    </w:p>
    <w:p w14:paraId="10A88E7C" w14:textId="77777777" w:rsidR="008F7448" w:rsidRPr="003B2C6D" w:rsidRDefault="008F7448" w:rsidP="008F7448">
      <w:r w:rsidRPr="003B2C6D">
        <w:t xml:space="preserve">Rule 551(1) of the </w:t>
      </w:r>
      <w:r w:rsidRPr="00B83DCA">
        <w:rPr>
          <w:b/>
        </w:rPr>
        <w:t xml:space="preserve">NGR </w:t>
      </w:r>
      <w:r w:rsidRPr="003B2C6D">
        <w:t xml:space="preserve">requires the information published under Division 2 of Part 23 to be prepared and maintained in accordance with the access information standard. The access information standard means that the information:  </w:t>
      </w:r>
    </w:p>
    <w:p w14:paraId="2D6ED562" w14:textId="77777777" w:rsidR="008F7448" w:rsidRPr="003B2C6D" w:rsidRDefault="008F7448" w:rsidP="006E578F">
      <w:pPr>
        <w:pStyle w:val="Bulletpoint"/>
        <w:ind w:left="357" w:hanging="357"/>
      </w:pPr>
      <w:r w:rsidRPr="003B2C6D">
        <w:t>is not false or misleading in a material particular;</w:t>
      </w:r>
    </w:p>
    <w:p w14:paraId="0FFCDC22" w14:textId="77777777" w:rsidR="008F7448" w:rsidRPr="003B2C6D" w:rsidRDefault="008F7448" w:rsidP="006E578F">
      <w:pPr>
        <w:pStyle w:val="Bulletpoint"/>
        <w:ind w:left="357" w:hanging="357"/>
      </w:pPr>
      <w:r w:rsidRPr="003B2C6D">
        <w:t>where of a technical nature, is prepared in accordance with the practices, methods and acts that would reasonably be expected from an experienced and competent person engaged in the ownership, operation or control of a pipeline in Australia acting with all due skill, diligence, prudence and foresight; and</w:t>
      </w:r>
    </w:p>
    <w:p w14:paraId="7295BB6C" w14:textId="77777777" w:rsidR="008F7448" w:rsidRPr="003B2C6D" w:rsidRDefault="008F7448" w:rsidP="006E578F">
      <w:pPr>
        <w:pStyle w:val="Bulletpoint"/>
        <w:ind w:left="357" w:hanging="357"/>
      </w:pPr>
      <w:r w:rsidRPr="003B2C6D">
        <w:t>in relation to a forecast or estimate, is supported by a statement of the basis of the forecast or estimate and:</w:t>
      </w:r>
    </w:p>
    <w:p w14:paraId="75440B7A" w14:textId="77777777" w:rsidR="008F7448" w:rsidRPr="003B2C6D" w:rsidRDefault="008F7448" w:rsidP="00685983">
      <w:pPr>
        <w:pStyle w:val="Bulletpoint2"/>
        <w:numPr>
          <w:ilvl w:val="2"/>
          <w:numId w:val="34"/>
        </w:numPr>
        <w:tabs>
          <w:tab w:val="clear" w:pos="680"/>
        </w:tabs>
      </w:pPr>
      <w:r w:rsidRPr="003B2C6D">
        <w:t>is arrived at on a reasonable basis; and</w:t>
      </w:r>
    </w:p>
    <w:p w14:paraId="4E79413A" w14:textId="77777777" w:rsidR="008F7448" w:rsidRPr="003B2C6D" w:rsidRDefault="008F7448" w:rsidP="00685983">
      <w:pPr>
        <w:pStyle w:val="Bulletpoint2"/>
        <w:numPr>
          <w:ilvl w:val="2"/>
          <w:numId w:val="34"/>
        </w:numPr>
        <w:tabs>
          <w:tab w:val="clear" w:pos="680"/>
        </w:tabs>
      </w:pPr>
      <w:r w:rsidRPr="003B2C6D">
        <w:t>represents the best forecast or estimate possible in the circumstances.</w:t>
      </w:r>
    </w:p>
    <w:p w14:paraId="1CC83C4B" w14:textId="55F6E77C" w:rsidR="008F7448" w:rsidRPr="003B2C6D" w:rsidRDefault="008F7448" w:rsidP="008F7448">
      <w:r w:rsidRPr="003B2C6D">
        <w:t xml:space="preserve">Where a </w:t>
      </w:r>
      <w:r w:rsidRPr="00B83DCA">
        <w:rPr>
          <w:b/>
        </w:rPr>
        <w:t>service provider</w:t>
      </w:r>
      <w:r w:rsidRPr="003B2C6D">
        <w:t xml:space="preserve"> becomes aware that information required to be published does not comply with the access information standard, r</w:t>
      </w:r>
      <w:r w:rsidR="009B34B6">
        <w:t>.</w:t>
      </w:r>
      <w:r w:rsidRPr="003B2C6D">
        <w:t xml:space="preserve"> 551(3) requires the </w:t>
      </w:r>
      <w:r w:rsidRPr="00B83DCA">
        <w:rPr>
          <w:b/>
        </w:rPr>
        <w:t>service provider</w:t>
      </w:r>
      <w:r w:rsidRPr="003B2C6D">
        <w:t xml:space="preserve"> to publish information that does comply as soon as practicable after the </w:t>
      </w:r>
      <w:r w:rsidRPr="00B83DCA">
        <w:rPr>
          <w:b/>
        </w:rPr>
        <w:t xml:space="preserve">service provider </w:t>
      </w:r>
      <w:r w:rsidRPr="003B2C6D">
        <w:t>becomes aware of the non-compliance.</w:t>
      </w:r>
    </w:p>
    <w:p w14:paraId="48BDC424" w14:textId="77777777" w:rsidR="008F7448" w:rsidRPr="003B2C6D" w:rsidRDefault="008F7448" w:rsidP="008F7448">
      <w:r w:rsidRPr="003B2C6D">
        <w:t>Rule 551(4) requires information published under Part 23 to include the date of publication, the date to which the information is current and, if the information replaces an earlier version as provided for by subrule (3), notice of that fact.</w:t>
      </w:r>
    </w:p>
    <w:p w14:paraId="331A6A14" w14:textId="77777777" w:rsidR="008F7448" w:rsidRDefault="008F7448" w:rsidP="00685983">
      <w:pPr>
        <w:pStyle w:val="Heading2"/>
        <w:numPr>
          <w:ilvl w:val="1"/>
          <w:numId w:val="32"/>
        </w:numPr>
        <w:tabs>
          <w:tab w:val="left" w:pos="680"/>
        </w:tabs>
        <w:ind w:left="680" w:hanging="680"/>
      </w:pPr>
      <w:bookmarkStart w:id="116" w:name="_Toc499898256"/>
      <w:bookmarkStart w:id="117" w:name="_Toc501379548"/>
      <w:r>
        <w:t>Assurance obligations</w:t>
      </w:r>
      <w:bookmarkEnd w:id="116"/>
      <w:bookmarkEnd w:id="117"/>
    </w:p>
    <w:p w14:paraId="1764424E" w14:textId="3D71249B" w:rsidR="008F7448" w:rsidRDefault="008F7448" w:rsidP="008F7448">
      <w:r>
        <w:t xml:space="preserve">The information provided in the </w:t>
      </w:r>
      <w:r w:rsidRPr="002B0DE2">
        <w:rPr>
          <w:rStyle w:val="Strong"/>
        </w:rPr>
        <w:t>financial reporting template</w:t>
      </w:r>
      <w:r>
        <w:t xml:space="preserve"> and the accompanying basis of preparation </w:t>
      </w:r>
      <w:r w:rsidR="00E50E6E">
        <w:t>is</w:t>
      </w:r>
      <w:r>
        <w:t xml:space="preserve"> required to be audited or reviewed. </w:t>
      </w:r>
    </w:p>
    <w:p w14:paraId="72978D8A" w14:textId="7F36AD11" w:rsidR="00E50E6E" w:rsidRDefault="00E50E6E" w:rsidP="00E50E6E">
      <w:r>
        <w:t xml:space="preserve">Assurance must be conducted in compliance with the </w:t>
      </w:r>
      <w:r w:rsidRPr="00E50E6E">
        <w:rPr>
          <w:b/>
        </w:rPr>
        <w:t>Guideline</w:t>
      </w:r>
      <w:r>
        <w:t xml:space="preserve"> and Australian Auditing and Assurance Standards, as developed by the Auditing and Assurance Standards Board.</w:t>
      </w:r>
    </w:p>
    <w:p w14:paraId="3B1DD401" w14:textId="501743D5" w:rsidR="00E50E6E" w:rsidRDefault="00E50E6E" w:rsidP="00E50E6E">
      <w:r>
        <w:t xml:space="preserve">If the </w:t>
      </w:r>
      <w:r w:rsidRPr="0089611C">
        <w:rPr>
          <w:b/>
        </w:rPr>
        <w:t>service provider</w:t>
      </w:r>
      <w:r>
        <w:t xml:space="preserve"> has had information provided in the </w:t>
      </w:r>
      <w:r w:rsidRPr="00E50E6E">
        <w:rPr>
          <w:b/>
        </w:rPr>
        <w:t>financial reporting template</w:t>
      </w:r>
      <w:r>
        <w:t xml:space="preserve"> for the previous </w:t>
      </w:r>
      <w:r w:rsidRPr="0089611C">
        <w:rPr>
          <w:b/>
        </w:rPr>
        <w:t>reporting period</w:t>
      </w:r>
      <w:r>
        <w:t xml:space="preserve"> </w:t>
      </w:r>
      <w:r w:rsidR="0048516F">
        <w:t>audited</w:t>
      </w:r>
      <w:r>
        <w:t xml:space="preserve"> in accordance with this </w:t>
      </w:r>
      <w:r w:rsidRPr="00E50E6E">
        <w:rPr>
          <w:b/>
        </w:rPr>
        <w:t>Guideline</w:t>
      </w:r>
      <w:r w:rsidR="0048516F">
        <w:rPr>
          <w:b/>
        </w:rPr>
        <w:t xml:space="preserve"> </w:t>
      </w:r>
      <w:r w:rsidR="0048516F" w:rsidRPr="0048516F">
        <w:t>and current accounting standards</w:t>
      </w:r>
      <w:r>
        <w:t xml:space="preserve">, it is not necessary for this data to be </w:t>
      </w:r>
      <w:r w:rsidR="0048516F">
        <w:t>audited</w:t>
      </w:r>
      <w:r>
        <w:t xml:space="preserve"> again. </w:t>
      </w:r>
    </w:p>
    <w:p w14:paraId="24227761" w14:textId="389EBA63" w:rsidR="00E50E6E" w:rsidRDefault="00E50E6E" w:rsidP="00E50E6E">
      <w:r>
        <w:t xml:space="preserve">However, if this previously </w:t>
      </w:r>
      <w:r w:rsidR="0048516F">
        <w:t>audited</w:t>
      </w:r>
      <w:r>
        <w:t xml:space="preserve"> information has changed from </w:t>
      </w:r>
      <w:r w:rsidR="0089611C">
        <w:t xml:space="preserve">the </w:t>
      </w:r>
      <w:r>
        <w:t xml:space="preserve">previous reporting period, the information </w:t>
      </w:r>
      <w:r w:rsidR="0048516F">
        <w:t xml:space="preserve">for the previous </w:t>
      </w:r>
      <w:r w:rsidR="0048516F" w:rsidRPr="0089611C">
        <w:rPr>
          <w:b/>
        </w:rPr>
        <w:t>reporting period</w:t>
      </w:r>
      <w:r w:rsidR="0048516F">
        <w:t xml:space="preserve"> </w:t>
      </w:r>
      <w:r>
        <w:t xml:space="preserve">must be </w:t>
      </w:r>
      <w:r w:rsidR="0048516F">
        <w:t>audited</w:t>
      </w:r>
      <w:r>
        <w:t xml:space="preserve"> again to the standard required by the </w:t>
      </w:r>
      <w:r w:rsidRPr="00E50E6E">
        <w:rPr>
          <w:b/>
        </w:rPr>
        <w:t>Guideline</w:t>
      </w:r>
      <w:r>
        <w:t xml:space="preserve">. </w:t>
      </w:r>
    </w:p>
    <w:p w14:paraId="1C6050CE" w14:textId="77777777" w:rsidR="00E50E6E" w:rsidRDefault="00E50E6E" w:rsidP="00782377">
      <w:pPr>
        <w:pStyle w:val="Heading2"/>
        <w:keepNext/>
        <w:numPr>
          <w:ilvl w:val="1"/>
          <w:numId w:val="32"/>
        </w:numPr>
        <w:tabs>
          <w:tab w:val="left" w:pos="680"/>
        </w:tabs>
        <w:ind w:left="680" w:hanging="680"/>
      </w:pPr>
      <w:bookmarkStart w:id="118" w:name="_Toc501379549"/>
      <w:r>
        <w:lastRenderedPageBreak/>
        <w:t>Persons to provide assurance</w:t>
      </w:r>
      <w:bookmarkEnd w:id="118"/>
    </w:p>
    <w:p w14:paraId="68628DE8" w14:textId="77777777" w:rsidR="00E50E6E" w:rsidRPr="00E50E6E" w:rsidRDefault="00E50E6E" w:rsidP="00782377">
      <w:pPr>
        <w:pStyle w:val="Bulletpoint"/>
        <w:keepNext/>
        <w:numPr>
          <w:ilvl w:val="0"/>
          <w:numId w:val="0"/>
        </w:numPr>
      </w:pPr>
      <w:r w:rsidRPr="00E50E6E">
        <w:t xml:space="preserve">Assurance of the </w:t>
      </w:r>
      <w:r w:rsidRPr="00E50E6E">
        <w:rPr>
          <w:b/>
        </w:rPr>
        <w:t>financial reporting template</w:t>
      </w:r>
      <w:r w:rsidRPr="00E50E6E">
        <w:t xml:space="preserve"> must be undertaken by a person who</w:t>
      </w:r>
      <w:r w:rsidRPr="00E50E6E">
        <w:rPr>
          <w:rFonts w:cstheme="minorBidi"/>
        </w:rPr>
        <w:t>:</w:t>
      </w:r>
    </w:p>
    <w:p w14:paraId="00D9D559" w14:textId="27EAE030" w:rsidR="008F7448" w:rsidRPr="00B7462B" w:rsidRDefault="008F7448" w:rsidP="001D15FE">
      <w:pPr>
        <w:pStyle w:val="Bulletpoint"/>
        <w:ind w:left="357" w:hanging="357"/>
      </w:pPr>
      <w:r>
        <w:t xml:space="preserve">is </w:t>
      </w:r>
      <w:r w:rsidRPr="00B7462B">
        <w:t xml:space="preserve">a registered company auditor who is a member of the Institute of Chartered Accountants Australia (CA or FCA) or of CPA Australia (CPA or FCPA) that holds a Certificate of Public Practice </w:t>
      </w:r>
    </w:p>
    <w:p w14:paraId="3FDA72C0" w14:textId="77777777" w:rsidR="008F7448" w:rsidRPr="00B7462B" w:rsidRDefault="008F7448" w:rsidP="006E578F">
      <w:pPr>
        <w:pStyle w:val="Bulletpoint"/>
        <w:ind w:left="357" w:hanging="357"/>
      </w:pPr>
      <w:r>
        <w:t>is i</w:t>
      </w:r>
      <w:r w:rsidRPr="00B7462B">
        <w:t xml:space="preserve">ndependent from </w:t>
      </w:r>
      <w:r>
        <w:t xml:space="preserve">the </w:t>
      </w:r>
      <w:r w:rsidRPr="00B7462B">
        <w:rPr>
          <w:rStyle w:val="Strong"/>
        </w:rPr>
        <w:t>service provider</w:t>
      </w:r>
      <w:r>
        <w:t xml:space="preserve"> </w:t>
      </w:r>
      <w:r w:rsidRPr="00B7462B">
        <w:t xml:space="preserve">and all of its related bodies corporate – that is, not a principal, member, shareholder, officer, or employee of </w:t>
      </w:r>
      <w:r>
        <w:t xml:space="preserve">the </w:t>
      </w:r>
      <w:r w:rsidRPr="00B7462B">
        <w:rPr>
          <w:rStyle w:val="Strong"/>
        </w:rPr>
        <w:t>service provider</w:t>
      </w:r>
      <w:r w:rsidRPr="00B7462B">
        <w:t xml:space="preserve"> or its related entities</w:t>
      </w:r>
    </w:p>
    <w:p w14:paraId="3A710B2A" w14:textId="54E1DFE7" w:rsidR="008F7448" w:rsidRPr="00B7462B" w:rsidRDefault="008F7448" w:rsidP="006E578F">
      <w:pPr>
        <w:pStyle w:val="Bulletpoint"/>
        <w:ind w:left="357" w:hanging="357"/>
      </w:pPr>
      <w:r>
        <w:t xml:space="preserve">is </w:t>
      </w:r>
      <w:r w:rsidRPr="00B7462B">
        <w:t xml:space="preserve">appointed for the purposes of expressing an opinion or conclusion on the audit </w:t>
      </w:r>
      <w:r w:rsidR="007C677E">
        <w:t xml:space="preserve">or review </w:t>
      </w:r>
      <w:r w:rsidRPr="00B7462B">
        <w:t xml:space="preserve">requirements outlined in </w:t>
      </w:r>
      <w:r>
        <w:t>the</w:t>
      </w:r>
      <w:r w:rsidRPr="00B7462B">
        <w:rPr>
          <w:rStyle w:val="Strong"/>
        </w:rPr>
        <w:t xml:space="preserve"> </w:t>
      </w:r>
      <w:r w:rsidR="00E50E6E" w:rsidRPr="00B7462B">
        <w:rPr>
          <w:rStyle w:val="Strong"/>
        </w:rPr>
        <w:t>Guideline</w:t>
      </w:r>
    </w:p>
    <w:p w14:paraId="1DC62047" w14:textId="3726206A" w:rsidR="008F7448" w:rsidRPr="00B7462B" w:rsidRDefault="008F7448" w:rsidP="006E578F">
      <w:pPr>
        <w:pStyle w:val="Bulletpoint"/>
        <w:ind w:left="357" w:hanging="357"/>
      </w:pPr>
      <w:r w:rsidRPr="00B7462B">
        <w:t>has experience in conducting financial, performance, operation or quality assurance audits</w:t>
      </w:r>
      <w:r w:rsidR="007C677E">
        <w:t xml:space="preserve"> or reviews of</w:t>
      </w:r>
      <w:r w:rsidRPr="00B7462B">
        <w:t xml:space="preserve"> the </w:t>
      </w:r>
      <w:r>
        <w:t>gas pipeline</w:t>
      </w:r>
      <w:r w:rsidRPr="00B7462B">
        <w:t xml:space="preserve"> industry</w:t>
      </w:r>
      <w:r>
        <w:t>, and</w:t>
      </w:r>
    </w:p>
    <w:p w14:paraId="54D10B59" w14:textId="77777777" w:rsidR="008F7448" w:rsidRDefault="008F7448" w:rsidP="006E578F">
      <w:pPr>
        <w:pStyle w:val="Bulletpoint"/>
        <w:ind w:left="357" w:hanging="357"/>
      </w:pPr>
      <w:r w:rsidRPr="00B7462B">
        <w:t xml:space="preserve">understands the procedures and methodologies underlying the </w:t>
      </w:r>
      <w:r>
        <w:t>information provided.</w:t>
      </w:r>
    </w:p>
    <w:p w14:paraId="13ABFF76" w14:textId="7EE1F564" w:rsidR="00E50E6E" w:rsidRDefault="00E50E6E" w:rsidP="00685983">
      <w:pPr>
        <w:pStyle w:val="Heading2"/>
        <w:numPr>
          <w:ilvl w:val="1"/>
          <w:numId w:val="32"/>
        </w:numPr>
        <w:tabs>
          <w:tab w:val="left" w:pos="680"/>
        </w:tabs>
        <w:ind w:left="680" w:hanging="680"/>
      </w:pPr>
      <w:bookmarkStart w:id="119" w:name="_Toc501379550"/>
      <w:r>
        <w:t>Level of assurance required</w:t>
      </w:r>
      <w:bookmarkEnd w:id="119"/>
    </w:p>
    <w:p w14:paraId="2670CD78" w14:textId="21C807A4" w:rsidR="00E50E6E" w:rsidRDefault="00E50E6E" w:rsidP="00685983">
      <w:pPr>
        <w:pStyle w:val="Heading3"/>
        <w:numPr>
          <w:ilvl w:val="2"/>
          <w:numId w:val="32"/>
        </w:numPr>
        <w:tabs>
          <w:tab w:val="left" w:pos="1021"/>
        </w:tabs>
        <w:ind w:left="1021" w:hanging="1021"/>
      </w:pPr>
      <w:bookmarkStart w:id="120" w:name="_Toc501379551"/>
      <w:r>
        <w:t>Statement of pipeline revenues and expenses and Statement of pipeline assets</w:t>
      </w:r>
      <w:bookmarkEnd w:id="120"/>
      <w:r>
        <w:t xml:space="preserve"> </w:t>
      </w:r>
    </w:p>
    <w:p w14:paraId="50874298" w14:textId="36D196DC" w:rsidR="00E50E6E" w:rsidRDefault="00E50E6E" w:rsidP="00E50E6E">
      <w:r>
        <w:t xml:space="preserve">An audit is required to be provided for the information contained in the Statement of Pipeline Revenue and Expenses and Pipeline Statement of Assets in accordance with </w:t>
      </w:r>
      <w:r w:rsidRPr="00685983">
        <w:rPr>
          <w:i/>
        </w:rPr>
        <w:t>ASA 805 Special Considerations—Audits of Single Financial Statements and Specific Elements</w:t>
      </w:r>
      <w:r>
        <w:t xml:space="preserve"> and </w:t>
      </w:r>
      <w:r w:rsidRPr="00685983">
        <w:rPr>
          <w:i/>
        </w:rPr>
        <w:t>ASA 800 Special Considerations—Audits of Financial Reports Prepared in Accordance with Special Purpose Frameworks, Accounts or Items of a Financial Statement</w:t>
      </w:r>
      <w:r>
        <w:t xml:space="preserve">. </w:t>
      </w:r>
      <w:r w:rsidRPr="00D85378">
        <w:t xml:space="preserve">The information reported in the </w:t>
      </w:r>
      <w:r w:rsidRPr="00D85378">
        <w:rPr>
          <w:b/>
        </w:rPr>
        <w:t>financial reporting template</w:t>
      </w:r>
      <w:r w:rsidRPr="00D85378">
        <w:t xml:space="preserve">, in accordance with the requirements of this </w:t>
      </w:r>
      <w:r w:rsidR="00685983" w:rsidRPr="00D85378">
        <w:rPr>
          <w:b/>
        </w:rPr>
        <w:t>Guideline</w:t>
      </w:r>
      <w:r w:rsidR="00685983" w:rsidRPr="00D85378">
        <w:t xml:space="preserve"> </w:t>
      </w:r>
      <w:r w:rsidRPr="00D85378">
        <w:t>must be accompanied by a basis of preparation.</w:t>
      </w:r>
    </w:p>
    <w:p w14:paraId="70129E6D" w14:textId="77777777" w:rsidR="00E50E6E" w:rsidRDefault="00E50E6E" w:rsidP="00E50E6E">
      <w:pPr>
        <w:pStyle w:val="Heading4"/>
      </w:pPr>
      <w:r>
        <w:t>Interim reporting</w:t>
      </w:r>
    </w:p>
    <w:p w14:paraId="1554BA4E" w14:textId="5F0EB844" w:rsidR="00E50E6E" w:rsidRDefault="00E50E6E" w:rsidP="00E50E6E">
      <w:r>
        <w:t>A variation to the requirement above is allowed for the interim Statement of Pipeline Revenue and Expenses and</w:t>
      </w:r>
      <w:r w:rsidRPr="00E50E6E">
        <w:t xml:space="preserve"> </w:t>
      </w:r>
      <w:r>
        <w:t xml:space="preserve">Statement of Pipeline Assets. A review is required to be provided in accordance with </w:t>
      </w:r>
      <w:r w:rsidRPr="00685983">
        <w:rPr>
          <w:i/>
        </w:rPr>
        <w:t>ASRE 2405 Review of Historical Financial Information Other than a Financial Report</w:t>
      </w:r>
      <w:r>
        <w:t>.</w:t>
      </w:r>
    </w:p>
    <w:p w14:paraId="6E7BFBCE" w14:textId="1454034B" w:rsidR="00E50E6E" w:rsidRDefault="00E50E6E" w:rsidP="00685983">
      <w:pPr>
        <w:pStyle w:val="Heading3"/>
        <w:numPr>
          <w:ilvl w:val="2"/>
          <w:numId w:val="32"/>
        </w:numPr>
        <w:tabs>
          <w:tab w:val="left" w:pos="1021"/>
        </w:tabs>
        <w:ind w:left="1021" w:hanging="1021"/>
      </w:pPr>
      <w:bookmarkStart w:id="121" w:name="_Toc501379552"/>
      <w:r>
        <w:t>Recovered capital method</w:t>
      </w:r>
      <w:bookmarkEnd w:id="121"/>
      <w:r>
        <w:t xml:space="preserve"> </w:t>
      </w:r>
    </w:p>
    <w:p w14:paraId="2577F3E4" w14:textId="768A3580" w:rsidR="00E50E6E" w:rsidRDefault="00E50E6E" w:rsidP="00E50E6E">
      <w:r>
        <w:t xml:space="preserve">Limited assurance review is required </w:t>
      </w:r>
      <w:r w:rsidR="00685983">
        <w:t>for</w:t>
      </w:r>
      <w:r>
        <w:t xml:space="preserve"> the </w:t>
      </w:r>
      <w:r w:rsidR="0089611C" w:rsidRPr="001E7161">
        <w:t>r</w:t>
      </w:r>
      <w:r w:rsidR="00685983" w:rsidRPr="001E7161">
        <w:t>ecovered capital method</w:t>
      </w:r>
      <w:r w:rsidR="00685983">
        <w:t xml:space="preserve"> </w:t>
      </w:r>
      <w:r>
        <w:t xml:space="preserve">information in the </w:t>
      </w:r>
      <w:r w:rsidRPr="00685983">
        <w:rPr>
          <w:b/>
        </w:rPr>
        <w:t>financial reporting template</w:t>
      </w:r>
      <w:r>
        <w:t xml:space="preserve"> in accordance with the requirements of this </w:t>
      </w:r>
      <w:r w:rsidRPr="00E50E6E">
        <w:rPr>
          <w:b/>
        </w:rPr>
        <w:t>Guideline</w:t>
      </w:r>
      <w:r>
        <w:t xml:space="preserve"> and the accompanying basis of preparation. This review is to be provided in accordance with </w:t>
      </w:r>
      <w:r w:rsidRPr="00E50E6E">
        <w:rPr>
          <w:i/>
        </w:rPr>
        <w:t>ASRE 2405 Review of Historical Financial Information Other than a Financial Report</w:t>
      </w:r>
      <w:r>
        <w:t>.</w:t>
      </w:r>
    </w:p>
    <w:p w14:paraId="05D43471" w14:textId="2C8208E8" w:rsidR="00E50E6E" w:rsidRDefault="00E50E6E" w:rsidP="00685983">
      <w:pPr>
        <w:pStyle w:val="Heading3"/>
        <w:numPr>
          <w:ilvl w:val="2"/>
          <w:numId w:val="32"/>
        </w:numPr>
        <w:tabs>
          <w:tab w:val="left" w:pos="1021"/>
        </w:tabs>
        <w:ind w:left="1021" w:hanging="1021"/>
      </w:pPr>
      <w:bookmarkStart w:id="122" w:name="_Toc501379553"/>
      <w:r>
        <w:t>Weighted average price information</w:t>
      </w:r>
      <w:bookmarkEnd w:id="122"/>
    </w:p>
    <w:p w14:paraId="21941DB7" w14:textId="219535EA" w:rsidR="00E50E6E" w:rsidRDefault="00E50E6E" w:rsidP="00E50E6E">
      <w:r>
        <w:t xml:space="preserve">Limited assurance review is required of the </w:t>
      </w:r>
      <w:r w:rsidRPr="001E7161">
        <w:rPr>
          <w:b/>
        </w:rPr>
        <w:t>weighted average price</w:t>
      </w:r>
      <w:r>
        <w:t xml:space="preserve"> information in the </w:t>
      </w:r>
      <w:r w:rsidRPr="00685983">
        <w:rPr>
          <w:b/>
        </w:rPr>
        <w:t>financial reporting template</w:t>
      </w:r>
      <w:r>
        <w:t xml:space="preserve"> and the accompanying basis of preparation. This review is to be provided in accordance with </w:t>
      </w:r>
      <w:r w:rsidRPr="00685983">
        <w:rPr>
          <w:i/>
        </w:rPr>
        <w:t>ASRE 2405 Review of Historical Financial Information Other than a Financial Report</w:t>
      </w:r>
      <w:r>
        <w:t>.</w:t>
      </w:r>
    </w:p>
    <w:p w14:paraId="53EDC2DB" w14:textId="77777777" w:rsidR="008F7448" w:rsidRDefault="008F7448" w:rsidP="008F7448">
      <w:pPr>
        <w:pStyle w:val="Heading1notnumber"/>
      </w:pPr>
      <w:bookmarkStart w:id="123" w:name="_Toc499898260"/>
      <w:bookmarkStart w:id="124" w:name="_Toc501379554"/>
      <w:bookmarkEnd w:id="2"/>
      <w:r w:rsidRPr="00DD21BD">
        <w:lastRenderedPageBreak/>
        <w:t xml:space="preserve">Appendix </w:t>
      </w:r>
      <w:r>
        <w:t>A</w:t>
      </w:r>
      <w:r w:rsidRPr="00DD21BD">
        <w:t xml:space="preserve"> – Pipeline asset lives</w:t>
      </w:r>
      <w:bookmarkEnd w:id="123"/>
      <w:bookmarkEnd w:id="124"/>
    </w:p>
    <w:p w14:paraId="63593A60" w14:textId="77777777" w:rsidR="008F7448" w:rsidRPr="00877D3B" w:rsidRDefault="008F7448" w:rsidP="008F7448"/>
    <w:tbl>
      <w:tblPr>
        <w:tblW w:w="9026" w:type="dxa"/>
        <w:tblLook w:val="04A0" w:firstRow="1" w:lastRow="0" w:firstColumn="1" w:lastColumn="0" w:noHBand="0" w:noVBand="1"/>
      </w:tblPr>
      <w:tblGrid>
        <w:gridCol w:w="6379"/>
        <w:gridCol w:w="1418"/>
        <w:gridCol w:w="1229"/>
      </w:tblGrid>
      <w:tr w:rsidR="008F7448" w:rsidRPr="00752249" w14:paraId="49D65029" w14:textId="77777777" w:rsidTr="00974A6C">
        <w:trPr>
          <w:trHeight w:val="480"/>
        </w:trPr>
        <w:tc>
          <w:tcPr>
            <w:tcW w:w="6379" w:type="dxa"/>
            <w:tcBorders>
              <w:top w:val="nil"/>
              <w:left w:val="nil"/>
              <w:bottom w:val="nil"/>
              <w:right w:val="nil"/>
            </w:tcBorders>
            <w:shd w:val="clear" w:color="000000" w:fill="7F878D"/>
            <w:noWrap/>
            <w:vAlign w:val="center"/>
            <w:hideMark/>
          </w:tcPr>
          <w:p w14:paraId="71216783" w14:textId="77777777" w:rsidR="008F7448" w:rsidRPr="00DD21BD" w:rsidRDefault="008F7448" w:rsidP="00974A6C">
            <w:r w:rsidRPr="00DD21BD">
              <w:t>Pipeline asset category</w:t>
            </w:r>
          </w:p>
        </w:tc>
        <w:tc>
          <w:tcPr>
            <w:tcW w:w="1418" w:type="dxa"/>
            <w:tcBorders>
              <w:top w:val="nil"/>
              <w:left w:val="nil"/>
              <w:bottom w:val="nil"/>
              <w:right w:val="nil"/>
            </w:tcBorders>
            <w:shd w:val="clear" w:color="000000" w:fill="7F878D"/>
          </w:tcPr>
          <w:p w14:paraId="298D0959" w14:textId="77777777" w:rsidR="008F7448" w:rsidRPr="00DD21BD" w:rsidRDefault="008F7448" w:rsidP="00974A6C">
            <w:r w:rsidRPr="00DD21BD">
              <w:t>Low</w:t>
            </w:r>
          </w:p>
        </w:tc>
        <w:tc>
          <w:tcPr>
            <w:tcW w:w="1229" w:type="dxa"/>
            <w:tcBorders>
              <w:top w:val="nil"/>
              <w:left w:val="nil"/>
              <w:bottom w:val="nil"/>
              <w:right w:val="nil"/>
            </w:tcBorders>
            <w:shd w:val="clear" w:color="000000" w:fill="7F878D"/>
          </w:tcPr>
          <w:p w14:paraId="22AC5F72" w14:textId="77777777" w:rsidR="008F7448" w:rsidRPr="00DD21BD" w:rsidRDefault="008F7448" w:rsidP="00974A6C">
            <w:r w:rsidRPr="00DD21BD">
              <w:t xml:space="preserve">High </w:t>
            </w:r>
          </w:p>
        </w:tc>
      </w:tr>
      <w:tr w:rsidR="008F7448" w:rsidRPr="00752249" w14:paraId="6920F3DE" w14:textId="77777777" w:rsidTr="00974A6C">
        <w:trPr>
          <w:trHeight w:val="225"/>
        </w:trPr>
        <w:tc>
          <w:tcPr>
            <w:tcW w:w="6379" w:type="dxa"/>
            <w:tcBorders>
              <w:top w:val="nil"/>
              <w:left w:val="nil"/>
              <w:bottom w:val="nil"/>
              <w:right w:val="nil"/>
            </w:tcBorders>
            <w:shd w:val="clear" w:color="000000" w:fill="FFFFFF"/>
            <w:noWrap/>
            <w:vAlign w:val="bottom"/>
            <w:hideMark/>
          </w:tcPr>
          <w:p w14:paraId="3DCE1421" w14:textId="77777777" w:rsidR="008F7448" w:rsidRPr="00DD21BD" w:rsidRDefault="008F7448" w:rsidP="00974A6C">
            <w:r w:rsidRPr="00DD21BD">
              <w:rPr>
                <w:rFonts w:hint="eastAsia"/>
              </w:rPr>
              <w:t>Distribution pipeline</w:t>
            </w:r>
          </w:p>
        </w:tc>
        <w:tc>
          <w:tcPr>
            <w:tcW w:w="1418" w:type="dxa"/>
            <w:tcBorders>
              <w:top w:val="nil"/>
              <w:left w:val="nil"/>
              <w:bottom w:val="nil"/>
              <w:right w:val="nil"/>
            </w:tcBorders>
            <w:shd w:val="clear" w:color="000000" w:fill="FFFFFF"/>
          </w:tcPr>
          <w:p w14:paraId="25E70AA9" w14:textId="77777777" w:rsidR="008F7448" w:rsidRPr="00DD21BD" w:rsidRDefault="008F7448" w:rsidP="00974A6C"/>
        </w:tc>
        <w:tc>
          <w:tcPr>
            <w:tcW w:w="1229" w:type="dxa"/>
            <w:tcBorders>
              <w:top w:val="nil"/>
              <w:left w:val="nil"/>
              <w:bottom w:val="nil"/>
              <w:right w:val="nil"/>
            </w:tcBorders>
            <w:shd w:val="clear" w:color="000000" w:fill="FFFFFF"/>
          </w:tcPr>
          <w:p w14:paraId="2B90B29D" w14:textId="77777777" w:rsidR="008F7448" w:rsidRPr="00DD21BD" w:rsidRDefault="008F7448" w:rsidP="00974A6C"/>
        </w:tc>
      </w:tr>
      <w:tr w:rsidR="008F7448" w:rsidRPr="00752249" w14:paraId="18CC094B" w14:textId="77777777" w:rsidTr="00974A6C">
        <w:trPr>
          <w:trHeight w:val="300"/>
        </w:trPr>
        <w:tc>
          <w:tcPr>
            <w:tcW w:w="6379" w:type="dxa"/>
            <w:tcBorders>
              <w:top w:val="single" w:sz="4" w:space="0" w:color="7F878D"/>
              <w:left w:val="nil"/>
              <w:bottom w:val="nil"/>
              <w:right w:val="nil"/>
            </w:tcBorders>
            <w:shd w:val="clear" w:color="000000" w:fill="FFFFFF"/>
            <w:vAlign w:val="bottom"/>
            <w:hideMark/>
          </w:tcPr>
          <w:p w14:paraId="30388CC0" w14:textId="77777777" w:rsidR="008F7448" w:rsidRPr="00DD21BD" w:rsidRDefault="008F7448" w:rsidP="00685983">
            <w:pPr>
              <w:ind w:left="284"/>
            </w:pPr>
            <w:r w:rsidRPr="00DD21BD">
              <w:t>Pipelines</w:t>
            </w:r>
          </w:p>
        </w:tc>
        <w:tc>
          <w:tcPr>
            <w:tcW w:w="1418" w:type="dxa"/>
            <w:tcBorders>
              <w:top w:val="single" w:sz="4" w:space="0" w:color="7F878D"/>
              <w:left w:val="nil"/>
              <w:bottom w:val="nil"/>
              <w:right w:val="nil"/>
            </w:tcBorders>
            <w:shd w:val="clear" w:color="000000" w:fill="FFFFFF"/>
          </w:tcPr>
          <w:p w14:paraId="047C7A52" w14:textId="77777777" w:rsidR="008F7448" w:rsidRPr="00DD21BD" w:rsidRDefault="008F7448" w:rsidP="00974A6C">
            <w:r w:rsidRPr="00DD21BD">
              <w:t>50</w:t>
            </w:r>
          </w:p>
        </w:tc>
        <w:tc>
          <w:tcPr>
            <w:tcW w:w="1229" w:type="dxa"/>
            <w:tcBorders>
              <w:top w:val="single" w:sz="4" w:space="0" w:color="7F878D"/>
              <w:left w:val="nil"/>
              <w:bottom w:val="nil"/>
              <w:right w:val="nil"/>
            </w:tcBorders>
            <w:shd w:val="clear" w:color="000000" w:fill="FFFFFF"/>
          </w:tcPr>
          <w:p w14:paraId="366D43BA" w14:textId="77777777" w:rsidR="008F7448" w:rsidRPr="00DD21BD" w:rsidRDefault="008F7448" w:rsidP="00974A6C">
            <w:r w:rsidRPr="00DD21BD">
              <w:t>60</w:t>
            </w:r>
          </w:p>
        </w:tc>
      </w:tr>
      <w:tr w:rsidR="008F7448" w:rsidRPr="00752249" w14:paraId="1D78075E"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668D4A1A" w14:textId="77777777" w:rsidR="008F7448" w:rsidRPr="00DD21BD" w:rsidRDefault="008F7448" w:rsidP="00685983">
            <w:pPr>
              <w:ind w:left="284"/>
            </w:pPr>
            <w:r w:rsidRPr="00DD21BD">
              <w:t>City gates, supply regulators and valve stations</w:t>
            </w:r>
          </w:p>
        </w:tc>
        <w:tc>
          <w:tcPr>
            <w:tcW w:w="1418" w:type="dxa"/>
            <w:tcBorders>
              <w:top w:val="single" w:sz="4" w:space="0" w:color="7F878D"/>
              <w:left w:val="nil"/>
              <w:bottom w:val="single" w:sz="4" w:space="0" w:color="7F878D"/>
              <w:right w:val="nil"/>
            </w:tcBorders>
            <w:shd w:val="clear" w:color="000000" w:fill="FFFFFF"/>
          </w:tcPr>
          <w:p w14:paraId="5560A8B4" w14:textId="77777777" w:rsidR="008F7448" w:rsidRPr="00DD21BD" w:rsidRDefault="008F7448" w:rsidP="00974A6C">
            <w:r w:rsidRPr="00DD21BD">
              <w:t>30</w:t>
            </w:r>
          </w:p>
        </w:tc>
        <w:tc>
          <w:tcPr>
            <w:tcW w:w="1229" w:type="dxa"/>
            <w:tcBorders>
              <w:top w:val="single" w:sz="4" w:space="0" w:color="7F878D"/>
              <w:left w:val="nil"/>
              <w:bottom w:val="single" w:sz="4" w:space="0" w:color="7F878D"/>
              <w:right w:val="nil"/>
            </w:tcBorders>
            <w:shd w:val="clear" w:color="000000" w:fill="FFFFFF"/>
          </w:tcPr>
          <w:p w14:paraId="7834D263" w14:textId="77777777" w:rsidR="008F7448" w:rsidRPr="00DD21BD" w:rsidRDefault="008F7448" w:rsidP="00974A6C">
            <w:r w:rsidRPr="00DD21BD">
              <w:t>50</w:t>
            </w:r>
          </w:p>
        </w:tc>
      </w:tr>
      <w:tr w:rsidR="008F7448" w:rsidRPr="00752249" w14:paraId="154167BE"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20BF6E1A" w14:textId="77777777" w:rsidR="008F7448" w:rsidRPr="00DD21BD" w:rsidRDefault="008F7448" w:rsidP="00685983">
            <w:pPr>
              <w:ind w:left="284"/>
            </w:pPr>
            <w:r w:rsidRPr="00DD21BD">
              <w:t>Metering</w:t>
            </w:r>
          </w:p>
        </w:tc>
        <w:tc>
          <w:tcPr>
            <w:tcW w:w="1418" w:type="dxa"/>
            <w:tcBorders>
              <w:top w:val="single" w:sz="4" w:space="0" w:color="7F878D"/>
              <w:left w:val="nil"/>
              <w:bottom w:val="single" w:sz="4" w:space="0" w:color="7F878D"/>
              <w:right w:val="nil"/>
            </w:tcBorders>
            <w:shd w:val="clear" w:color="000000" w:fill="FFFFFF"/>
          </w:tcPr>
          <w:p w14:paraId="6AEFA3D3" w14:textId="77777777" w:rsidR="008F7448" w:rsidRPr="00DD21BD" w:rsidRDefault="008F7448" w:rsidP="00974A6C">
            <w:r w:rsidRPr="00DD21BD">
              <w:t>15</w:t>
            </w:r>
          </w:p>
        </w:tc>
        <w:tc>
          <w:tcPr>
            <w:tcW w:w="1229" w:type="dxa"/>
            <w:tcBorders>
              <w:top w:val="single" w:sz="4" w:space="0" w:color="7F878D"/>
              <w:left w:val="nil"/>
              <w:bottom w:val="single" w:sz="4" w:space="0" w:color="7F878D"/>
              <w:right w:val="nil"/>
            </w:tcBorders>
            <w:shd w:val="clear" w:color="000000" w:fill="FFFFFF"/>
          </w:tcPr>
          <w:p w14:paraId="066CC154" w14:textId="77777777" w:rsidR="008F7448" w:rsidRPr="00DD21BD" w:rsidRDefault="008F7448" w:rsidP="00974A6C">
            <w:r w:rsidRPr="00DD21BD">
              <w:t>30</w:t>
            </w:r>
          </w:p>
        </w:tc>
      </w:tr>
      <w:tr w:rsidR="008F7448" w:rsidRPr="00752249" w14:paraId="3C31FFE8"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0935AEA8" w14:textId="77777777" w:rsidR="008F7448" w:rsidRPr="00DD21BD" w:rsidRDefault="008F7448" w:rsidP="00685983">
            <w:pPr>
              <w:ind w:left="284"/>
            </w:pPr>
            <w:r w:rsidRPr="00DD21BD">
              <w:t>SCADA (Communications)</w:t>
            </w:r>
          </w:p>
        </w:tc>
        <w:tc>
          <w:tcPr>
            <w:tcW w:w="1418" w:type="dxa"/>
            <w:tcBorders>
              <w:top w:val="single" w:sz="4" w:space="0" w:color="7F878D"/>
              <w:left w:val="nil"/>
              <w:bottom w:val="single" w:sz="4" w:space="0" w:color="7F878D"/>
              <w:right w:val="nil"/>
            </w:tcBorders>
            <w:shd w:val="clear" w:color="000000" w:fill="FFFFFF"/>
          </w:tcPr>
          <w:p w14:paraId="6B7A1335" w14:textId="77777777" w:rsidR="008F7448" w:rsidRPr="00DD21BD" w:rsidRDefault="008F7448" w:rsidP="00974A6C">
            <w:r w:rsidRPr="00DD21BD">
              <w:t>15</w:t>
            </w:r>
          </w:p>
        </w:tc>
        <w:tc>
          <w:tcPr>
            <w:tcW w:w="1229" w:type="dxa"/>
            <w:tcBorders>
              <w:top w:val="single" w:sz="4" w:space="0" w:color="7F878D"/>
              <w:left w:val="nil"/>
              <w:bottom w:val="single" w:sz="4" w:space="0" w:color="7F878D"/>
              <w:right w:val="nil"/>
            </w:tcBorders>
            <w:shd w:val="clear" w:color="000000" w:fill="FFFFFF"/>
          </w:tcPr>
          <w:p w14:paraId="453FD097" w14:textId="77777777" w:rsidR="008F7448" w:rsidRPr="00DD21BD" w:rsidRDefault="008F7448" w:rsidP="00974A6C">
            <w:r w:rsidRPr="00DD21BD">
              <w:t>20</w:t>
            </w:r>
          </w:p>
        </w:tc>
      </w:tr>
      <w:tr w:rsidR="008F7448" w:rsidRPr="00752249" w14:paraId="0C4382E3"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653332F5" w14:textId="77777777" w:rsidR="008F7448" w:rsidRPr="00DD21BD" w:rsidRDefault="008F7448" w:rsidP="00685983">
            <w:pPr>
              <w:ind w:left="284"/>
            </w:pPr>
            <w:r w:rsidRPr="00DD21BD">
              <w:t>Buildings</w:t>
            </w:r>
          </w:p>
        </w:tc>
        <w:tc>
          <w:tcPr>
            <w:tcW w:w="1418" w:type="dxa"/>
            <w:tcBorders>
              <w:top w:val="single" w:sz="4" w:space="0" w:color="7F878D"/>
              <w:left w:val="nil"/>
              <w:bottom w:val="single" w:sz="4" w:space="0" w:color="7F878D"/>
              <w:right w:val="nil"/>
            </w:tcBorders>
            <w:shd w:val="clear" w:color="000000" w:fill="FFFFFF"/>
          </w:tcPr>
          <w:p w14:paraId="7836CC5F" w14:textId="77777777" w:rsidR="008F7448" w:rsidRPr="00DD21BD" w:rsidRDefault="008F7448" w:rsidP="00974A6C">
            <w:r w:rsidRPr="00DD21BD">
              <w:t>40</w:t>
            </w:r>
          </w:p>
        </w:tc>
        <w:tc>
          <w:tcPr>
            <w:tcW w:w="1229" w:type="dxa"/>
            <w:tcBorders>
              <w:top w:val="single" w:sz="4" w:space="0" w:color="7F878D"/>
              <w:left w:val="nil"/>
              <w:bottom w:val="single" w:sz="4" w:space="0" w:color="7F878D"/>
              <w:right w:val="nil"/>
            </w:tcBorders>
            <w:shd w:val="clear" w:color="000000" w:fill="FFFFFF"/>
          </w:tcPr>
          <w:p w14:paraId="694B63E0" w14:textId="77777777" w:rsidR="008F7448" w:rsidRPr="00DD21BD" w:rsidRDefault="008F7448" w:rsidP="00974A6C">
            <w:r w:rsidRPr="00DD21BD">
              <w:t>50</w:t>
            </w:r>
          </w:p>
        </w:tc>
      </w:tr>
      <w:tr w:rsidR="008F7448" w:rsidRPr="00752249" w14:paraId="142A6B7C"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1500F145" w14:textId="77777777" w:rsidR="008F7448" w:rsidRPr="00DD21BD" w:rsidRDefault="008F7448" w:rsidP="00685983">
            <w:pPr>
              <w:ind w:left="284"/>
            </w:pPr>
            <w:r w:rsidRPr="00DD21BD">
              <w:t>IT systems</w:t>
            </w:r>
          </w:p>
        </w:tc>
        <w:tc>
          <w:tcPr>
            <w:tcW w:w="1418" w:type="dxa"/>
            <w:tcBorders>
              <w:top w:val="single" w:sz="4" w:space="0" w:color="7F878D"/>
              <w:left w:val="nil"/>
              <w:bottom w:val="single" w:sz="4" w:space="0" w:color="7F878D"/>
              <w:right w:val="nil"/>
            </w:tcBorders>
            <w:shd w:val="clear" w:color="000000" w:fill="FFFFFF"/>
          </w:tcPr>
          <w:p w14:paraId="60349D63" w14:textId="77777777" w:rsidR="008F7448" w:rsidRPr="00DD21BD" w:rsidRDefault="008F7448" w:rsidP="00974A6C">
            <w:r w:rsidRPr="00DD21BD">
              <w:t>5</w:t>
            </w:r>
          </w:p>
        </w:tc>
        <w:tc>
          <w:tcPr>
            <w:tcW w:w="1229" w:type="dxa"/>
            <w:tcBorders>
              <w:top w:val="single" w:sz="4" w:space="0" w:color="7F878D"/>
              <w:left w:val="nil"/>
              <w:bottom w:val="single" w:sz="4" w:space="0" w:color="7F878D"/>
              <w:right w:val="nil"/>
            </w:tcBorders>
            <w:shd w:val="clear" w:color="000000" w:fill="FFFFFF"/>
          </w:tcPr>
          <w:p w14:paraId="5D86B714" w14:textId="77777777" w:rsidR="008F7448" w:rsidRPr="00DD21BD" w:rsidRDefault="008F7448" w:rsidP="00974A6C">
            <w:r w:rsidRPr="00DD21BD">
              <w:t>10</w:t>
            </w:r>
          </w:p>
        </w:tc>
      </w:tr>
      <w:tr w:rsidR="008F7448" w:rsidRPr="00752249" w14:paraId="4BA050DE"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3A6A3922" w14:textId="77777777" w:rsidR="008F7448" w:rsidRPr="00DD21BD" w:rsidRDefault="008F7448" w:rsidP="00974A6C">
            <w:r w:rsidRPr="00DD21BD">
              <w:t>Transmission pipeline</w:t>
            </w:r>
          </w:p>
        </w:tc>
        <w:tc>
          <w:tcPr>
            <w:tcW w:w="1418" w:type="dxa"/>
            <w:tcBorders>
              <w:top w:val="single" w:sz="4" w:space="0" w:color="7F878D"/>
              <w:left w:val="nil"/>
              <w:bottom w:val="single" w:sz="4" w:space="0" w:color="7F878D"/>
              <w:right w:val="nil"/>
            </w:tcBorders>
            <w:shd w:val="clear" w:color="000000" w:fill="FFFFFF"/>
          </w:tcPr>
          <w:p w14:paraId="181E92F6" w14:textId="77777777" w:rsidR="008F7448" w:rsidRPr="00DD21BD" w:rsidRDefault="008F7448" w:rsidP="00974A6C"/>
        </w:tc>
        <w:tc>
          <w:tcPr>
            <w:tcW w:w="1229" w:type="dxa"/>
            <w:tcBorders>
              <w:top w:val="single" w:sz="4" w:space="0" w:color="7F878D"/>
              <w:left w:val="nil"/>
              <w:bottom w:val="single" w:sz="4" w:space="0" w:color="7F878D"/>
              <w:right w:val="nil"/>
            </w:tcBorders>
            <w:shd w:val="clear" w:color="000000" w:fill="FFFFFF"/>
          </w:tcPr>
          <w:p w14:paraId="67F8B763" w14:textId="77777777" w:rsidR="008F7448" w:rsidRPr="00DD21BD" w:rsidRDefault="008F7448" w:rsidP="00974A6C"/>
        </w:tc>
      </w:tr>
      <w:tr w:rsidR="008F7448" w:rsidRPr="00752249" w14:paraId="073B8255" w14:textId="77777777" w:rsidTr="00974A6C">
        <w:trPr>
          <w:trHeight w:val="525"/>
        </w:trPr>
        <w:tc>
          <w:tcPr>
            <w:tcW w:w="6379" w:type="dxa"/>
            <w:tcBorders>
              <w:top w:val="single" w:sz="4" w:space="0" w:color="7F878D"/>
              <w:left w:val="nil"/>
              <w:bottom w:val="single" w:sz="4" w:space="0" w:color="7F878D"/>
              <w:right w:val="nil"/>
            </w:tcBorders>
            <w:shd w:val="clear" w:color="000000" w:fill="FFFFFF"/>
            <w:vAlign w:val="bottom"/>
          </w:tcPr>
          <w:p w14:paraId="604B30CF" w14:textId="77777777" w:rsidR="008F7448" w:rsidRPr="00DD21BD" w:rsidRDefault="008F7448" w:rsidP="00685983">
            <w:pPr>
              <w:ind w:left="284"/>
            </w:pPr>
            <w:r w:rsidRPr="00DD21BD">
              <w:t>Pipelines</w:t>
            </w:r>
          </w:p>
        </w:tc>
        <w:tc>
          <w:tcPr>
            <w:tcW w:w="1418" w:type="dxa"/>
            <w:tcBorders>
              <w:top w:val="single" w:sz="4" w:space="0" w:color="7F878D"/>
              <w:left w:val="nil"/>
              <w:bottom w:val="single" w:sz="4" w:space="0" w:color="7F878D"/>
              <w:right w:val="nil"/>
            </w:tcBorders>
            <w:shd w:val="clear" w:color="000000" w:fill="FFFFFF"/>
          </w:tcPr>
          <w:p w14:paraId="3F9C5F13" w14:textId="77777777" w:rsidR="008F7448" w:rsidRPr="00DD21BD" w:rsidRDefault="008F7448" w:rsidP="00974A6C">
            <w:r w:rsidRPr="00DD21BD">
              <w:t>60</w:t>
            </w:r>
          </w:p>
        </w:tc>
        <w:tc>
          <w:tcPr>
            <w:tcW w:w="1229" w:type="dxa"/>
            <w:tcBorders>
              <w:top w:val="single" w:sz="4" w:space="0" w:color="7F878D"/>
              <w:left w:val="nil"/>
              <w:bottom w:val="single" w:sz="4" w:space="0" w:color="7F878D"/>
              <w:right w:val="nil"/>
            </w:tcBorders>
            <w:shd w:val="clear" w:color="000000" w:fill="FFFFFF"/>
          </w:tcPr>
          <w:p w14:paraId="6CF828A0" w14:textId="77777777" w:rsidR="008F7448" w:rsidRPr="00DD21BD" w:rsidRDefault="008F7448" w:rsidP="00974A6C">
            <w:r w:rsidRPr="00DD21BD">
              <w:t>80</w:t>
            </w:r>
          </w:p>
        </w:tc>
      </w:tr>
      <w:tr w:rsidR="008F7448" w:rsidRPr="00752249" w14:paraId="5125D17A"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1103A244" w14:textId="77777777" w:rsidR="008F7448" w:rsidRPr="00DD21BD" w:rsidRDefault="008F7448" w:rsidP="00685983">
            <w:pPr>
              <w:ind w:left="284"/>
            </w:pPr>
            <w:r w:rsidRPr="00DD21BD">
              <w:t>Compressors</w:t>
            </w:r>
          </w:p>
        </w:tc>
        <w:tc>
          <w:tcPr>
            <w:tcW w:w="1418" w:type="dxa"/>
            <w:tcBorders>
              <w:top w:val="single" w:sz="4" w:space="0" w:color="7F878D"/>
              <w:left w:val="nil"/>
              <w:bottom w:val="single" w:sz="4" w:space="0" w:color="7F878D"/>
              <w:right w:val="nil"/>
            </w:tcBorders>
            <w:shd w:val="clear" w:color="000000" w:fill="FFFFFF"/>
          </w:tcPr>
          <w:p w14:paraId="5374C4B2" w14:textId="77777777" w:rsidR="008F7448" w:rsidRPr="00DD21BD" w:rsidRDefault="008F7448" w:rsidP="00974A6C">
            <w:r w:rsidRPr="00DD21BD">
              <w:t>30</w:t>
            </w:r>
          </w:p>
        </w:tc>
        <w:tc>
          <w:tcPr>
            <w:tcW w:w="1229" w:type="dxa"/>
            <w:tcBorders>
              <w:top w:val="single" w:sz="4" w:space="0" w:color="7F878D"/>
              <w:left w:val="nil"/>
              <w:bottom w:val="single" w:sz="4" w:space="0" w:color="7F878D"/>
              <w:right w:val="nil"/>
            </w:tcBorders>
            <w:shd w:val="clear" w:color="000000" w:fill="FFFFFF"/>
          </w:tcPr>
          <w:p w14:paraId="41AAD122" w14:textId="77777777" w:rsidR="008F7448" w:rsidRPr="00DD21BD" w:rsidRDefault="008F7448" w:rsidP="00974A6C">
            <w:r w:rsidRPr="00DD21BD">
              <w:t>35</w:t>
            </w:r>
          </w:p>
        </w:tc>
      </w:tr>
      <w:tr w:rsidR="008F7448" w:rsidRPr="00752249" w14:paraId="76B2482C"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32E22424" w14:textId="77777777" w:rsidR="008F7448" w:rsidRPr="00DD21BD" w:rsidRDefault="008F7448" w:rsidP="00685983">
            <w:pPr>
              <w:ind w:left="284"/>
            </w:pPr>
            <w:r w:rsidRPr="00DD21BD">
              <w:t>City gates, supply regulators and valve stations</w:t>
            </w:r>
          </w:p>
        </w:tc>
        <w:tc>
          <w:tcPr>
            <w:tcW w:w="1418" w:type="dxa"/>
            <w:tcBorders>
              <w:top w:val="single" w:sz="4" w:space="0" w:color="7F878D"/>
              <w:left w:val="nil"/>
              <w:bottom w:val="single" w:sz="4" w:space="0" w:color="7F878D"/>
              <w:right w:val="nil"/>
            </w:tcBorders>
            <w:shd w:val="clear" w:color="000000" w:fill="FFFFFF"/>
          </w:tcPr>
          <w:p w14:paraId="2891455B" w14:textId="77777777" w:rsidR="008F7448" w:rsidRPr="00DD21BD" w:rsidRDefault="008F7448" w:rsidP="00974A6C">
            <w:r w:rsidRPr="00DD21BD">
              <w:t>30</w:t>
            </w:r>
          </w:p>
        </w:tc>
        <w:tc>
          <w:tcPr>
            <w:tcW w:w="1229" w:type="dxa"/>
            <w:tcBorders>
              <w:top w:val="single" w:sz="4" w:space="0" w:color="7F878D"/>
              <w:left w:val="nil"/>
              <w:bottom w:val="single" w:sz="4" w:space="0" w:color="7F878D"/>
              <w:right w:val="nil"/>
            </w:tcBorders>
            <w:shd w:val="clear" w:color="000000" w:fill="FFFFFF"/>
          </w:tcPr>
          <w:p w14:paraId="681E8A73" w14:textId="77777777" w:rsidR="008F7448" w:rsidRPr="00DD21BD" w:rsidRDefault="008F7448" w:rsidP="00974A6C">
            <w:r w:rsidRPr="00DD21BD">
              <w:t>50</w:t>
            </w:r>
          </w:p>
        </w:tc>
      </w:tr>
      <w:tr w:rsidR="008F7448" w:rsidRPr="00752249" w14:paraId="76149F20"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3087BD7E" w14:textId="77777777" w:rsidR="008F7448" w:rsidRPr="00DD21BD" w:rsidRDefault="008F7448" w:rsidP="00685983">
            <w:pPr>
              <w:ind w:left="284"/>
            </w:pPr>
            <w:r w:rsidRPr="00DD21BD">
              <w:t>Metering</w:t>
            </w:r>
          </w:p>
        </w:tc>
        <w:tc>
          <w:tcPr>
            <w:tcW w:w="1418" w:type="dxa"/>
            <w:tcBorders>
              <w:top w:val="single" w:sz="4" w:space="0" w:color="7F878D"/>
              <w:left w:val="nil"/>
              <w:bottom w:val="single" w:sz="4" w:space="0" w:color="7F878D"/>
              <w:right w:val="nil"/>
            </w:tcBorders>
            <w:shd w:val="clear" w:color="000000" w:fill="FFFFFF"/>
          </w:tcPr>
          <w:p w14:paraId="627D47D7" w14:textId="77777777" w:rsidR="008F7448" w:rsidRPr="00DD21BD" w:rsidRDefault="008F7448" w:rsidP="00974A6C">
            <w:r w:rsidRPr="00DD21BD">
              <w:t>30</w:t>
            </w:r>
          </w:p>
        </w:tc>
        <w:tc>
          <w:tcPr>
            <w:tcW w:w="1229" w:type="dxa"/>
            <w:tcBorders>
              <w:top w:val="single" w:sz="4" w:space="0" w:color="7F878D"/>
              <w:left w:val="nil"/>
              <w:bottom w:val="single" w:sz="4" w:space="0" w:color="7F878D"/>
              <w:right w:val="nil"/>
            </w:tcBorders>
            <w:shd w:val="clear" w:color="000000" w:fill="FFFFFF"/>
          </w:tcPr>
          <w:p w14:paraId="7B39DE5D" w14:textId="77777777" w:rsidR="008F7448" w:rsidRPr="00DD21BD" w:rsidRDefault="008F7448" w:rsidP="00974A6C">
            <w:r w:rsidRPr="00DD21BD">
              <w:t>50</w:t>
            </w:r>
          </w:p>
        </w:tc>
      </w:tr>
      <w:tr w:rsidR="008F7448" w:rsidRPr="00752249" w14:paraId="5FD4EA5C"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10298CE2" w14:textId="77777777" w:rsidR="008F7448" w:rsidRPr="00DD21BD" w:rsidRDefault="008F7448" w:rsidP="00685983">
            <w:pPr>
              <w:ind w:left="284"/>
            </w:pPr>
            <w:r w:rsidRPr="00DD21BD">
              <w:t>SCADA (Communications)</w:t>
            </w:r>
          </w:p>
        </w:tc>
        <w:tc>
          <w:tcPr>
            <w:tcW w:w="1418" w:type="dxa"/>
            <w:tcBorders>
              <w:top w:val="single" w:sz="4" w:space="0" w:color="7F878D"/>
              <w:left w:val="nil"/>
              <w:bottom w:val="single" w:sz="4" w:space="0" w:color="7F878D"/>
              <w:right w:val="nil"/>
            </w:tcBorders>
            <w:shd w:val="clear" w:color="000000" w:fill="FFFFFF"/>
          </w:tcPr>
          <w:p w14:paraId="250E7020" w14:textId="77777777" w:rsidR="008F7448" w:rsidRPr="00DD21BD" w:rsidRDefault="008F7448" w:rsidP="00974A6C">
            <w:r w:rsidRPr="00DD21BD">
              <w:t>15</w:t>
            </w:r>
          </w:p>
        </w:tc>
        <w:tc>
          <w:tcPr>
            <w:tcW w:w="1229" w:type="dxa"/>
            <w:tcBorders>
              <w:top w:val="single" w:sz="4" w:space="0" w:color="7F878D"/>
              <w:left w:val="nil"/>
              <w:bottom w:val="single" w:sz="4" w:space="0" w:color="7F878D"/>
              <w:right w:val="nil"/>
            </w:tcBorders>
            <w:shd w:val="clear" w:color="000000" w:fill="FFFFFF"/>
          </w:tcPr>
          <w:p w14:paraId="35F0540B" w14:textId="77777777" w:rsidR="008F7448" w:rsidRPr="00DD21BD" w:rsidRDefault="008F7448" w:rsidP="00974A6C">
            <w:r w:rsidRPr="00DD21BD">
              <w:t>15</w:t>
            </w:r>
          </w:p>
        </w:tc>
      </w:tr>
      <w:tr w:rsidR="008F7448" w:rsidRPr="00752249" w14:paraId="39E980F3" w14:textId="77777777" w:rsidTr="00974A6C">
        <w:trPr>
          <w:trHeight w:val="525"/>
        </w:trPr>
        <w:tc>
          <w:tcPr>
            <w:tcW w:w="6379" w:type="dxa"/>
            <w:tcBorders>
              <w:top w:val="single" w:sz="4" w:space="0" w:color="7F878D"/>
              <w:left w:val="nil"/>
              <w:bottom w:val="single" w:sz="4" w:space="0" w:color="7F878D"/>
              <w:right w:val="nil"/>
            </w:tcBorders>
            <w:shd w:val="clear" w:color="000000" w:fill="FFFFFF"/>
          </w:tcPr>
          <w:p w14:paraId="062FA664" w14:textId="77777777" w:rsidR="008F7448" w:rsidRPr="00DD21BD" w:rsidRDefault="008F7448" w:rsidP="00685983">
            <w:pPr>
              <w:ind w:left="284"/>
            </w:pPr>
            <w:r w:rsidRPr="00DD21BD">
              <w:t>Buildings</w:t>
            </w:r>
          </w:p>
        </w:tc>
        <w:tc>
          <w:tcPr>
            <w:tcW w:w="1418" w:type="dxa"/>
            <w:tcBorders>
              <w:top w:val="single" w:sz="4" w:space="0" w:color="7F878D"/>
              <w:left w:val="nil"/>
              <w:bottom w:val="single" w:sz="4" w:space="0" w:color="7F878D"/>
              <w:right w:val="nil"/>
            </w:tcBorders>
            <w:shd w:val="clear" w:color="000000" w:fill="FFFFFF"/>
          </w:tcPr>
          <w:p w14:paraId="6D0EEB12" w14:textId="77777777" w:rsidR="008F7448" w:rsidRPr="00DD21BD" w:rsidRDefault="008F7448" w:rsidP="00974A6C">
            <w:r w:rsidRPr="00DD21BD">
              <w:t>80</w:t>
            </w:r>
          </w:p>
        </w:tc>
        <w:tc>
          <w:tcPr>
            <w:tcW w:w="1229" w:type="dxa"/>
            <w:tcBorders>
              <w:top w:val="single" w:sz="4" w:space="0" w:color="7F878D"/>
              <w:left w:val="nil"/>
              <w:bottom w:val="single" w:sz="4" w:space="0" w:color="7F878D"/>
              <w:right w:val="nil"/>
            </w:tcBorders>
            <w:shd w:val="clear" w:color="000000" w:fill="FFFFFF"/>
          </w:tcPr>
          <w:p w14:paraId="705CF9D6" w14:textId="77777777" w:rsidR="008F7448" w:rsidRPr="00DD21BD" w:rsidRDefault="008F7448" w:rsidP="00974A6C">
            <w:r w:rsidRPr="00DD21BD">
              <w:t>80</w:t>
            </w:r>
          </w:p>
        </w:tc>
      </w:tr>
      <w:tr w:rsidR="008F7448" w:rsidRPr="00752249" w14:paraId="558FDAF3" w14:textId="77777777" w:rsidTr="00974A6C">
        <w:trPr>
          <w:trHeight w:val="525"/>
        </w:trPr>
        <w:tc>
          <w:tcPr>
            <w:tcW w:w="6379" w:type="dxa"/>
            <w:tcBorders>
              <w:top w:val="single" w:sz="4" w:space="0" w:color="7F878D"/>
              <w:left w:val="nil"/>
              <w:bottom w:val="nil"/>
              <w:right w:val="nil"/>
            </w:tcBorders>
            <w:shd w:val="clear" w:color="000000" w:fill="FFFFFF"/>
          </w:tcPr>
          <w:p w14:paraId="4E04CE02" w14:textId="77777777" w:rsidR="008F7448" w:rsidRPr="00DD21BD" w:rsidRDefault="008F7448" w:rsidP="00685983">
            <w:pPr>
              <w:ind w:left="284"/>
            </w:pPr>
            <w:r w:rsidRPr="00DD21BD">
              <w:t>IT systems</w:t>
            </w:r>
          </w:p>
        </w:tc>
        <w:tc>
          <w:tcPr>
            <w:tcW w:w="1418" w:type="dxa"/>
            <w:tcBorders>
              <w:top w:val="single" w:sz="4" w:space="0" w:color="7F878D"/>
              <w:left w:val="nil"/>
              <w:bottom w:val="nil"/>
              <w:right w:val="nil"/>
            </w:tcBorders>
            <w:shd w:val="clear" w:color="000000" w:fill="FFFFFF"/>
          </w:tcPr>
          <w:p w14:paraId="295FF380" w14:textId="77777777" w:rsidR="008F7448" w:rsidRPr="00DD21BD" w:rsidRDefault="008F7448" w:rsidP="00974A6C">
            <w:r w:rsidRPr="00DD21BD">
              <w:t>5</w:t>
            </w:r>
          </w:p>
        </w:tc>
        <w:tc>
          <w:tcPr>
            <w:tcW w:w="1229" w:type="dxa"/>
            <w:tcBorders>
              <w:top w:val="single" w:sz="4" w:space="0" w:color="7F878D"/>
              <w:left w:val="nil"/>
              <w:bottom w:val="nil"/>
              <w:right w:val="nil"/>
            </w:tcBorders>
            <w:shd w:val="clear" w:color="000000" w:fill="FFFFFF"/>
          </w:tcPr>
          <w:p w14:paraId="610D47FF" w14:textId="77777777" w:rsidR="008F7448" w:rsidRPr="00DD21BD" w:rsidRDefault="008F7448" w:rsidP="00974A6C">
            <w:r w:rsidRPr="00DD21BD">
              <w:t>5</w:t>
            </w:r>
          </w:p>
        </w:tc>
      </w:tr>
    </w:tbl>
    <w:p w14:paraId="0ACF89E7" w14:textId="77777777" w:rsidR="00AC3E35" w:rsidRPr="008F7448" w:rsidRDefault="00AC3E35" w:rsidP="009D7DEE"/>
    <w:sectPr w:rsidR="00AC3E35" w:rsidRPr="008F7448" w:rsidSect="00F17C79">
      <w:type w:val="continuous"/>
      <w:pgSz w:w="11906" w:h="16838"/>
      <w:pgMar w:top="1276"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8A503" w15:done="0"/>
  <w15:commentEx w15:paraId="1853BF88" w15:done="0"/>
  <w15:commentEx w15:paraId="7146D856" w15:done="0"/>
  <w15:commentEx w15:paraId="45E65D9E" w15:done="0"/>
  <w15:commentEx w15:paraId="5BBA4505" w15:done="0"/>
  <w15:commentEx w15:paraId="5062B4C0" w15:done="0"/>
  <w15:commentEx w15:paraId="440881CF" w15:done="0"/>
  <w15:commentEx w15:paraId="3BB7BF26" w15:done="0"/>
  <w15:commentEx w15:paraId="24CC1F33" w15:done="0"/>
  <w15:commentEx w15:paraId="4AE72492" w15:done="0"/>
  <w15:commentEx w15:paraId="546345FB" w15:done="0"/>
  <w15:commentEx w15:paraId="3F709F67" w15:done="0"/>
  <w15:commentEx w15:paraId="385892C5" w15:done="0"/>
  <w15:commentEx w15:paraId="729DD3D6" w15:done="0"/>
  <w15:commentEx w15:paraId="66C4DD60" w15:done="0"/>
  <w15:commentEx w15:paraId="68643F56" w15:done="0"/>
  <w15:commentEx w15:paraId="2C91E3B2" w15:done="0"/>
  <w15:commentEx w15:paraId="469C5971" w15:done="0"/>
  <w15:commentEx w15:paraId="5024797B" w15:done="0"/>
  <w15:commentEx w15:paraId="0299A315" w15:done="0"/>
  <w15:commentEx w15:paraId="4C9234FF" w15:done="0"/>
  <w15:commentEx w15:paraId="1A1CC6F6" w15:done="0"/>
  <w15:commentEx w15:paraId="658C8820" w15:done="0"/>
  <w15:commentEx w15:paraId="717E0176" w15:done="0"/>
  <w15:commentEx w15:paraId="7BBE73DB" w15:done="0"/>
  <w15:commentEx w15:paraId="4CE03981" w15:done="0"/>
  <w15:commentEx w15:paraId="181B92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B8A5B" w14:textId="2EE3E115" w:rsidR="001D15FE" w:rsidRDefault="001D15FE" w:rsidP="004C34D3">
      <w:pPr>
        <w:spacing w:before="0"/>
      </w:pPr>
      <w:r>
        <w:separator/>
      </w:r>
    </w:p>
  </w:endnote>
  <w:endnote w:type="continuationSeparator" w:id="0">
    <w:p w14:paraId="5583C7F1" w14:textId="484AB3B5" w:rsidR="001D15FE" w:rsidRDefault="001D15FE" w:rsidP="004C34D3">
      <w:pPr>
        <w:spacing w:before="0"/>
      </w:pPr>
      <w:r>
        <w:continuationSeparator/>
      </w:r>
    </w:p>
  </w:endnote>
  <w:endnote w:type="continuationNotice" w:id="1">
    <w:p w14:paraId="61ACBF86" w14:textId="77777777" w:rsidR="001D15FE" w:rsidRDefault="001D15F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AEAD3" w14:textId="378E216F" w:rsidR="001D15FE" w:rsidRDefault="001D15FE" w:rsidP="00CB69FA">
    <w:pPr>
      <w:pStyle w:val="Footer"/>
      <w:tabs>
        <w:tab w:val="clear" w:pos="4513"/>
        <w:tab w:val="clear" w:pos="9026"/>
        <w:tab w:val="right" w:pos="8505"/>
      </w:tabs>
    </w:pPr>
    <w:r>
      <w:rPr>
        <w:noProof/>
      </w:rPr>
      <w:tab/>
    </w:r>
    <w:r w:rsidR="00BA13D2">
      <w:fldChar w:fldCharType="begin"/>
    </w:r>
    <w:r w:rsidR="00BA13D2">
      <w:instrText xml:space="preserve"> STYLEREF  "Report Title"  \* MERGEFORMAT </w:instrText>
    </w:r>
    <w:r w:rsidR="00BA13D2">
      <w:fldChar w:fldCharType="separate"/>
    </w:r>
    <w:r w:rsidR="00BA13D2" w:rsidRPr="00BA13D2">
      <w:rPr>
        <w:bCs/>
        <w:noProof/>
        <w:lang w:val="en-US"/>
      </w:rPr>
      <w:t>Financial Reporting</w:t>
    </w:r>
    <w:r w:rsidR="00BA13D2">
      <w:rPr>
        <w:noProof/>
      </w:rPr>
      <w:t xml:space="preserve"> Guideline for Non-Scheme Pipelines</w:t>
    </w:r>
    <w:r w:rsidR="00BA13D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BBAE" w14:textId="6B1D3377" w:rsidR="001D15FE" w:rsidRDefault="00BA13D2" w:rsidP="001C2893">
    <w:pPr>
      <w:pStyle w:val="Footer"/>
      <w:tabs>
        <w:tab w:val="clear" w:pos="9026"/>
        <w:tab w:val="right" w:pos="8505"/>
      </w:tabs>
    </w:pPr>
    <w:r>
      <w:fldChar w:fldCharType="begin"/>
    </w:r>
    <w:r>
      <w:instrText xml:space="preserve"> STYLEREF  "Report Title"  \* MERGEFORMAT </w:instrText>
    </w:r>
    <w:r>
      <w:fldChar w:fldCharType="separate"/>
    </w:r>
    <w:r w:rsidRPr="00BA13D2">
      <w:rPr>
        <w:bCs/>
        <w:noProof/>
        <w:lang w:val="en-US"/>
      </w:rPr>
      <w:t>Financial Reporting</w:t>
    </w:r>
    <w:r>
      <w:rPr>
        <w:noProof/>
      </w:rPr>
      <w:t xml:space="preserve"> Guideline for Non-Scheme Pipelines</w:t>
    </w:r>
    <w:r>
      <w:rPr>
        <w:noProof/>
      </w:rPr>
      <w:fldChar w:fldCharType="end"/>
    </w:r>
    <w:r w:rsidR="001D15FE">
      <w:tab/>
    </w:r>
    <w:r w:rsidR="001D15FE">
      <w:tab/>
    </w:r>
    <w:r w:rsidR="001D15FE">
      <w:fldChar w:fldCharType="begin"/>
    </w:r>
    <w:r w:rsidR="001D15FE">
      <w:instrText xml:space="preserve"> PAGE   \* MERGEFORMAT </w:instrText>
    </w:r>
    <w:r w:rsidR="001D15FE">
      <w:fldChar w:fldCharType="separate"/>
    </w:r>
    <w:r>
      <w:rPr>
        <w:noProof/>
      </w:rPr>
      <w:t>29</w:t>
    </w:r>
    <w:r w:rsidR="001D15F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3331" w14:textId="5F3D1FEB" w:rsidR="001D15FE" w:rsidRDefault="00BA13D2" w:rsidP="00121C7E">
    <w:pPr>
      <w:pStyle w:val="Footer"/>
      <w:tabs>
        <w:tab w:val="clear" w:pos="9026"/>
        <w:tab w:val="right" w:pos="8505"/>
      </w:tabs>
    </w:pPr>
    <w:r>
      <w:fldChar w:fldCharType="begin"/>
    </w:r>
    <w:r>
      <w:instrText xml:space="preserve"> STYLEREF  "Report Title"  \* MERGEFORMAT </w:instrText>
    </w:r>
    <w:r>
      <w:fldChar w:fldCharType="separate"/>
    </w:r>
    <w:r w:rsidRPr="00BA13D2">
      <w:rPr>
        <w:bCs/>
        <w:noProof/>
        <w:lang w:val="en-US"/>
      </w:rPr>
      <w:t>Financial</w:t>
    </w:r>
    <w:r w:rsidRPr="00BA13D2">
      <w:rPr>
        <w:b/>
        <w:bCs/>
        <w:noProof/>
        <w:lang w:val="en-US"/>
      </w:rPr>
      <w:t xml:space="preserve"> </w:t>
    </w:r>
    <w:r w:rsidRPr="00BA13D2">
      <w:rPr>
        <w:bCs/>
        <w:noProof/>
        <w:lang w:val="en-US"/>
      </w:rPr>
      <w:t>Reporting</w:t>
    </w:r>
    <w:r w:rsidRPr="00BA13D2">
      <w:rPr>
        <w:b/>
        <w:bCs/>
        <w:noProof/>
        <w:lang w:val="en-US"/>
      </w:rPr>
      <w:t xml:space="preserve"> </w:t>
    </w:r>
    <w:r w:rsidRPr="00BA13D2">
      <w:rPr>
        <w:bCs/>
        <w:noProof/>
        <w:lang w:val="en-US"/>
      </w:rPr>
      <w:t>Guideline</w:t>
    </w:r>
    <w:r>
      <w:rPr>
        <w:noProof/>
      </w:rPr>
      <w:t xml:space="preserve"> for Non-Scheme Pipelines</w:t>
    </w:r>
    <w:r>
      <w:rPr>
        <w:noProof/>
      </w:rPr>
      <w:fldChar w:fldCharType="end"/>
    </w:r>
    <w:r w:rsidR="001D15FE">
      <w:tab/>
    </w:r>
    <w:r w:rsidR="001D15FE">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620973"/>
      <w:docPartObj>
        <w:docPartGallery w:val="Page Numbers (Bottom of Page)"/>
        <w:docPartUnique/>
      </w:docPartObj>
    </w:sdtPr>
    <w:sdtEndPr>
      <w:rPr>
        <w:noProof/>
      </w:rPr>
    </w:sdtEndPr>
    <w:sdtContent>
      <w:p w14:paraId="17E49D45" w14:textId="2A8DBA47" w:rsidR="001D15FE" w:rsidRDefault="001D15FE">
        <w:pPr>
          <w:pStyle w:val="Footer"/>
        </w:pPr>
        <w:r>
          <w:fldChar w:fldCharType="begin"/>
        </w:r>
        <w:r>
          <w:instrText xml:space="preserve"> PAGE   \* MERGEFORMAT </w:instrText>
        </w:r>
        <w:r>
          <w:fldChar w:fldCharType="separate"/>
        </w:r>
        <w:r w:rsidR="00BA13D2">
          <w:rPr>
            <w:noProof/>
          </w:rPr>
          <w:t>28</w:t>
        </w:r>
        <w:r>
          <w:rPr>
            <w:noProof/>
          </w:rPr>
          <w:fldChar w:fldCharType="end"/>
        </w:r>
        <w:r>
          <w:rPr>
            <w:noProof/>
          </w:rPr>
          <w:t xml:space="preserve"> </w:t>
        </w:r>
        <w:r>
          <w:rPr>
            <w:noProof/>
          </w:rPr>
          <w:tab/>
        </w:r>
        <w:r>
          <w:rPr>
            <w:noProof/>
          </w:rPr>
          <w:tab/>
        </w:r>
        <w:r w:rsidR="00BA13D2">
          <w:fldChar w:fldCharType="begin"/>
        </w:r>
        <w:r w:rsidR="00BA13D2">
          <w:instrText xml:space="preserve"> STYLEREF  "Report Title"  \* MERGEFORMAT </w:instrText>
        </w:r>
        <w:r w:rsidR="00BA13D2">
          <w:fldChar w:fldCharType="separate"/>
        </w:r>
        <w:r w:rsidR="00BA13D2" w:rsidRPr="00BA13D2">
          <w:rPr>
            <w:bCs/>
            <w:noProof/>
            <w:lang w:val="en-US"/>
          </w:rPr>
          <w:t>Financial Reporting</w:t>
        </w:r>
        <w:r w:rsidR="00BA13D2">
          <w:rPr>
            <w:noProof/>
          </w:rPr>
          <w:t xml:space="preserve"> Guideline for Non-Scheme Pipelines</w:t>
        </w:r>
        <w:r w:rsidR="00BA13D2">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0BDE" w14:textId="3525126D" w:rsidR="001D15FE" w:rsidRDefault="00BA13D2">
    <w:pPr>
      <w:pStyle w:val="Footer"/>
      <w:jc w:val="right"/>
    </w:pPr>
    <w:r>
      <w:fldChar w:fldCharType="begin"/>
    </w:r>
    <w:r>
      <w:instrText xml:space="preserve"> STYLEREF  "Report Title"  \* MERGEFORMAT </w:instrText>
    </w:r>
    <w:r>
      <w:fldChar w:fldCharType="separate"/>
    </w:r>
    <w:r w:rsidRPr="00BA13D2">
      <w:rPr>
        <w:bCs/>
        <w:noProof/>
        <w:lang w:val="en-US"/>
      </w:rPr>
      <w:t>Financial Reporting</w:t>
    </w:r>
    <w:r>
      <w:rPr>
        <w:noProof/>
      </w:rPr>
      <w:t xml:space="preserve"> Guideline for Non-Scheme Pipelines</w:t>
    </w:r>
    <w:r>
      <w:rPr>
        <w:noProof/>
      </w:rPr>
      <w:fldChar w:fldCharType="end"/>
    </w:r>
    <w:r w:rsidR="001D15FE">
      <w:rPr>
        <w:noProof/>
      </w:rPr>
      <w:tab/>
    </w:r>
    <w:r w:rsidR="001D15FE">
      <w:rPr>
        <w:noProof/>
      </w:rPr>
      <w:tab/>
    </w:r>
    <w:sdt>
      <w:sdtPr>
        <w:id w:val="396952427"/>
        <w:docPartObj>
          <w:docPartGallery w:val="Page Numbers (Bottom of Page)"/>
          <w:docPartUnique/>
        </w:docPartObj>
      </w:sdtPr>
      <w:sdtEndPr>
        <w:rPr>
          <w:noProof/>
        </w:rPr>
      </w:sdtEndPr>
      <w:sdtContent>
        <w:r w:rsidR="001D15FE">
          <w:fldChar w:fldCharType="begin"/>
        </w:r>
        <w:r w:rsidR="001D15FE">
          <w:instrText xml:space="preserve"> PAGE   \* MERGEFORMAT </w:instrText>
        </w:r>
        <w:r w:rsidR="001D15FE">
          <w:fldChar w:fldCharType="separate"/>
        </w:r>
        <w:r>
          <w:rPr>
            <w:noProof/>
          </w:rPr>
          <w:t>i</w:t>
        </w:r>
        <w:r w:rsidR="001D15F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D5828" w14:textId="77777777" w:rsidR="001D15FE" w:rsidRDefault="001D15FE" w:rsidP="004B4412">
      <w:pPr>
        <w:spacing w:before="0"/>
      </w:pPr>
      <w:r>
        <w:separator/>
      </w:r>
    </w:p>
  </w:footnote>
  <w:footnote w:type="continuationSeparator" w:id="0">
    <w:p w14:paraId="44BAC6E3" w14:textId="77777777" w:rsidR="001D15FE" w:rsidRDefault="001D15FE" w:rsidP="004B4412">
      <w:pPr>
        <w:spacing w:before="0"/>
      </w:pPr>
      <w:r>
        <w:continuationSeparator/>
      </w:r>
    </w:p>
  </w:footnote>
  <w:footnote w:type="continuationNotice" w:id="1">
    <w:p w14:paraId="2A11E96D" w14:textId="77777777" w:rsidR="001D15FE" w:rsidRDefault="001D15FE">
      <w:pPr>
        <w:spacing w:before="0" w:line="240" w:lineRule="auto"/>
      </w:pPr>
    </w:p>
  </w:footnote>
  <w:footnote w:id="2">
    <w:p w14:paraId="54C0DA64" w14:textId="4822FB99" w:rsidR="001D15FE" w:rsidRDefault="001D15FE" w:rsidP="00F50BF2">
      <w:pPr>
        <w:pStyle w:val="FootnoteText"/>
        <w:tabs>
          <w:tab w:val="clear" w:pos="340"/>
          <w:tab w:val="left" w:pos="142"/>
        </w:tabs>
        <w:ind w:left="142" w:hanging="142"/>
      </w:pPr>
      <w:r>
        <w:rPr>
          <w:rStyle w:val="FootnoteReference"/>
        </w:rPr>
        <w:footnoteRef/>
      </w:r>
      <w:r>
        <w:t xml:space="preserve"> </w:t>
      </w:r>
      <w:r>
        <w:tab/>
        <w:t xml:space="preserve">Australian Energy Regulator, </w:t>
      </w:r>
      <w:r w:rsidRPr="00F50BF2">
        <w:rPr>
          <w:i/>
        </w:rPr>
        <w:t>Non-scheme Pipeline Arbitration Guide National Gas Law and Rules Version 1</w:t>
      </w:r>
      <w:r>
        <w:rPr>
          <w:i/>
        </w:rPr>
        <w:t xml:space="preserve">, </w:t>
      </w:r>
      <w:r w:rsidRPr="00F668FB">
        <w:t xml:space="preserve"> September 2017</w:t>
      </w:r>
      <w:r>
        <w:t>.</w:t>
      </w:r>
    </w:p>
  </w:footnote>
  <w:footnote w:id="3">
    <w:p w14:paraId="6EA02366" w14:textId="011AEF02" w:rsidR="001D15FE" w:rsidRDefault="001D15FE" w:rsidP="00F50BF2">
      <w:pPr>
        <w:pStyle w:val="FootnoteText"/>
        <w:tabs>
          <w:tab w:val="clear" w:pos="340"/>
          <w:tab w:val="left" w:pos="142"/>
        </w:tabs>
        <w:ind w:left="142" w:hanging="142"/>
      </w:pPr>
      <w:r>
        <w:rPr>
          <w:rStyle w:val="FootnoteReference"/>
        </w:rPr>
        <w:footnoteRef/>
      </w:r>
      <w:r>
        <w:t xml:space="preserve"> </w:t>
      </w:r>
      <w:r>
        <w:tab/>
        <w:t xml:space="preserve">Gas Market Reform Group, </w:t>
      </w:r>
      <w:r w:rsidRPr="00F50BF2">
        <w:rPr>
          <w:i/>
        </w:rPr>
        <w:t>Gas Pipeline Information Disclosure and Arbitration Framework Initial National Gas Rules Explanatory Note</w:t>
      </w:r>
      <w:r>
        <w:t>, 2 August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707A8" w14:textId="77777777" w:rsidR="00C917E9" w:rsidRDefault="00C91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8A66F" w14:textId="77777777" w:rsidR="00C917E9" w:rsidRDefault="00C91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73666" w14:textId="77777777" w:rsidR="00C917E9" w:rsidRDefault="00C91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lvlText w:val="%1"/>
      <w:lvlJc w:val="left"/>
      <w:pPr>
        <w:ind w:left="432" w:hanging="432"/>
      </w:p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4247C01"/>
    <w:multiLevelType w:val="hybridMultilevel"/>
    <w:tmpl w:val="EE6EAE5A"/>
    <w:lvl w:ilvl="0" w:tplc="0C090003">
      <w:start w:val="1"/>
      <w:numFmt w:val="bullet"/>
      <w:lvlText w:val="o"/>
      <w:lvlJc w:val="left"/>
      <w:pPr>
        <w:ind w:left="680" w:hanging="340"/>
      </w:pPr>
      <w:rPr>
        <w:rFonts w:ascii="Courier New" w:hAnsi="Courier New" w:cs="Courier New"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C4312B0"/>
    <w:multiLevelType w:val="hybridMultilevel"/>
    <w:tmpl w:val="91281C9E"/>
    <w:lvl w:ilvl="0" w:tplc="990A9FAA">
      <w:start w:val="1"/>
      <w:numFmt w:val="lowerLetter"/>
      <w:lvlText w:val="(%1)"/>
      <w:lvlJc w:val="left"/>
      <w:pPr>
        <w:ind w:left="644" w:hanging="360"/>
      </w:pPr>
      <w:rPr>
        <w:rFonts w:hint="default"/>
      </w:rPr>
    </w:lvl>
    <w:lvl w:ilvl="1" w:tplc="1B444F64">
      <w:start w:val="1"/>
      <w:numFmt w:val="decimal"/>
      <w:lvlText w:val="%2."/>
      <w:lvlJc w:val="left"/>
      <w:pPr>
        <w:ind w:left="1760" w:hanging="360"/>
      </w:pPr>
      <w:rPr>
        <w:rFonts w:hint="default"/>
        <w:color w:val="000000"/>
      </w:r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nsid w:val="17DE4A41"/>
    <w:multiLevelType w:val="multilevel"/>
    <w:tmpl w:val="BCAA6C9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4FB4649"/>
    <w:multiLevelType w:val="hybridMultilevel"/>
    <w:tmpl w:val="622E0D10"/>
    <w:lvl w:ilvl="0" w:tplc="0C090003">
      <w:start w:val="1"/>
      <w:numFmt w:val="bullet"/>
      <w:lvlText w:val="o"/>
      <w:lvlJc w:val="left"/>
      <w:pPr>
        <w:ind w:left="680" w:hanging="340"/>
      </w:pPr>
      <w:rPr>
        <w:rFonts w:ascii="Courier New" w:hAnsi="Courier New" w:cs="Courier New"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nsid w:val="3923347D"/>
    <w:multiLevelType w:val="hybridMultilevel"/>
    <w:tmpl w:val="0118429E"/>
    <w:lvl w:ilvl="0" w:tplc="D66A534E">
      <w:start w:val="1"/>
      <w:numFmt w:val="bullet"/>
      <w:pStyle w:val="List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552F546">
      <w:numFmt w:val="bullet"/>
      <w:lvlText w:val="•"/>
      <w:lvlJc w:val="left"/>
      <w:pPr>
        <w:ind w:left="2880" w:hanging="360"/>
      </w:pPr>
      <w:rPr>
        <w:rFonts w:ascii="Arial" w:eastAsiaTheme="minorHAns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9DC1BB5"/>
    <w:multiLevelType w:val="hybridMultilevel"/>
    <w:tmpl w:val="48E298D4"/>
    <w:lvl w:ilvl="0" w:tplc="0C09001B">
      <w:start w:val="1"/>
      <w:numFmt w:val="lowerRoman"/>
      <w:lvlText w:val="%1."/>
      <w:lvlJc w:val="right"/>
      <w:pPr>
        <w:ind w:left="680" w:hanging="34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3E0534B"/>
    <w:multiLevelType w:val="hybridMultilevel"/>
    <w:tmpl w:val="A1525A9A"/>
    <w:lvl w:ilvl="0" w:tplc="2AA420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B8220B"/>
    <w:multiLevelType w:val="hybridMultilevel"/>
    <w:tmpl w:val="5DD04992"/>
    <w:lvl w:ilvl="0" w:tplc="0C09001B">
      <w:start w:val="1"/>
      <w:numFmt w:val="lowerRoman"/>
      <w:lvlText w:val="%1."/>
      <w:lvlJc w:val="right"/>
      <w:pPr>
        <w:ind w:left="1361" w:hanging="360"/>
      </w:pPr>
    </w:lvl>
    <w:lvl w:ilvl="1" w:tplc="0C090019" w:tentative="1">
      <w:start w:val="1"/>
      <w:numFmt w:val="lowerLetter"/>
      <w:lvlText w:val="%2."/>
      <w:lvlJc w:val="left"/>
      <w:pPr>
        <w:ind w:left="2081" w:hanging="360"/>
      </w:pPr>
    </w:lvl>
    <w:lvl w:ilvl="2" w:tplc="0C09001B" w:tentative="1">
      <w:start w:val="1"/>
      <w:numFmt w:val="lowerRoman"/>
      <w:lvlText w:val="%3."/>
      <w:lvlJc w:val="right"/>
      <w:pPr>
        <w:ind w:left="2801" w:hanging="180"/>
      </w:pPr>
    </w:lvl>
    <w:lvl w:ilvl="3" w:tplc="0C09000F" w:tentative="1">
      <w:start w:val="1"/>
      <w:numFmt w:val="decimal"/>
      <w:lvlText w:val="%4."/>
      <w:lvlJc w:val="left"/>
      <w:pPr>
        <w:ind w:left="3521" w:hanging="360"/>
      </w:pPr>
    </w:lvl>
    <w:lvl w:ilvl="4" w:tplc="0C090019" w:tentative="1">
      <w:start w:val="1"/>
      <w:numFmt w:val="lowerLetter"/>
      <w:lvlText w:val="%5."/>
      <w:lvlJc w:val="left"/>
      <w:pPr>
        <w:ind w:left="4241" w:hanging="360"/>
      </w:pPr>
    </w:lvl>
    <w:lvl w:ilvl="5" w:tplc="0C09001B" w:tentative="1">
      <w:start w:val="1"/>
      <w:numFmt w:val="lowerRoman"/>
      <w:lvlText w:val="%6."/>
      <w:lvlJc w:val="right"/>
      <w:pPr>
        <w:ind w:left="4961" w:hanging="180"/>
      </w:pPr>
    </w:lvl>
    <w:lvl w:ilvl="6" w:tplc="0C09000F" w:tentative="1">
      <w:start w:val="1"/>
      <w:numFmt w:val="decimal"/>
      <w:lvlText w:val="%7."/>
      <w:lvlJc w:val="left"/>
      <w:pPr>
        <w:ind w:left="5681" w:hanging="360"/>
      </w:pPr>
    </w:lvl>
    <w:lvl w:ilvl="7" w:tplc="0C090019" w:tentative="1">
      <w:start w:val="1"/>
      <w:numFmt w:val="lowerLetter"/>
      <w:lvlText w:val="%8."/>
      <w:lvlJc w:val="left"/>
      <w:pPr>
        <w:ind w:left="6401" w:hanging="360"/>
      </w:pPr>
    </w:lvl>
    <w:lvl w:ilvl="8" w:tplc="0C09001B" w:tentative="1">
      <w:start w:val="1"/>
      <w:numFmt w:val="lowerRoman"/>
      <w:lvlText w:val="%9."/>
      <w:lvlJc w:val="right"/>
      <w:pPr>
        <w:ind w:left="7121" w:hanging="180"/>
      </w:pPr>
    </w:lvl>
  </w:abstractNum>
  <w:abstractNum w:abstractNumId="3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726588A"/>
    <w:multiLevelType w:val="hybridMultilevel"/>
    <w:tmpl w:val="165C3C70"/>
    <w:lvl w:ilvl="0" w:tplc="0C09000F">
      <w:start w:val="1"/>
      <w:numFmt w:val="decimal"/>
      <w:lvlText w:val="%1."/>
      <w:lvlJc w:val="left"/>
      <w:pPr>
        <w:ind w:left="1003" w:hanging="360"/>
      </w:pPr>
      <w:rPr>
        <w:rFonts w:hint="default"/>
      </w:rPr>
    </w:lvl>
    <w:lvl w:ilvl="1" w:tplc="0C090019">
      <w:start w:val="1"/>
      <w:numFmt w:val="bullet"/>
      <w:lvlText w:val="o"/>
      <w:lvlJc w:val="left"/>
      <w:pPr>
        <w:ind w:left="1723" w:hanging="360"/>
      </w:pPr>
      <w:rPr>
        <w:rFonts w:ascii="Courier New" w:hAnsi="Courier New" w:cs="Courier New" w:hint="default"/>
      </w:rPr>
    </w:lvl>
    <w:lvl w:ilvl="2" w:tplc="0C09001B">
      <w:start w:val="1"/>
      <w:numFmt w:val="bullet"/>
      <w:lvlText w:val=""/>
      <w:lvlJc w:val="left"/>
      <w:pPr>
        <w:ind w:left="2443" w:hanging="360"/>
      </w:pPr>
      <w:rPr>
        <w:rFonts w:ascii="Wingdings" w:hAnsi="Wingdings" w:hint="default"/>
      </w:rPr>
    </w:lvl>
    <w:lvl w:ilvl="3" w:tplc="DDF0CBF4">
      <w:start w:val="1"/>
      <w:numFmt w:val="lowerRoman"/>
      <w:lvlText w:val="(%4)"/>
      <w:lvlJc w:val="left"/>
      <w:pPr>
        <w:ind w:left="3523" w:hanging="720"/>
      </w:pPr>
      <w:rPr>
        <w:rFonts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7">
    <w:nsid w:val="7E2819EC"/>
    <w:multiLevelType w:val="multilevel"/>
    <w:tmpl w:val="8EB0A35C"/>
    <w:lvl w:ilvl="0">
      <w:start w:val="1"/>
      <w:numFmt w:val="bullet"/>
      <w:pStyle w:val="Bulletpoint"/>
      <w:lvlText w:val=""/>
      <w:lvlJc w:val="left"/>
      <w:pPr>
        <w:ind w:left="1040" w:hanging="360"/>
      </w:pPr>
      <w:rPr>
        <w:rFonts w:ascii="Symbol" w:hAnsi="Symbol" w:hint="default"/>
      </w:rPr>
    </w:lvl>
    <w:lvl w:ilvl="1">
      <w:start w:val="1"/>
      <w:numFmt w:val="bullet"/>
      <w:lvlText w:val="o"/>
      <w:lvlJc w:val="left"/>
      <w:pPr>
        <w:ind w:left="1472" w:hanging="432"/>
      </w:pPr>
      <w:rPr>
        <w:rFonts w:ascii="Courier New" w:hAnsi="Courier New" w:cs="Courier New" w:hint="default"/>
      </w:rPr>
    </w:lvl>
    <w:lvl w:ilvl="2">
      <w:start w:val="1"/>
      <w:numFmt w:val="decimal"/>
      <w:lvlText w:val="%1.%2.%3."/>
      <w:lvlJc w:val="left"/>
      <w:pPr>
        <w:ind w:left="1904" w:hanging="504"/>
      </w:pPr>
      <w:rPr>
        <w:rFonts w:hint="default"/>
      </w:rPr>
    </w:lvl>
    <w:lvl w:ilvl="3">
      <w:start w:val="1"/>
      <w:numFmt w:val="decimal"/>
      <w:lvlText w:val="%1.%2.%3.%4."/>
      <w:lvlJc w:val="left"/>
      <w:pPr>
        <w:ind w:left="2408" w:hanging="648"/>
      </w:pPr>
      <w:rPr>
        <w:rFonts w:hint="default"/>
      </w:rPr>
    </w:lvl>
    <w:lvl w:ilvl="4">
      <w:start w:val="1"/>
      <w:numFmt w:val="decimal"/>
      <w:lvlText w:val="%1.%2.%3.%4.%5."/>
      <w:lvlJc w:val="left"/>
      <w:pPr>
        <w:ind w:left="2912" w:hanging="792"/>
      </w:pPr>
      <w:rPr>
        <w:rFonts w:hint="default"/>
      </w:rPr>
    </w:lvl>
    <w:lvl w:ilvl="5">
      <w:start w:val="1"/>
      <w:numFmt w:val="decimal"/>
      <w:lvlText w:val="%1.%2.%3.%4.%5.%6."/>
      <w:lvlJc w:val="left"/>
      <w:pPr>
        <w:ind w:left="3416" w:hanging="936"/>
      </w:pPr>
      <w:rPr>
        <w:rFonts w:hint="default"/>
      </w:rPr>
    </w:lvl>
    <w:lvl w:ilvl="6">
      <w:start w:val="1"/>
      <w:numFmt w:val="decimal"/>
      <w:lvlText w:val="%1.%2.%3.%4.%5.%6.%7."/>
      <w:lvlJc w:val="left"/>
      <w:pPr>
        <w:ind w:left="3920" w:hanging="1080"/>
      </w:pPr>
      <w:rPr>
        <w:rFonts w:hint="default"/>
      </w:rPr>
    </w:lvl>
    <w:lvl w:ilvl="7">
      <w:start w:val="1"/>
      <w:numFmt w:val="decimal"/>
      <w:lvlText w:val="%1.%2.%3.%4.%5.%6.%7.%8."/>
      <w:lvlJc w:val="left"/>
      <w:pPr>
        <w:ind w:left="4424" w:hanging="1224"/>
      </w:pPr>
      <w:rPr>
        <w:rFonts w:hint="default"/>
      </w:rPr>
    </w:lvl>
    <w:lvl w:ilvl="8">
      <w:start w:val="1"/>
      <w:numFmt w:val="decimal"/>
      <w:lvlText w:val="%1.%2.%3.%4.%5.%6.%7.%8.%9."/>
      <w:lvlJc w:val="left"/>
      <w:pPr>
        <w:ind w:left="5000" w:hanging="1440"/>
      </w:pPr>
      <w:rPr>
        <w:rFonts w:hint="default"/>
      </w:rPr>
    </w:lvl>
  </w:abstractNum>
  <w:num w:numId="1">
    <w:abstractNumId w:val="14"/>
  </w:num>
  <w:num w:numId="2">
    <w:abstractNumId w:val="37"/>
  </w:num>
  <w:num w:numId="3">
    <w:abstractNumId w:val="7"/>
  </w:num>
  <w:num w:numId="4">
    <w:abstractNumId w:val="6"/>
  </w:num>
  <w:num w:numId="5">
    <w:abstractNumId w:val="5"/>
  </w:num>
  <w:num w:numId="6">
    <w:abstractNumId w:val="4"/>
  </w:num>
  <w:num w:numId="7">
    <w:abstractNumId w:val="1"/>
  </w:num>
  <w:num w:numId="8">
    <w:abstractNumId w:val="0"/>
  </w:num>
  <w:num w:numId="9">
    <w:abstractNumId w:val="32"/>
  </w:num>
  <w:num w:numId="10">
    <w:abstractNumId w:val="22"/>
  </w:num>
  <w:num w:numId="11">
    <w:abstractNumId w:val="13"/>
  </w:num>
  <w:num w:numId="12">
    <w:abstractNumId w:val="18"/>
  </w:num>
  <w:num w:numId="13">
    <w:abstractNumId w:val="21"/>
  </w:num>
  <w:num w:numId="14">
    <w:abstractNumId w:val="2"/>
  </w:num>
  <w:num w:numId="15">
    <w:abstractNumId w:val="33"/>
  </w:num>
  <w:num w:numId="16">
    <w:abstractNumId w:val="36"/>
  </w:num>
  <w:num w:numId="17">
    <w:abstractNumId w:val="35"/>
  </w:num>
  <w:num w:numId="18">
    <w:abstractNumId w:val="26"/>
  </w:num>
  <w:num w:numId="19">
    <w:abstractNumId w:val="19"/>
  </w:num>
  <w:num w:numId="20">
    <w:abstractNumId w:val="23"/>
  </w:num>
  <w:num w:numId="21">
    <w:abstractNumId w:val="34"/>
  </w:num>
  <w:num w:numId="22">
    <w:abstractNumId w:val="28"/>
  </w:num>
  <w:num w:numId="23">
    <w:abstractNumId w:val="8"/>
  </w:num>
  <w:num w:numId="24">
    <w:abstractNumId w:val="3"/>
  </w:num>
  <w:num w:numId="25">
    <w:abstractNumId w:val="25"/>
  </w:num>
  <w:num w:numId="26">
    <w:abstractNumId w:val="15"/>
  </w:num>
  <w:num w:numId="27">
    <w:abstractNumId w:val="31"/>
  </w:num>
  <w:num w:numId="28">
    <w:abstractNumId w:val="24"/>
  </w:num>
  <w:num w:numId="29">
    <w:abstractNumId w:val="12"/>
  </w:num>
  <w:num w:numId="30">
    <w:abstractNumId w:val="9"/>
  </w:num>
  <w:num w:numId="31">
    <w:abstractNumId w:val="17"/>
  </w:num>
  <w:num w:numId="32">
    <w:abstractNumId w:val="10"/>
  </w:num>
  <w:num w:numId="33">
    <w:abstractNumId w:val="12"/>
    <w:lvlOverride w:ilvl="0">
      <w:startOverride w:val="1"/>
    </w:lvlOverride>
  </w:num>
  <w:num w:numId="34">
    <w:abstractNumId w:val="16"/>
  </w:num>
  <w:num w:numId="35">
    <w:abstractNumId w:val="20"/>
  </w:num>
  <w:num w:numId="36">
    <w:abstractNumId w:val="11"/>
  </w:num>
  <w:num w:numId="37">
    <w:abstractNumId w:val="29"/>
  </w:num>
  <w:num w:numId="38">
    <w:abstractNumId w:val="30"/>
  </w:num>
  <w:num w:numId="39">
    <w:abstractNumId w:val="27"/>
  </w:num>
  <w:num w:numId="40">
    <w:abstractNumId w:val="25"/>
  </w:num>
  <w:num w:numId="41">
    <w:abstractNumId w:val="25"/>
  </w:num>
  <w:num w:numId="42">
    <w:abstractNumId w:val="25"/>
  </w:num>
  <w:num w:numId="43">
    <w:abstractNumId w:val="37"/>
  </w:num>
  <w:num w:numId="44">
    <w:abstractNumId w:val="3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ckering, Joanne">
    <w15:presenceInfo w15:providerId="None" w15:userId="Pickering, Jo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evenAndOddHeader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8F7448"/>
    <w:rsid w:val="000028F3"/>
    <w:rsid w:val="0000438E"/>
    <w:rsid w:val="00016721"/>
    <w:rsid w:val="000179F9"/>
    <w:rsid w:val="0002115F"/>
    <w:rsid w:val="00021202"/>
    <w:rsid w:val="000225C4"/>
    <w:rsid w:val="000232BF"/>
    <w:rsid w:val="0002517F"/>
    <w:rsid w:val="0002742B"/>
    <w:rsid w:val="0003364B"/>
    <w:rsid w:val="0003578C"/>
    <w:rsid w:val="00037267"/>
    <w:rsid w:val="00063247"/>
    <w:rsid w:val="00070F9F"/>
    <w:rsid w:val="0007137B"/>
    <w:rsid w:val="00074341"/>
    <w:rsid w:val="00085663"/>
    <w:rsid w:val="00085EBF"/>
    <w:rsid w:val="00091FEF"/>
    <w:rsid w:val="000964CE"/>
    <w:rsid w:val="000A12D6"/>
    <w:rsid w:val="000A6C7B"/>
    <w:rsid w:val="000B617F"/>
    <w:rsid w:val="000D122C"/>
    <w:rsid w:val="000E1819"/>
    <w:rsid w:val="000E6C72"/>
    <w:rsid w:val="000F05CF"/>
    <w:rsid w:val="000F2368"/>
    <w:rsid w:val="00107CC7"/>
    <w:rsid w:val="0011257F"/>
    <w:rsid w:val="00112EE0"/>
    <w:rsid w:val="00116AAC"/>
    <w:rsid w:val="00116EB2"/>
    <w:rsid w:val="00121C7E"/>
    <w:rsid w:val="00124609"/>
    <w:rsid w:val="00130C3C"/>
    <w:rsid w:val="0014573B"/>
    <w:rsid w:val="001573E4"/>
    <w:rsid w:val="00160756"/>
    <w:rsid w:val="00165A94"/>
    <w:rsid w:val="00170114"/>
    <w:rsid w:val="0017232E"/>
    <w:rsid w:val="00174102"/>
    <w:rsid w:val="00180157"/>
    <w:rsid w:val="00181223"/>
    <w:rsid w:val="00182906"/>
    <w:rsid w:val="00185CB9"/>
    <w:rsid w:val="00186F77"/>
    <w:rsid w:val="001926A4"/>
    <w:rsid w:val="00192AD5"/>
    <w:rsid w:val="00192C7D"/>
    <w:rsid w:val="00193B45"/>
    <w:rsid w:val="001A30D2"/>
    <w:rsid w:val="001A3A19"/>
    <w:rsid w:val="001A44DC"/>
    <w:rsid w:val="001A7AE2"/>
    <w:rsid w:val="001B246B"/>
    <w:rsid w:val="001B2725"/>
    <w:rsid w:val="001B45A0"/>
    <w:rsid w:val="001B4E11"/>
    <w:rsid w:val="001C18EE"/>
    <w:rsid w:val="001C2237"/>
    <w:rsid w:val="001C2893"/>
    <w:rsid w:val="001D055E"/>
    <w:rsid w:val="001D15FE"/>
    <w:rsid w:val="001E4FBA"/>
    <w:rsid w:val="001E7161"/>
    <w:rsid w:val="001F492E"/>
    <w:rsid w:val="001F5EDF"/>
    <w:rsid w:val="001F6DA3"/>
    <w:rsid w:val="00200C4E"/>
    <w:rsid w:val="002010BC"/>
    <w:rsid w:val="00202E03"/>
    <w:rsid w:val="00202EB7"/>
    <w:rsid w:val="0020492C"/>
    <w:rsid w:val="00207FDC"/>
    <w:rsid w:val="00212737"/>
    <w:rsid w:val="00224DB9"/>
    <w:rsid w:val="00233775"/>
    <w:rsid w:val="00251745"/>
    <w:rsid w:val="00253E06"/>
    <w:rsid w:val="00260933"/>
    <w:rsid w:val="00261C69"/>
    <w:rsid w:val="00263AC0"/>
    <w:rsid w:val="0026772D"/>
    <w:rsid w:val="00272576"/>
    <w:rsid w:val="00277DA4"/>
    <w:rsid w:val="00280DFE"/>
    <w:rsid w:val="00286874"/>
    <w:rsid w:val="00296B65"/>
    <w:rsid w:val="002A6DA8"/>
    <w:rsid w:val="002A7DEF"/>
    <w:rsid w:val="002B0DE2"/>
    <w:rsid w:val="002B1AF3"/>
    <w:rsid w:val="002B4666"/>
    <w:rsid w:val="002C5B4D"/>
    <w:rsid w:val="002C6D52"/>
    <w:rsid w:val="002D0387"/>
    <w:rsid w:val="002E1BE5"/>
    <w:rsid w:val="002E2BFC"/>
    <w:rsid w:val="002E3B4C"/>
    <w:rsid w:val="002F071A"/>
    <w:rsid w:val="002F7986"/>
    <w:rsid w:val="00301A90"/>
    <w:rsid w:val="00301B40"/>
    <w:rsid w:val="00303B24"/>
    <w:rsid w:val="00303C4A"/>
    <w:rsid w:val="00305CC8"/>
    <w:rsid w:val="00307F6D"/>
    <w:rsid w:val="003177A2"/>
    <w:rsid w:val="00321237"/>
    <w:rsid w:val="003271B5"/>
    <w:rsid w:val="00327A1E"/>
    <w:rsid w:val="003301BA"/>
    <w:rsid w:val="00330CA0"/>
    <w:rsid w:val="00331264"/>
    <w:rsid w:val="003323FC"/>
    <w:rsid w:val="00334C8D"/>
    <w:rsid w:val="00340655"/>
    <w:rsid w:val="00344554"/>
    <w:rsid w:val="003459E6"/>
    <w:rsid w:val="003518B3"/>
    <w:rsid w:val="00353C60"/>
    <w:rsid w:val="0036233B"/>
    <w:rsid w:val="00363F79"/>
    <w:rsid w:val="00364B02"/>
    <w:rsid w:val="003652EA"/>
    <w:rsid w:val="00371641"/>
    <w:rsid w:val="003716E1"/>
    <w:rsid w:val="003775EF"/>
    <w:rsid w:val="003846F1"/>
    <w:rsid w:val="00390B69"/>
    <w:rsid w:val="0039570D"/>
    <w:rsid w:val="003A673F"/>
    <w:rsid w:val="003B2C6D"/>
    <w:rsid w:val="003B5A70"/>
    <w:rsid w:val="003B64B1"/>
    <w:rsid w:val="003C4981"/>
    <w:rsid w:val="003F471F"/>
    <w:rsid w:val="00405E39"/>
    <w:rsid w:val="00420F41"/>
    <w:rsid w:val="00421429"/>
    <w:rsid w:val="00444741"/>
    <w:rsid w:val="0044609D"/>
    <w:rsid w:val="00461653"/>
    <w:rsid w:val="004621B0"/>
    <w:rsid w:val="00475DDE"/>
    <w:rsid w:val="00480B4B"/>
    <w:rsid w:val="0048516F"/>
    <w:rsid w:val="00485DC4"/>
    <w:rsid w:val="00497E69"/>
    <w:rsid w:val="004A43D1"/>
    <w:rsid w:val="004A6E42"/>
    <w:rsid w:val="004A767C"/>
    <w:rsid w:val="004B085B"/>
    <w:rsid w:val="004B4412"/>
    <w:rsid w:val="004C0278"/>
    <w:rsid w:val="004C348C"/>
    <w:rsid w:val="004C34D3"/>
    <w:rsid w:val="004C7BED"/>
    <w:rsid w:val="004D0104"/>
    <w:rsid w:val="004D1733"/>
    <w:rsid w:val="004D55BA"/>
    <w:rsid w:val="004E22EC"/>
    <w:rsid w:val="005016B3"/>
    <w:rsid w:val="005038DB"/>
    <w:rsid w:val="00507356"/>
    <w:rsid w:val="0052379B"/>
    <w:rsid w:val="0052688C"/>
    <w:rsid w:val="00527358"/>
    <w:rsid w:val="00530128"/>
    <w:rsid w:val="00532467"/>
    <w:rsid w:val="00533F71"/>
    <w:rsid w:val="0053769A"/>
    <w:rsid w:val="00547BA2"/>
    <w:rsid w:val="00547CCF"/>
    <w:rsid w:val="0055674D"/>
    <w:rsid w:val="0056080A"/>
    <w:rsid w:val="00561EBC"/>
    <w:rsid w:val="00562632"/>
    <w:rsid w:val="00564A4D"/>
    <w:rsid w:val="00567BA5"/>
    <w:rsid w:val="00571B35"/>
    <w:rsid w:val="00571C9F"/>
    <w:rsid w:val="00571D57"/>
    <w:rsid w:val="00577A09"/>
    <w:rsid w:val="00580B78"/>
    <w:rsid w:val="005829C2"/>
    <w:rsid w:val="00584D8F"/>
    <w:rsid w:val="00587D75"/>
    <w:rsid w:val="00596D42"/>
    <w:rsid w:val="005A1C53"/>
    <w:rsid w:val="005A3F1B"/>
    <w:rsid w:val="005A404D"/>
    <w:rsid w:val="005A7D70"/>
    <w:rsid w:val="005B1E3C"/>
    <w:rsid w:val="005B6C0E"/>
    <w:rsid w:val="005C24AC"/>
    <w:rsid w:val="005C26CC"/>
    <w:rsid w:val="005C4261"/>
    <w:rsid w:val="005C5E0F"/>
    <w:rsid w:val="005D1DE6"/>
    <w:rsid w:val="005D2F23"/>
    <w:rsid w:val="005E6C0E"/>
    <w:rsid w:val="00600DC7"/>
    <w:rsid w:val="00615C6B"/>
    <w:rsid w:val="00632D6D"/>
    <w:rsid w:val="00637FE9"/>
    <w:rsid w:val="00641876"/>
    <w:rsid w:val="00642C3E"/>
    <w:rsid w:val="00643146"/>
    <w:rsid w:val="00646025"/>
    <w:rsid w:val="00663DAD"/>
    <w:rsid w:val="006668AA"/>
    <w:rsid w:val="00670957"/>
    <w:rsid w:val="006764F7"/>
    <w:rsid w:val="00676679"/>
    <w:rsid w:val="00680D2F"/>
    <w:rsid w:val="00681F26"/>
    <w:rsid w:val="00685983"/>
    <w:rsid w:val="00687EDC"/>
    <w:rsid w:val="00691616"/>
    <w:rsid w:val="006946D5"/>
    <w:rsid w:val="006A1A83"/>
    <w:rsid w:val="006B0845"/>
    <w:rsid w:val="006B4CF9"/>
    <w:rsid w:val="006B7AC8"/>
    <w:rsid w:val="006C1FEB"/>
    <w:rsid w:val="006C351B"/>
    <w:rsid w:val="006C518B"/>
    <w:rsid w:val="006D00D9"/>
    <w:rsid w:val="006D550F"/>
    <w:rsid w:val="006D5B14"/>
    <w:rsid w:val="006D77F3"/>
    <w:rsid w:val="006E578F"/>
    <w:rsid w:val="006F275C"/>
    <w:rsid w:val="006F3F22"/>
    <w:rsid w:val="00701CAB"/>
    <w:rsid w:val="00706C65"/>
    <w:rsid w:val="00707563"/>
    <w:rsid w:val="00717F78"/>
    <w:rsid w:val="0072348C"/>
    <w:rsid w:val="00724A37"/>
    <w:rsid w:val="007303C3"/>
    <w:rsid w:val="00741ACA"/>
    <w:rsid w:val="00742D49"/>
    <w:rsid w:val="00743223"/>
    <w:rsid w:val="00744D02"/>
    <w:rsid w:val="007462DD"/>
    <w:rsid w:val="00746E01"/>
    <w:rsid w:val="00757BDF"/>
    <w:rsid w:val="00763E5D"/>
    <w:rsid w:val="00767740"/>
    <w:rsid w:val="00775671"/>
    <w:rsid w:val="00777EE6"/>
    <w:rsid w:val="00782377"/>
    <w:rsid w:val="00782C38"/>
    <w:rsid w:val="00782EEA"/>
    <w:rsid w:val="007A4D1F"/>
    <w:rsid w:val="007B2C72"/>
    <w:rsid w:val="007C1C53"/>
    <w:rsid w:val="007C677E"/>
    <w:rsid w:val="007C74BB"/>
    <w:rsid w:val="007D5A2D"/>
    <w:rsid w:val="007E26A9"/>
    <w:rsid w:val="007E4904"/>
    <w:rsid w:val="007E4CB5"/>
    <w:rsid w:val="007E5A1B"/>
    <w:rsid w:val="007F066B"/>
    <w:rsid w:val="008033C4"/>
    <w:rsid w:val="00806C88"/>
    <w:rsid w:val="0081034E"/>
    <w:rsid w:val="008344F6"/>
    <w:rsid w:val="0083510F"/>
    <w:rsid w:val="00837DEC"/>
    <w:rsid w:val="00843704"/>
    <w:rsid w:val="00851209"/>
    <w:rsid w:val="008573CD"/>
    <w:rsid w:val="0087126E"/>
    <w:rsid w:val="00872B78"/>
    <w:rsid w:val="00873EFB"/>
    <w:rsid w:val="0087488D"/>
    <w:rsid w:val="00875912"/>
    <w:rsid w:val="0088007E"/>
    <w:rsid w:val="008837AC"/>
    <w:rsid w:val="008945B4"/>
    <w:rsid w:val="00894B8F"/>
    <w:rsid w:val="0089611C"/>
    <w:rsid w:val="008A1E7A"/>
    <w:rsid w:val="008A2162"/>
    <w:rsid w:val="008A3E3C"/>
    <w:rsid w:val="008A587D"/>
    <w:rsid w:val="008A5C11"/>
    <w:rsid w:val="008A5DB6"/>
    <w:rsid w:val="008B5830"/>
    <w:rsid w:val="008C5486"/>
    <w:rsid w:val="008D1661"/>
    <w:rsid w:val="008E7031"/>
    <w:rsid w:val="008E714E"/>
    <w:rsid w:val="008F2354"/>
    <w:rsid w:val="008F7448"/>
    <w:rsid w:val="009165FE"/>
    <w:rsid w:val="00922C95"/>
    <w:rsid w:val="009233EE"/>
    <w:rsid w:val="0093685A"/>
    <w:rsid w:val="00937A90"/>
    <w:rsid w:val="00940C9F"/>
    <w:rsid w:val="009414A5"/>
    <w:rsid w:val="009419E2"/>
    <w:rsid w:val="00941D5B"/>
    <w:rsid w:val="00944DA5"/>
    <w:rsid w:val="009460AA"/>
    <w:rsid w:val="00951978"/>
    <w:rsid w:val="00961D5D"/>
    <w:rsid w:val="009661DE"/>
    <w:rsid w:val="00974A6C"/>
    <w:rsid w:val="00977230"/>
    <w:rsid w:val="009856B7"/>
    <w:rsid w:val="0098602B"/>
    <w:rsid w:val="00991B3B"/>
    <w:rsid w:val="009962BA"/>
    <w:rsid w:val="009A5FC3"/>
    <w:rsid w:val="009B34B6"/>
    <w:rsid w:val="009B74B0"/>
    <w:rsid w:val="009C0701"/>
    <w:rsid w:val="009C7AC9"/>
    <w:rsid w:val="009D4414"/>
    <w:rsid w:val="009D4A3F"/>
    <w:rsid w:val="009D5674"/>
    <w:rsid w:val="009D6B46"/>
    <w:rsid w:val="009D7DEE"/>
    <w:rsid w:val="009E4229"/>
    <w:rsid w:val="009F049A"/>
    <w:rsid w:val="009F3A28"/>
    <w:rsid w:val="009F4940"/>
    <w:rsid w:val="009F5BA1"/>
    <w:rsid w:val="00A0248C"/>
    <w:rsid w:val="00A02A88"/>
    <w:rsid w:val="00A0562E"/>
    <w:rsid w:val="00A0726D"/>
    <w:rsid w:val="00A14F9B"/>
    <w:rsid w:val="00A15430"/>
    <w:rsid w:val="00A1665B"/>
    <w:rsid w:val="00A16F22"/>
    <w:rsid w:val="00A22495"/>
    <w:rsid w:val="00A3158F"/>
    <w:rsid w:val="00A323D9"/>
    <w:rsid w:val="00A32FBB"/>
    <w:rsid w:val="00A3674D"/>
    <w:rsid w:val="00A40C31"/>
    <w:rsid w:val="00A4478A"/>
    <w:rsid w:val="00A44852"/>
    <w:rsid w:val="00A57D04"/>
    <w:rsid w:val="00A60023"/>
    <w:rsid w:val="00A60A26"/>
    <w:rsid w:val="00A61598"/>
    <w:rsid w:val="00A75077"/>
    <w:rsid w:val="00A84F46"/>
    <w:rsid w:val="00A871F4"/>
    <w:rsid w:val="00AC1B2C"/>
    <w:rsid w:val="00AC3264"/>
    <w:rsid w:val="00AC3E35"/>
    <w:rsid w:val="00AC6F01"/>
    <w:rsid w:val="00AD19E8"/>
    <w:rsid w:val="00AE08A5"/>
    <w:rsid w:val="00AE0FE2"/>
    <w:rsid w:val="00AE1BF1"/>
    <w:rsid w:val="00AF0857"/>
    <w:rsid w:val="00AF0DD2"/>
    <w:rsid w:val="00AF1ED6"/>
    <w:rsid w:val="00B10314"/>
    <w:rsid w:val="00B13048"/>
    <w:rsid w:val="00B15998"/>
    <w:rsid w:val="00B1716D"/>
    <w:rsid w:val="00B17A1D"/>
    <w:rsid w:val="00B207A0"/>
    <w:rsid w:val="00B37E38"/>
    <w:rsid w:val="00B514DD"/>
    <w:rsid w:val="00B52AF0"/>
    <w:rsid w:val="00B56E03"/>
    <w:rsid w:val="00B60F5D"/>
    <w:rsid w:val="00B62438"/>
    <w:rsid w:val="00B64FB0"/>
    <w:rsid w:val="00B67E91"/>
    <w:rsid w:val="00B7462B"/>
    <w:rsid w:val="00B8080B"/>
    <w:rsid w:val="00B83DCA"/>
    <w:rsid w:val="00B85D2C"/>
    <w:rsid w:val="00B87C39"/>
    <w:rsid w:val="00B927D8"/>
    <w:rsid w:val="00BA13D2"/>
    <w:rsid w:val="00BA3C98"/>
    <w:rsid w:val="00BA4665"/>
    <w:rsid w:val="00BA51A2"/>
    <w:rsid w:val="00BA665D"/>
    <w:rsid w:val="00BA6678"/>
    <w:rsid w:val="00BB2FB2"/>
    <w:rsid w:val="00BB3304"/>
    <w:rsid w:val="00BC720E"/>
    <w:rsid w:val="00BD2427"/>
    <w:rsid w:val="00BD3446"/>
    <w:rsid w:val="00BE0328"/>
    <w:rsid w:val="00BE1F1B"/>
    <w:rsid w:val="00BE47B5"/>
    <w:rsid w:val="00BE4C99"/>
    <w:rsid w:val="00BF2FBF"/>
    <w:rsid w:val="00BF5A35"/>
    <w:rsid w:val="00C058AB"/>
    <w:rsid w:val="00C06739"/>
    <w:rsid w:val="00C1269A"/>
    <w:rsid w:val="00C25FA6"/>
    <w:rsid w:val="00C31EB6"/>
    <w:rsid w:val="00C4603F"/>
    <w:rsid w:val="00C538A9"/>
    <w:rsid w:val="00C53B5A"/>
    <w:rsid w:val="00C54F5A"/>
    <w:rsid w:val="00C569B4"/>
    <w:rsid w:val="00C67A92"/>
    <w:rsid w:val="00C755AD"/>
    <w:rsid w:val="00C77E22"/>
    <w:rsid w:val="00C86679"/>
    <w:rsid w:val="00C917E9"/>
    <w:rsid w:val="00C93FB3"/>
    <w:rsid w:val="00CA489E"/>
    <w:rsid w:val="00CA7D63"/>
    <w:rsid w:val="00CB666B"/>
    <w:rsid w:val="00CB69FA"/>
    <w:rsid w:val="00CC213C"/>
    <w:rsid w:val="00CC7F1D"/>
    <w:rsid w:val="00CD6F95"/>
    <w:rsid w:val="00CF253E"/>
    <w:rsid w:val="00CF799E"/>
    <w:rsid w:val="00D01CF0"/>
    <w:rsid w:val="00D031B3"/>
    <w:rsid w:val="00D03AEB"/>
    <w:rsid w:val="00D0442A"/>
    <w:rsid w:val="00D07C8C"/>
    <w:rsid w:val="00D10410"/>
    <w:rsid w:val="00D203E1"/>
    <w:rsid w:val="00D3092D"/>
    <w:rsid w:val="00D353F0"/>
    <w:rsid w:val="00D42261"/>
    <w:rsid w:val="00D521D5"/>
    <w:rsid w:val="00D544B8"/>
    <w:rsid w:val="00D61388"/>
    <w:rsid w:val="00D61A54"/>
    <w:rsid w:val="00D64DEA"/>
    <w:rsid w:val="00D7168E"/>
    <w:rsid w:val="00D71E57"/>
    <w:rsid w:val="00D80893"/>
    <w:rsid w:val="00D80A46"/>
    <w:rsid w:val="00D81EF4"/>
    <w:rsid w:val="00D85378"/>
    <w:rsid w:val="00D929F9"/>
    <w:rsid w:val="00D92CF1"/>
    <w:rsid w:val="00D92D38"/>
    <w:rsid w:val="00D950F5"/>
    <w:rsid w:val="00DA18F9"/>
    <w:rsid w:val="00DB0F93"/>
    <w:rsid w:val="00DB1A67"/>
    <w:rsid w:val="00DB1C30"/>
    <w:rsid w:val="00DB5074"/>
    <w:rsid w:val="00DB626D"/>
    <w:rsid w:val="00DB723B"/>
    <w:rsid w:val="00DC542F"/>
    <w:rsid w:val="00DC7981"/>
    <w:rsid w:val="00DD0C40"/>
    <w:rsid w:val="00DD21BD"/>
    <w:rsid w:val="00DE4EFA"/>
    <w:rsid w:val="00DE51A0"/>
    <w:rsid w:val="00DE5203"/>
    <w:rsid w:val="00DE5520"/>
    <w:rsid w:val="00DF5E8F"/>
    <w:rsid w:val="00DF6463"/>
    <w:rsid w:val="00E01704"/>
    <w:rsid w:val="00E04818"/>
    <w:rsid w:val="00E06442"/>
    <w:rsid w:val="00E07BB1"/>
    <w:rsid w:val="00E137FB"/>
    <w:rsid w:val="00E16751"/>
    <w:rsid w:val="00E17577"/>
    <w:rsid w:val="00E17CE9"/>
    <w:rsid w:val="00E22820"/>
    <w:rsid w:val="00E23993"/>
    <w:rsid w:val="00E25B8C"/>
    <w:rsid w:val="00E27642"/>
    <w:rsid w:val="00E36EE0"/>
    <w:rsid w:val="00E4674F"/>
    <w:rsid w:val="00E50E6E"/>
    <w:rsid w:val="00E62439"/>
    <w:rsid w:val="00E65C85"/>
    <w:rsid w:val="00E66199"/>
    <w:rsid w:val="00E70617"/>
    <w:rsid w:val="00E755EC"/>
    <w:rsid w:val="00E7624D"/>
    <w:rsid w:val="00E92319"/>
    <w:rsid w:val="00EA0648"/>
    <w:rsid w:val="00EA3D42"/>
    <w:rsid w:val="00EA6B1B"/>
    <w:rsid w:val="00EB3626"/>
    <w:rsid w:val="00EB411F"/>
    <w:rsid w:val="00EB505D"/>
    <w:rsid w:val="00EE28F3"/>
    <w:rsid w:val="00EE5B4D"/>
    <w:rsid w:val="00EE6C6B"/>
    <w:rsid w:val="00EE71B4"/>
    <w:rsid w:val="00EF5110"/>
    <w:rsid w:val="00F15217"/>
    <w:rsid w:val="00F15882"/>
    <w:rsid w:val="00F15C02"/>
    <w:rsid w:val="00F171E0"/>
    <w:rsid w:val="00F17C79"/>
    <w:rsid w:val="00F20BD3"/>
    <w:rsid w:val="00F279B8"/>
    <w:rsid w:val="00F373A5"/>
    <w:rsid w:val="00F47559"/>
    <w:rsid w:val="00F50BF2"/>
    <w:rsid w:val="00F52F8A"/>
    <w:rsid w:val="00F60BE4"/>
    <w:rsid w:val="00F61B84"/>
    <w:rsid w:val="00F62DC3"/>
    <w:rsid w:val="00F64C7B"/>
    <w:rsid w:val="00F668FB"/>
    <w:rsid w:val="00F676DD"/>
    <w:rsid w:val="00F71778"/>
    <w:rsid w:val="00F75A26"/>
    <w:rsid w:val="00F82E17"/>
    <w:rsid w:val="00F835C9"/>
    <w:rsid w:val="00F83FAD"/>
    <w:rsid w:val="00F91DC6"/>
    <w:rsid w:val="00F952A0"/>
    <w:rsid w:val="00F956F7"/>
    <w:rsid w:val="00FA042E"/>
    <w:rsid w:val="00FA18DF"/>
    <w:rsid w:val="00FA2874"/>
    <w:rsid w:val="00FA2C75"/>
    <w:rsid w:val="00FA3C7F"/>
    <w:rsid w:val="00FA4E09"/>
    <w:rsid w:val="00FB52D7"/>
    <w:rsid w:val="00FB74E2"/>
    <w:rsid w:val="00FC5CC7"/>
    <w:rsid w:val="00FD1763"/>
    <w:rsid w:val="00FD5614"/>
    <w:rsid w:val="00FE0BE1"/>
    <w:rsid w:val="00FE1DE9"/>
    <w:rsid w:val="00FE39C2"/>
    <w:rsid w:val="00FE3C32"/>
    <w:rsid w:val="00FE64AE"/>
    <w:rsid w:val="00FE6534"/>
    <w:rsid w:val="00FE6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B9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7448"/>
    <w:pPr>
      <w:spacing w:line="276" w:lineRule="auto"/>
    </w:pPr>
    <w:rPr>
      <w:rFonts w:ascii="Arial" w:hAnsi="Arial"/>
    </w:rPr>
  </w:style>
  <w:style w:type="paragraph" w:styleId="Heading1">
    <w:name w:val="heading 1"/>
    <w:basedOn w:val="Normal"/>
    <w:next w:val="Normal"/>
    <w:link w:val="Heading1Char"/>
    <w:qFormat/>
    <w:rsid w:val="004C0278"/>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4C0278"/>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4C0278"/>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4C0278"/>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4C0278"/>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4C0278"/>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4C0278"/>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4C0278"/>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4C0278"/>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4C0278"/>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4C0278"/>
    <w:pPr>
      <w:tabs>
        <w:tab w:val="right" w:leader="dot" w:pos="9016"/>
      </w:tabs>
      <w:spacing w:after="100"/>
      <w:ind w:left="2977"/>
    </w:pPr>
    <w:rPr>
      <w:noProof/>
    </w:rPr>
  </w:style>
  <w:style w:type="paragraph" w:styleId="TOC9">
    <w:name w:val="toc 9"/>
    <w:basedOn w:val="Normal"/>
    <w:next w:val="Normal"/>
    <w:uiPriority w:val="39"/>
    <w:rsid w:val="004C0278"/>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4C0278"/>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4C0278"/>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4C0278"/>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4C0278"/>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4C0278"/>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4C0278"/>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4C0278"/>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4C0278"/>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4C0278"/>
    <w:pPr>
      <w:numPr>
        <w:numId w:val="2"/>
      </w:numPr>
    </w:pPr>
    <w:rPr>
      <w:rFonts w:cs="Times New Roman"/>
    </w:rPr>
  </w:style>
  <w:style w:type="paragraph" w:styleId="ListBullet">
    <w:name w:val="List Bullet"/>
    <w:basedOn w:val="Normal"/>
    <w:uiPriority w:val="99"/>
    <w:rsid w:val="004C0278"/>
    <w:pPr>
      <w:numPr>
        <w:numId w:val="10"/>
      </w:numPr>
      <w:tabs>
        <w:tab w:val="left" w:pos="340"/>
      </w:tabs>
      <w:spacing w:before="120"/>
    </w:pPr>
  </w:style>
  <w:style w:type="paragraph" w:customStyle="1" w:styleId="Bulletpoint2">
    <w:name w:val="Bullet point 2"/>
    <w:basedOn w:val="ListBullet2"/>
    <w:uiPriority w:val="1"/>
    <w:qFormat/>
    <w:rsid w:val="004C0278"/>
    <w:pPr>
      <w:numPr>
        <w:numId w:val="0"/>
      </w:numPr>
      <w:tabs>
        <w:tab w:val="left" w:pos="680"/>
      </w:tabs>
    </w:pPr>
  </w:style>
  <w:style w:type="paragraph" w:styleId="ListNumber">
    <w:name w:val="List Number"/>
    <w:basedOn w:val="Normal"/>
    <w:uiPriority w:val="99"/>
    <w:qFormat/>
    <w:rsid w:val="004C0278"/>
    <w:pPr>
      <w:numPr>
        <w:numId w:val="23"/>
      </w:numPr>
      <w:spacing w:before="120"/>
    </w:pPr>
    <w:rPr>
      <w:color w:val="000000" w:themeColor="text1" w:themeShade="BF"/>
    </w:rPr>
  </w:style>
  <w:style w:type="paragraph" w:styleId="ListBullet2">
    <w:name w:val="List Bullet 2"/>
    <w:basedOn w:val="Normal"/>
    <w:uiPriority w:val="99"/>
    <w:rsid w:val="004C0278"/>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4C0278"/>
    <w:pPr>
      <w:spacing w:before="480" w:after="120"/>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4C0278"/>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4C0278"/>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192C7D"/>
    <w:pPr>
      <w:tabs>
        <w:tab w:val="left" w:pos="426"/>
        <w:tab w:val="right" w:leader="dot" w:pos="9016"/>
      </w:tabs>
      <w:spacing w:before="120" w:after="100"/>
    </w:pPr>
    <w:rPr>
      <w:noProof/>
      <w:lang w:val="en-US" w:eastAsia="ja-JP"/>
    </w:rPr>
  </w:style>
  <w:style w:type="paragraph" w:styleId="TOC2">
    <w:name w:val="toc 2"/>
    <w:basedOn w:val="Normal"/>
    <w:next w:val="Normal"/>
    <w:uiPriority w:val="39"/>
    <w:qFormat/>
    <w:rsid w:val="004C0278"/>
    <w:pPr>
      <w:tabs>
        <w:tab w:val="left" w:pos="880"/>
        <w:tab w:val="right" w:leader="dot" w:pos="9016"/>
      </w:tabs>
      <w:spacing w:after="100"/>
      <w:ind w:left="425"/>
    </w:pPr>
    <w:rPr>
      <w:noProof/>
    </w:rPr>
  </w:style>
  <w:style w:type="paragraph" w:styleId="TOC3">
    <w:name w:val="toc 3"/>
    <w:basedOn w:val="Normal"/>
    <w:next w:val="Normal"/>
    <w:uiPriority w:val="39"/>
    <w:qFormat/>
    <w:rsid w:val="004C0278"/>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4C0278"/>
    <w:pPr>
      <w:ind w:left="720"/>
    </w:pPr>
  </w:style>
  <w:style w:type="paragraph" w:styleId="FootnoteText">
    <w:name w:val="footnote text"/>
    <w:aliases w:val="BG Footnote Text,TBG Style,Footnote Text1,Footnote Text2,ALTS FOOTNOTE2,Footnote Text11,(NECG) Footnote Text,(NECG) Footnote Text1,ALTS FOOTNOTE,Footnote text,AR Footnote Text,AR Footnote Text Char Char Char Char Char Char,f"/>
    <w:basedOn w:val="Normal"/>
    <w:link w:val="FootnoteTextChar"/>
    <w:uiPriority w:val="99"/>
    <w:qFormat/>
    <w:rsid w:val="004C0278"/>
    <w:pPr>
      <w:tabs>
        <w:tab w:val="left" w:pos="340"/>
      </w:tabs>
      <w:spacing w:before="60"/>
      <w:ind w:left="340" w:hanging="340"/>
    </w:pPr>
    <w:rPr>
      <w:sz w:val="16"/>
      <w:szCs w:val="20"/>
    </w:rPr>
  </w:style>
  <w:style w:type="character" w:customStyle="1" w:styleId="FootnoteTextChar">
    <w:name w:val="Footnote Text Char"/>
    <w:aliases w:val="BG Footnote Text Char,TBG Style Char,Footnote Text1 Char,Footnote Text2 Char,ALTS FOOTNOTE2 Char,Footnote Text11 Char,(NECG) Footnote Text Char,(NECG) Footnote Text1 Char,ALTS FOOTNOTE Char,Footnote text Char,AR Footnote Text Char"/>
    <w:basedOn w:val="DefaultParagraphFont"/>
    <w:link w:val="FootnoteText"/>
    <w:uiPriority w:val="99"/>
    <w:rsid w:val="003A673F"/>
    <w:rPr>
      <w:rFonts w:ascii="Arial" w:hAnsi="Arial"/>
      <w:sz w:val="16"/>
      <w:szCs w:val="20"/>
    </w:rPr>
  </w:style>
  <w:style w:type="character" w:styleId="FootnoteReference">
    <w:name w:val="footnote reference"/>
    <w:aliases w:val="(NECG) Footnote Reference,fr,o,Style 6 + 12 pt,(NECG) Footnote Reference1,(NECG) Footnote Reference2,(NECG) Footnote Reference3,(NECG) Footnote Reference4,(NECG) Footnote Reference5,(NECG) Footnote Reference6"/>
    <w:basedOn w:val="DefaultParagraphFont"/>
    <w:uiPriority w:val="99"/>
    <w:unhideWhenUsed/>
    <w:rsid w:val="004C0278"/>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4C0278"/>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4C0278"/>
    <w:pPr>
      <w:tabs>
        <w:tab w:val="right" w:leader="dot" w:pos="9016"/>
      </w:tabs>
      <w:spacing w:after="100"/>
      <w:ind w:left="1276"/>
    </w:pPr>
    <w:rPr>
      <w:noProof/>
    </w:rPr>
  </w:style>
  <w:style w:type="paragraph" w:styleId="TOC5">
    <w:name w:val="toc 5"/>
    <w:basedOn w:val="Normal"/>
    <w:next w:val="Normal"/>
    <w:uiPriority w:val="39"/>
    <w:rsid w:val="004C0278"/>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4C0278"/>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4C0278"/>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4C0278"/>
    <w:pPr>
      <w:spacing w:before="240" w:after="120"/>
    </w:pPr>
    <w:rPr>
      <w:b/>
      <w:bCs/>
      <w:sz w:val="24"/>
      <w:szCs w:val="18"/>
    </w:rPr>
  </w:style>
  <w:style w:type="paragraph" w:styleId="List">
    <w:name w:val="List"/>
    <w:basedOn w:val="Normal"/>
    <w:uiPriority w:val="99"/>
    <w:qFormat/>
    <w:rsid w:val="004C0278"/>
    <w:pPr>
      <w:tabs>
        <w:tab w:val="left" w:pos="340"/>
      </w:tabs>
      <w:spacing w:before="120"/>
      <w:ind w:left="340" w:hanging="340"/>
    </w:pPr>
  </w:style>
  <w:style w:type="paragraph" w:styleId="List2">
    <w:name w:val="List 2"/>
    <w:basedOn w:val="Normal"/>
    <w:uiPriority w:val="99"/>
    <w:rsid w:val="004C0278"/>
    <w:pPr>
      <w:tabs>
        <w:tab w:val="left" w:pos="680"/>
      </w:tabs>
      <w:spacing w:before="120"/>
      <w:ind w:left="680" w:hanging="340"/>
    </w:pPr>
  </w:style>
  <w:style w:type="paragraph" w:styleId="List3">
    <w:name w:val="List 3"/>
    <w:basedOn w:val="Normal"/>
    <w:uiPriority w:val="99"/>
    <w:rsid w:val="004C0278"/>
    <w:pPr>
      <w:tabs>
        <w:tab w:val="left" w:pos="1021"/>
      </w:tabs>
      <w:spacing w:before="120"/>
      <w:ind w:left="1020" w:hanging="340"/>
    </w:pPr>
  </w:style>
  <w:style w:type="paragraph" w:styleId="List4">
    <w:name w:val="List 4"/>
    <w:basedOn w:val="Normal"/>
    <w:uiPriority w:val="99"/>
    <w:rsid w:val="004C0278"/>
    <w:pPr>
      <w:tabs>
        <w:tab w:val="left" w:pos="1361"/>
      </w:tabs>
      <w:spacing w:before="120"/>
      <w:ind w:left="1361" w:hanging="340"/>
    </w:pPr>
  </w:style>
  <w:style w:type="paragraph" w:styleId="List5">
    <w:name w:val="List 5"/>
    <w:basedOn w:val="Normal"/>
    <w:uiPriority w:val="99"/>
    <w:rsid w:val="004C0278"/>
    <w:pPr>
      <w:tabs>
        <w:tab w:val="left" w:pos="1701"/>
      </w:tabs>
      <w:spacing w:before="120"/>
      <w:ind w:left="1701" w:hanging="340"/>
    </w:pPr>
  </w:style>
  <w:style w:type="paragraph" w:styleId="ListBullet3">
    <w:name w:val="List Bullet 3"/>
    <w:basedOn w:val="Normal"/>
    <w:uiPriority w:val="99"/>
    <w:rsid w:val="004C0278"/>
    <w:pPr>
      <w:numPr>
        <w:numId w:val="4"/>
      </w:numPr>
      <w:tabs>
        <w:tab w:val="clear" w:pos="926"/>
        <w:tab w:val="num" w:pos="1021"/>
      </w:tabs>
      <w:spacing w:before="120"/>
      <w:ind w:left="1020" w:hanging="340"/>
    </w:pPr>
  </w:style>
  <w:style w:type="paragraph" w:styleId="ListBullet4">
    <w:name w:val="List Bullet 4"/>
    <w:basedOn w:val="Normal"/>
    <w:uiPriority w:val="99"/>
    <w:rsid w:val="004C0278"/>
    <w:pPr>
      <w:numPr>
        <w:numId w:val="5"/>
      </w:numPr>
      <w:tabs>
        <w:tab w:val="clear" w:pos="1209"/>
        <w:tab w:val="num" w:pos="1361"/>
      </w:tabs>
      <w:spacing w:before="120"/>
      <w:ind w:left="1361" w:hanging="340"/>
    </w:pPr>
  </w:style>
  <w:style w:type="paragraph" w:styleId="ListBullet5">
    <w:name w:val="List Bullet 5"/>
    <w:basedOn w:val="Normal"/>
    <w:uiPriority w:val="99"/>
    <w:rsid w:val="004C0278"/>
    <w:pPr>
      <w:numPr>
        <w:numId w:val="6"/>
      </w:numPr>
      <w:tabs>
        <w:tab w:val="clear" w:pos="1492"/>
        <w:tab w:val="num" w:pos="1701"/>
      </w:tabs>
      <w:spacing w:before="120"/>
      <w:ind w:left="1701" w:hanging="340"/>
    </w:pPr>
  </w:style>
  <w:style w:type="paragraph" w:styleId="ListContinue">
    <w:name w:val="List Continue"/>
    <w:basedOn w:val="Normal"/>
    <w:uiPriority w:val="99"/>
    <w:qFormat/>
    <w:rsid w:val="004C0278"/>
    <w:pPr>
      <w:tabs>
        <w:tab w:val="left" w:pos="340"/>
      </w:tabs>
      <w:spacing w:before="120"/>
      <w:ind w:left="340"/>
    </w:pPr>
  </w:style>
  <w:style w:type="paragraph" w:styleId="ListContinue2">
    <w:name w:val="List Continue 2"/>
    <w:basedOn w:val="Normal"/>
    <w:uiPriority w:val="99"/>
    <w:rsid w:val="004C0278"/>
    <w:pPr>
      <w:tabs>
        <w:tab w:val="left" w:pos="680"/>
      </w:tabs>
      <w:spacing w:before="120"/>
      <w:ind w:left="680"/>
    </w:pPr>
  </w:style>
  <w:style w:type="paragraph" w:styleId="ListContinue3">
    <w:name w:val="List Continue 3"/>
    <w:basedOn w:val="Normal"/>
    <w:uiPriority w:val="99"/>
    <w:rsid w:val="004C0278"/>
    <w:pPr>
      <w:tabs>
        <w:tab w:val="left" w:pos="1021"/>
      </w:tabs>
      <w:spacing w:before="120"/>
      <w:ind w:left="1021"/>
    </w:pPr>
  </w:style>
  <w:style w:type="paragraph" w:styleId="ListContinue4">
    <w:name w:val="List Continue 4"/>
    <w:basedOn w:val="Normal"/>
    <w:uiPriority w:val="99"/>
    <w:rsid w:val="004C0278"/>
    <w:pPr>
      <w:tabs>
        <w:tab w:val="left" w:pos="1361"/>
      </w:tabs>
      <w:spacing w:before="120"/>
      <w:ind w:left="1361"/>
    </w:pPr>
  </w:style>
  <w:style w:type="paragraph" w:styleId="ListNumber3">
    <w:name w:val="List Number 3"/>
    <w:basedOn w:val="Normal"/>
    <w:uiPriority w:val="99"/>
    <w:rsid w:val="004C0278"/>
    <w:pPr>
      <w:numPr>
        <w:numId w:val="14"/>
      </w:numPr>
      <w:tabs>
        <w:tab w:val="left" w:pos="1021"/>
      </w:tabs>
      <w:spacing w:before="120"/>
    </w:pPr>
  </w:style>
  <w:style w:type="paragraph" w:styleId="ListNumber4">
    <w:name w:val="List Number 4"/>
    <w:basedOn w:val="Normal"/>
    <w:uiPriority w:val="99"/>
    <w:rsid w:val="004C0278"/>
    <w:pPr>
      <w:numPr>
        <w:numId w:val="7"/>
      </w:numPr>
      <w:tabs>
        <w:tab w:val="left" w:pos="1701"/>
      </w:tabs>
      <w:spacing w:before="120"/>
    </w:pPr>
  </w:style>
  <w:style w:type="paragraph" w:styleId="ListNumber5">
    <w:name w:val="List Number 5"/>
    <w:basedOn w:val="Normal"/>
    <w:uiPriority w:val="99"/>
    <w:rsid w:val="004C0278"/>
    <w:pPr>
      <w:numPr>
        <w:numId w:val="8"/>
      </w:numPr>
      <w:spacing w:before="120"/>
    </w:pPr>
  </w:style>
  <w:style w:type="paragraph" w:customStyle="1" w:styleId="TableHeading">
    <w:name w:val="Table Heading"/>
    <w:basedOn w:val="Tabletext"/>
    <w:link w:val="TableHeadingChar"/>
    <w:qFormat/>
    <w:rsid w:val="004C0278"/>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4C0278"/>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4C0278"/>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4C0278"/>
    <w:rPr>
      <w:rFonts w:ascii="Arial" w:hAnsi="Arial"/>
      <w:sz w:val="16"/>
      <w:vertAlign w:val="superscript"/>
    </w:rPr>
  </w:style>
  <w:style w:type="paragraph" w:customStyle="1" w:styleId="Numberedparagraph11">
    <w:name w:val="Numbered paragraph 1.1"/>
    <w:basedOn w:val="Numbered11"/>
    <w:qFormat/>
    <w:rsid w:val="004C0278"/>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4C0278"/>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4C0278"/>
    <w:pPr>
      <w:numPr>
        <w:numId w:val="13"/>
      </w:numPr>
      <w:tabs>
        <w:tab w:val="left" w:pos="680"/>
      </w:tabs>
      <w:spacing w:before="120"/>
    </w:pPr>
    <w:rPr>
      <w:rFonts w:ascii="Arial" w:hAnsi="Arial"/>
    </w:rPr>
  </w:style>
  <w:style w:type="paragraph" w:customStyle="1" w:styleId="Listalphabet3">
    <w:name w:val="List alphabet 3"/>
    <w:rsid w:val="004C0278"/>
    <w:pPr>
      <w:numPr>
        <w:numId w:val="19"/>
      </w:numPr>
      <w:tabs>
        <w:tab w:val="left" w:pos="1021"/>
      </w:tabs>
      <w:spacing w:before="120"/>
    </w:pPr>
    <w:rPr>
      <w:rFonts w:ascii="Arial" w:hAnsi="Arial"/>
    </w:rPr>
  </w:style>
  <w:style w:type="paragraph" w:customStyle="1" w:styleId="Listalphabet4">
    <w:name w:val="List alphabet 4"/>
    <w:rsid w:val="004C0278"/>
    <w:pPr>
      <w:numPr>
        <w:numId w:val="20"/>
      </w:numPr>
      <w:tabs>
        <w:tab w:val="left" w:pos="1361"/>
      </w:tabs>
      <w:spacing w:before="120"/>
    </w:pPr>
    <w:rPr>
      <w:rFonts w:ascii="Arial" w:hAnsi="Arial"/>
    </w:rPr>
  </w:style>
  <w:style w:type="paragraph" w:customStyle="1" w:styleId="Listalphabet5">
    <w:name w:val="List alphabet 5"/>
    <w:rsid w:val="004C0278"/>
    <w:pPr>
      <w:numPr>
        <w:numId w:val="21"/>
      </w:numPr>
      <w:tabs>
        <w:tab w:val="left" w:pos="1701"/>
      </w:tabs>
      <w:spacing w:before="120"/>
    </w:pPr>
    <w:rPr>
      <w:rFonts w:ascii="Arial" w:hAnsi="Arial"/>
    </w:rPr>
  </w:style>
  <w:style w:type="paragraph" w:styleId="ListContinue5">
    <w:name w:val="List Continue 5"/>
    <w:basedOn w:val="Normal"/>
    <w:uiPriority w:val="99"/>
    <w:rsid w:val="004C0278"/>
    <w:pPr>
      <w:tabs>
        <w:tab w:val="left" w:pos="1701"/>
      </w:tabs>
      <w:spacing w:before="120"/>
      <w:ind w:left="1701"/>
    </w:pPr>
  </w:style>
  <w:style w:type="paragraph" w:customStyle="1" w:styleId="Listalphabet">
    <w:name w:val="List alphabet"/>
    <w:qFormat/>
    <w:rsid w:val="004C0278"/>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4C0278"/>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4C0278"/>
    <w:pPr>
      <w:numPr>
        <w:numId w:val="16"/>
      </w:numPr>
      <w:tabs>
        <w:tab w:val="clear" w:pos="680"/>
        <w:tab w:val="left" w:pos="1021"/>
      </w:tabs>
    </w:pPr>
  </w:style>
  <w:style w:type="paragraph" w:customStyle="1" w:styleId="ListLegal3">
    <w:name w:val="List Legal 3"/>
    <w:basedOn w:val="ListNumber3"/>
    <w:rsid w:val="004C0278"/>
    <w:pPr>
      <w:numPr>
        <w:numId w:val="15"/>
      </w:numPr>
      <w:tabs>
        <w:tab w:val="clear" w:pos="1021"/>
        <w:tab w:val="left" w:pos="1361"/>
      </w:tabs>
    </w:pPr>
  </w:style>
  <w:style w:type="paragraph" w:customStyle="1" w:styleId="ListLegal4">
    <w:name w:val="List Legal 4"/>
    <w:basedOn w:val="ListLegal3"/>
    <w:rsid w:val="004C0278"/>
    <w:pPr>
      <w:numPr>
        <w:numId w:val="17"/>
      </w:numPr>
      <w:tabs>
        <w:tab w:val="clear" w:pos="1361"/>
        <w:tab w:val="left" w:pos="1701"/>
      </w:tabs>
    </w:pPr>
  </w:style>
  <w:style w:type="paragraph" w:customStyle="1" w:styleId="ListLegal5">
    <w:name w:val="List Legal 5"/>
    <w:basedOn w:val="ListLegal4"/>
    <w:rsid w:val="004C0278"/>
    <w:pPr>
      <w:numPr>
        <w:numId w:val="26"/>
      </w:numPr>
      <w:tabs>
        <w:tab w:val="clear" w:pos="1701"/>
        <w:tab w:val="left" w:pos="2041"/>
      </w:tabs>
    </w:pPr>
  </w:style>
  <w:style w:type="paragraph" w:customStyle="1" w:styleId="LegalNumbering">
    <w:name w:val="Legal Numbering"/>
    <w:basedOn w:val="Normal"/>
    <w:qFormat/>
    <w:rsid w:val="004C0278"/>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8F7448"/>
    <w:pPr>
      <w:pageBreakBefore/>
      <w:tabs>
        <w:tab w:val="left" w:pos="680"/>
      </w:tabs>
    </w:pPr>
    <w:rPr>
      <w:rFonts w:ascii="Arial" w:hAnsi="Arial"/>
      <w:b/>
      <w:color w:val="70635A"/>
    </w:rPr>
  </w:style>
  <w:style w:type="paragraph" w:customStyle="1" w:styleId="Heading2notnumbered">
    <w:name w:val="Heading 2 not numbered"/>
    <w:basedOn w:val="Heading2"/>
    <w:rsid w:val="008F7448"/>
    <w:pPr>
      <w:tabs>
        <w:tab w:val="left" w:pos="680"/>
      </w:tabs>
    </w:pPr>
    <w:rPr>
      <w:rFonts w:eastAsia="Times New Roman" w:cs="Times New Roman"/>
      <w:b/>
      <w:color w:val="003591" w:themeColor="text2"/>
      <w:sz w:val="32"/>
      <w:szCs w:val="20"/>
    </w:rPr>
  </w:style>
  <w:style w:type="paragraph" w:customStyle="1" w:styleId="Heading3notnumbered">
    <w:name w:val="Heading 3 not numbered"/>
    <w:basedOn w:val="Heading3"/>
    <w:rsid w:val="008F7448"/>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8F7448"/>
    <w:pPr>
      <w:tabs>
        <w:tab w:val="left" w:pos="1021"/>
      </w:tabs>
    </w:pPr>
    <w:rPr>
      <w:rFonts w:eastAsia="Times New Roman" w:cs="Times New Roman"/>
      <w:i w:val="0"/>
      <w:iCs w:val="0"/>
      <w:color w:val="51626F"/>
      <w:szCs w:val="20"/>
    </w:rPr>
  </w:style>
  <w:style w:type="paragraph" w:customStyle="1" w:styleId="Heading5notnumbered">
    <w:name w:val="Heading 5 not numbered"/>
    <w:basedOn w:val="Heading5"/>
    <w:rsid w:val="008F7448"/>
    <w:pPr>
      <w:tabs>
        <w:tab w:val="left" w:pos="1361"/>
      </w:tabs>
    </w:pPr>
    <w:rPr>
      <w:rFonts w:eastAsia="Times New Roman" w:cs="Times New Roman"/>
      <w:bCs/>
      <w:szCs w:val="20"/>
    </w:rPr>
  </w:style>
  <w:style w:type="paragraph" w:customStyle="1" w:styleId="Heading6notnumbered">
    <w:name w:val="Heading 6 not numbered"/>
    <w:basedOn w:val="Heading6"/>
    <w:rsid w:val="008F7448"/>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8F7448"/>
    <w:pPr>
      <w:spacing w:before="0" w:line="240" w:lineRule="auto"/>
      <w:ind w:left="220" w:hanging="220"/>
    </w:pPr>
  </w:style>
  <w:style w:type="paragraph" w:styleId="Index2">
    <w:name w:val="index 2"/>
    <w:basedOn w:val="Normal"/>
    <w:next w:val="Normal"/>
    <w:autoRedefine/>
    <w:uiPriority w:val="99"/>
    <w:unhideWhenUsed/>
    <w:rsid w:val="008F7448"/>
    <w:pPr>
      <w:spacing w:before="0" w:line="240" w:lineRule="auto"/>
      <w:ind w:left="440" w:hanging="220"/>
    </w:pPr>
  </w:style>
  <w:style w:type="paragraph" w:customStyle="1" w:styleId="Heading7notnumbered">
    <w:name w:val="Heading 7 not numbered"/>
    <w:basedOn w:val="Heading7"/>
    <w:rsid w:val="008F7448"/>
    <w:pPr>
      <w:tabs>
        <w:tab w:val="left" w:pos="1701"/>
      </w:tabs>
    </w:pPr>
    <w:rPr>
      <w:rFonts w:eastAsia="Times New Roman" w:cs="Times New Roman"/>
      <w:color w:val="auto"/>
      <w:szCs w:val="20"/>
    </w:rPr>
  </w:style>
  <w:style w:type="paragraph" w:customStyle="1" w:styleId="Heading8notnumbered">
    <w:name w:val="Heading 8 not numbered"/>
    <w:basedOn w:val="Heading8"/>
    <w:rsid w:val="008F7448"/>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8F7448"/>
  </w:style>
  <w:style w:type="character" w:customStyle="1" w:styleId="SalutationChar">
    <w:name w:val="Salutation Char"/>
    <w:basedOn w:val="DefaultParagraphFont"/>
    <w:link w:val="Salutation"/>
    <w:uiPriority w:val="99"/>
    <w:rsid w:val="008F7448"/>
    <w:rPr>
      <w:rFonts w:ascii="Arial" w:hAnsi="Arial"/>
    </w:rPr>
  </w:style>
  <w:style w:type="paragraph" w:customStyle="1" w:styleId="Heading9notnumbered">
    <w:name w:val="Heading 9 not numbered"/>
    <w:basedOn w:val="Heading9"/>
    <w:rsid w:val="008F7448"/>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8F7448"/>
    <w:pPr>
      <w:spacing w:line="288" w:lineRule="auto"/>
    </w:pPr>
    <w:rPr>
      <w:sz w:val="20"/>
      <w:szCs w:val="20"/>
    </w:rPr>
  </w:style>
  <w:style w:type="paragraph" w:customStyle="1" w:styleId="ReportTitle">
    <w:name w:val="Report Title"/>
    <w:basedOn w:val="Normal"/>
    <w:next w:val="Normal"/>
    <w:link w:val="ReportTitleChar"/>
    <w:rsid w:val="004C0278"/>
    <w:pPr>
      <w:tabs>
        <w:tab w:val="center" w:pos="4598"/>
        <w:tab w:val="right" w:pos="9026"/>
      </w:tabs>
      <w:spacing w:before="240"/>
      <w:contextualSpacing/>
      <w:jc w:val="center"/>
    </w:pPr>
    <w:rPr>
      <w:rFonts w:eastAsiaTheme="majorEastAsia" w:cstheme="majorBidi"/>
      <w:b/>
      <w:noProof/>
      <w:color w:val="70635A"/>
      <w:sz w:val="72"/>
      <w:szCs w:val="72"/>
      <w:lang w:eastAsia="en-AU"/>
    </w:rPr>
  </w:style>
  <w:style w:type="numbering" w:customStyle="1" w:styleId="AlphanumericList">
    <w:name w:val="Alphanumeric List"/>
    <w:uiPriority w:val="99"/>
    <w:rsid w:val="008F7448"/>
    <w:pPr>
      <w:numPr>
        <w:numId w:val="28"/>
      </w:numPr>
    </w:pPr>
  </w:style>
  <w:style w:type="table" w:customStyle="1" w:styleId="AERTable-Text">
    <w:name w:val="AER Table - Text"/>
    <w:basedOn w:val="TableNormal"/>
    <w:uiPriority w:val="99"/>
    <w:rsid w:val="008F7448"/>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4C0278"/>
    <w:rPr>
      <w:b w:val="0"/>
      <w:sz w:val="36"/>
      <w:szCs w:val="36"/>
    </w:rPr>
  </w:style>
  <w:style w:type="paragraph" w:customStyle="1" w:styleId="ReportSubtitle">
    <w:name w:val="Report Subtitle"/>
    <w:basedOn w:val="ReportTitle"/>
    <w:link w:val="ReportSubtitleChar"/>
    <w:rsid w:val="004C0278"/>
    <w:rPr>
      <w:sz w:val="56"/>
      <w:szCs w:val="56"/>
    </w:rPr>
  </w:style>
  <w:style w:type="character" w:customStyle="1" w:styleId="ReportTitleChar">
    <w:name w:val="Report Title Char"/>
    <w:basedOn w:val="Heading1Char"/>
    <w:link w:val="ReportTitle"/>
    <w:rsid w:val="008F7448"/>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8F7448"/>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8F7448"/>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8F7448"/>
    <w:rPr>
      <w:rFonts w:ascii="Arial" w:hAnsi="Arial"/>
      <w:sz w:val="20"/>
      <w:szCs w:val="20"/>
    </w:rPr>
  </w:style>
  <w:style w:type="paragraph" w:styleId="BodyTextIndent">
    <w:name w:val="Body Text Indent"/>
    <w:basedOn w:val="Normal"/>
    <w:link w:val="BodyTextIndentChar"/>
    <w:uiPriority w:val="99"/>
    <w:semiHidden/>
    <w:unhideWhenUsed/>
    <w:rsid w:val="008F7448"/>
    <w:pPr>
      <w:spacing w:after="120"/>
      <w:ind w:left="283"/>
    </w:pPr>
  </w:style>
  <w:style w:type="character" w:customStyle="1" w:styleId="BodyTextIndentChar">
    <w:name w:val="Body Text Indent Char"/>
    <w:basedOn w:val="DefaultParagraphFont"/>
    <w:link w:val="BodyTextIndent"/>
    <w:uiPriority w:val="99"/>
    <w:semiHidden/>
    <w:rsid w:val="008F7448"/>
    <w:rPr>
      <w:rFonts w:ascii="Arial" w:hAnsi="Arial"/>
    </w:rPr>
  </w:style>
  <w:style w:type="paragraph" w:styleId="BodyTextFirstIndent2">
    <w:name w:val="Body Text First Indent 2"/>
    <w:basedOn w:val="BodyTextIndent"/>
    <w:link w:val="BodyTextFirstIndent2Char"/>
    <w:uiPriority w:val="99"/>
    <w:unhideWhenUsed/>
    <w:rsid w:val="008F7448"/>
    <w:pPr>
      <w:spacing w:after="0"/>
      <w:ind w:left="360" w:firstLine="360"/>
    </w:pPr>
  </w:style>
  <w:style w:type="character" w:customStyle="1" w:styleId="BodyTextFirstIndent2Char">
    <w:name w:val="Body Text First Indent 2 Char"/>
    <w:basedOn w:val="BodyTextIndentChar"/>
    <w:link w:val="BodyTextFirstIndent2"/>
    <w:uiPriority w:val="99"/>
    <w:rsid w:val="008F7448"/>
    <w:rPr>
      <w:rFonts w:ascii="Arial" w:hAnsi="Arial"/>
    </w:rPr>
  </w:style>
  <w:style w:type="paragraph" w:styleId="Closing">
    <w:name w:val="Closing"/>
    <w:basedOn w:val="Normal"/>
    <w:link w:val="ClosingChar"/>
    <w:uiPriority w:val="99"/>
    <w:unhideWhenUsed/>
    <w:rsid w:val="008F7448"/>
    <w:pPr>
      <w:spacing w:before="0" w:line="240" w:lineRule="auto"/>
      <w:ind w:left="4252"/>
    </w:pPr>
  </w:style>
  <w:style w:type="character" w:customStyle="1" w:styleId="ClosingChar">
    <w:name w:val="Closing Char"/>
    <w:basedOn w:val="DefaultParagraphFont"/>
    <w:link w:val="Closing"/>
    <w:uiPriority w:val="99"/>
    <w:rsid w:val="008F7448"/>
    <w:rPr>
      <w:rFonts w:ascii="Arial" w:hAnsi="Arial"/>
    </w:rPr>
  </w:style>
  <w:style w:type="paragraph" w:styleId="BodyText">
    <w:name w:val="Body Text"/>
    <w:basedOn w:val="Normal"/>
    <w:link w:val="BodyTextChar"/>
    <w:uiPriority w:val="99"/>
    <w:semiHidden/>
    <w:unhideWhenUsed/>
    <w:rsid w:val="008F7448"/>
    <w:pPr>
      <w:spacing w:after="120"/>
    </w:pPr>
  </w:style>
  <w:style w:type="character" w:customStyle="1" w:styleId="BodyTextChar">
    <w:name w:val="Body Text Char"/>
    <w:basedOn w:val="DefaultParagraphFont"/>
    <w:link w:val="BodyText"/>
    <w:uiPriority w:val="99"/>
    <w:semiHidden/>
    <w:rsid w:val="008F7448"/>
    <w:rPr>
      <w:rFonts w:ascii="Arial" w:hAnsi="Arial"/>
    </w:rPr>
  </w:style>
  <w:style w:type="paragraph" w:styleId="BodyTextFirstIndent">
    <w:name w:val="Body Text First Indent"/>
    <w:basedOn w:val="Normal"/>
    <w:link w:val="BodyTextFirstIndentChar"/>
    <w:uiPriority w:val="99"/>
    <w:unhideWhenUsed/>
    <w:rsid w:val="008F7448"/>
    <w:pPr>
      <w:ind w:firstLine="360"/>
    </w:pPr>
  </w:style>
  <w:style w:type="character" w:customStyle="1" w:styleId="BodyTextFirstIndentChar">
    <w:name w:val="Body Text First Indent Char"/>
    <w:basedOn w:val="BodyTextChar"/>
    <w:link w:val="BodyTextFirstIndent"/>
    <w:uiPriority w:val="99"/>
    <w:rsid w:val="008F7448"/>
    <w:rPr>
      <w:rFonts w:ascii="Arial" w:hAnsi="Arial"/>
    </w:rPr>
  </w:style>
  <w:style w:type="paragraph" w:styleId="BodyText2">
    <w:name w:val="Body Text 2"/>
    <w:basedOn w:val="Normal"/>
    <w:link w:val="BodyText2Char"/>
    <w:uiPriority w:val="99"/>
    <w:unhideWhenUsed/>
    <w:rsid w:val="008F7448"/>
    <w:pPr>
      <w:spacing w:after="120" w:line="480" w:lineRule="auto"/>
    </w:pPr>
  </w:style>
  <w:style w:type="character" w:customStyle="1" w:styleId="BodyText2Char">
    <w:name w:val="Body Text 2 Char"/>
    <w:basedOn w:val="DefaultParagraphFont"/>
    <w:link w:val="BodyText2"/>
    <w:uiPriority w:val="99"/>
    <w:rsid w:val="008F7448"/>
    <w:rPr>
      <w:rFonts w:ascii="Arial" w:hAnsi="Arial"/>
    </w:rPr>
  </w:style>
  <w:style w:type="character" w:styleId="CommentReference">
    <w:name w:val="annotation reference"/>
    <w:basedOn w:val="DefaultParagraphFont"/>
    <w:uiPriority w:val="99"/>
    <w:unhideWhenUsed/>
    <w:rsid w:val="008F7448"/>
    <w:rPr>
      <w:sz w:val="16"/>
      <w:szCs w:val="16"/>
    </w:rPr>
  </w:style>
  <w:style w:type="paragraph" w:styleId="Date">
    <w:name w:val="Date"/>
    <w:basedOn w:val="Normal"/>
    <w:next w:val="Normal"/>
    <w:link w:val="DateChar"/>
    <w:uiPriority w:val="99"/>
    <w:unhideWhenUsed/>
    <w:rsid w:val="008F7448"/>
  </w:style>
  <w:style w:type="character" w:customStyle="1" w:styleId="DateChar">
    <w:name w:val="Date Char"/>
    <w:basedOn w:val="DefaultParagraphFont"/>
    <w:link w:val="Date"/>
    <w:uiPriority w:val="99"/>
    <w:rsid w:val="008F7448"/>
    <w:rPr>
      <w:rFonts w:ascii="Arial" w:hAnsi="Arial"/>
    </w:rPr>
  </w:style>
  <w:style w:type="paragraph" w:styleId="DocumentMap">
    <w:name w:val="Document Map"/>
    <w:basedOn w:val="Normal"/>
    <w:link w:val="DocumentMapChar"/>
    <w:uiPriority w:val="99"/>
    <w:unhideWhenUsed/>
    <w:rsid w:val="008F744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8F7448"/>
    <w:rPr>
      <w:rFonts w:ascii="Tahoma" w:hAnsi="Tahoma" w:cs="Tahoma"/>
      <w:sz w:val="16"/>
      <w:szCs w:val="16"/>
    </w:rPr>
  </w:style>
  <w:style w:type="paragraph" w:styleId="E-mailSignature">
    <w:name w:val="E-mail Signature"/>
    <w:basedOn w:val="Normal"/>
    <w:link w:val="E-mailSignatureChar"/>
    <w:uiPriority w:val="99"/>
    <w:unhideWhenUsed/>
    <w:rsid w:val="008F7448"/>
    <w:pPr>
      <w:spacing w:before="0" w:line="240" w:lineRule="auto"/>
    </w:pPr>
  </w:style>
  <w:style w:type="character" w:customStyle="1" w:styleId="E-mailSignatureChar">
    <w:name w:val="E-mail Signature Char"/>
    <w:basedOn w:val="DefaultParagraphFont"/>
    <w:link w:val="E-mailSignature"/>
    <w:uiPriority w:val="99"/>
    <w:rsid w:val="008F7448"/>
    <w:rPr>
      <w:rFonts w:ascii="Arial" w:hAnsi="Arial"/>
    </w:rPr>
  </w:style>
  <w:style w:type="paragraph" w:styleId="EnvelopeAddress">
    <w:name w:val="envelope address"/>
    <w:basedOn w:val="Normal"/>
    <w:uiPriority w:val="99"/>
    <w:unhideWhenUsed/>
    <w:rsid w:val="008F7448"/>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F7448"/>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F7448"/>
    <w:rPr>
      <w:color w:val="800080" w:themeColor="followedHyperlink"/>
      <w:u w:val="single"/>
    </w:rPr>
  </w:style>
  <w:style w:type="paragraph" w:styleId="Index3">
    <w:name w:val="index 3"/>
    <w:basedOn w:val="Normal"/>
    <w:next w:val="Normal"/>
    <w:autoRedefine/>
    <w:uiPriority w:val="99"/>
    <w:unhideWhenUsed/>
    <w:rsid w:val="008F7448"/>
    <w:pPr>
      <w:spacing w:before="0" w:line="240" w:lineRule="auto"/>
      <w:ind w:left="660" w:hanging="220"/>
    </w:pPr>
  </w:style>
  <w:style w:type="paragraph" w:styleId="Index4">
    <w:name w:val="index 4"/>
    <w:basedOn w:val="Normal"/>
    <w:next w:val="Normal"/>
    <w:autoRedefine/>
    <w:uiPriority w:val="99"/>
    <w:unhideWhenUsed/>
    <w:rsid w:val="008F7448"/>
    <w:pPr>
      <w:spacing w:before="0" w:line="240" w:lineRule="auto"/>
      <w:ind w:left="880" w:hanging="220"/>
    </w:pPr>
  </w:style>
  <w:style w:type="paragraph" w:styleId="Index5">
    <w:name w:val="index 5"/>
    <w:basedOn w:val="Normal"/>
    <w:next w:val="Normal"/>
    <w:autoRedefine/>
    <w:uiPriority w:val="99"/>
    <w:unhideWhenUsed/>
    <w:rsid w:val="008F7448"/>
    <w:pPr>
      <w:spacing w:before="0" w:line="240" w:lineRule="auto"/>
      <w:ind w:left="1100" w:hanging="220"/>
    </w:pPr>
  </w:style>
  <w:style w:type="paragraph" w:styleId="IndexHeading">
    <w:name w:val="index heading"/>
    <w:basedOn w:val="Normal"/>
    <w:next w:val="Index1"/>
    <w:uiPriority w:val="99"/>
    <w:unhideWhenUsed/>
    <w:rsid w:val="008F7448"/>
    <w:rPr>
      <w:rFonts w:asciiTheme="majorHAnsi" w:eastAsiaTheme="majorEastAsia" w:hAnsiTheme="majorHAnsi" w:cstheme="majorBidi"/>
      <w:b/>
      <w:bCs/>
    </w:rPr>
  </w:style>
  <w:style w:type="character" w:styleId="IntenseEmphasis">
    <w:name w:val="Intense Emphasis"/>
    <w:basedOn w:val="DefaultParagraphFont"/>
    <w:uiPriority w:val="21"/>
    <w:unhideWhenUsed/>
    <w:rsid w:val="008F7448"/>
    <w:rPr>
      <w:b/>
      <w:bCs/>
      <w:i/>
      <w:iCs/>
      <w:color w:val="410099" w:themeColor="accent1"/>
    </w:rPr>
  </w:style>
  <w:style w:type="paragraph" w:styleId="IntenseQuote">
    <w:name w:val="Intense Quote"/>
    <w:basedOn w:val="Normal"/>
    <w:next w:val="Normal"/>
    <w:link w:val="IntenseQuoteChar"/>
    <w:uiPriority w:val="30"/>
    <w:unhideWhenUsed/>
    <w:rsid w:val="008F7448"/>
    <w:pPr>
      <w:pBdr>
        <w:bottom w:val="single" w:sz="4" w:space="4" w:color="410099" w:themeColor="accent1"/>
      </w:pBdr>
      <w:spacing w:after="280"/>
      <w:ind w:left="936" w:right="936"/>
    </w:pPr>
    <w:rPr>
      <w:b/>
      <w:bCs/>
      <w:i/>
      <w:iCs/>
      <w:color w:val="410099" w:themeColor="accent1"/>
    </w:rPr>
  </w:style>
  <w:style w:type="character" w:customStyle="1" w:styleId="IntenseQuoteChar">
    <w:name w:val="Intense Quote Char"/>
    <w:basedOn w:val="DefaultParagraphFont"/>
    <w:link w:val="IntenseQuote"/>
    <w:uiPriority w:val="30"/>
    <w:rsid w:val="008F7448"/>
    <w:rPr>
      <w:rFonts w:ascii="Arial" w:hAnsi="Arial"/>
      <w:b/>
      <w:bCs/>
      <w:i/>
      <w:iCs/>
      <w:color w:val="410099" w:themeColor="accent1"/>
    </w:rPr>
  </w:style>
  <w:style w:type="character" w:styleId="IntenseReference">
    <w:name w:val="Intense Reference"/>
    <w:basedOn w:val="DefaultParagraphFont"/>
    <w:uiPriority w:val="32"/>
    <w:unhideWhenUsed/>
    <w:rsid w:val="008F7448"/>
    <w:rPr>
      <w:b/>
      <w:bCs/>
      <w:smallCaps/>
      <w:color w:val="1CCFC9" w:themeColor="accent2"/>
      <w:spacing w:val="5"/>
      <w:u w:val="single"/>
    </w:rPr>
  </w:style>
  <w:style w:type="character" w:styleId="LineNumber">
    <w:name w:val="line number"/>
    <w:basedOn w:val="DefaultParagraphFont"/>
    <w:uiPriority w:val="99"/>
    <w:unhideWhenUsed/>
    <w:rsid w:val="008F7448"/>
  </w:style>
  <w:style w:type="paragraph" w:styleId="Signature">
    <w:name w:val="Signature"/>
    <w:basedOn w:val="Normal"/>
    <w:link w:val="SignatureChar"/>
    <w:uiPriority w:val="99"/>
    <w:unhideWhenUsed/>
    <w:rsid w:val="008F7448"/>
    <w:pPr>
      <w:spacing w:before="0" w:line="240" w:lineRule="auto"/>
      <w:ind w:left="4252"/>
    </w:pPr>
  </w:style>
  <w:style w:type="character" w:customStyle="1" w:styleId="SignatureChar">
    <w:name w:val="Signature Char"/>
    <w:basedOn w:val="DefaultParagraphFont"/>
    <w:link w:val="Signature"/>
    <w:uiPriority w:val="99"/>
    <w:rsid w:val="008F7448"/>
    <w:rPr>
      <w:rFonts w:ascii="Arial" w:hAnsi="Arial"/>
    </w:rPr>
  </w:style>
  <w:style w:type="character" w:styleId="SubtleEmphasis">
    <w:name w:val="Subtle Emphasis"/>
    <w:basedOn w:val="DefaultParagraphFont"/>
    <w:uiPriority w:val="19"/>
    <w:unhideWhenUsed/>
    <w:rsid w:val="008F7448"/>
    <w:rPr>
      <w:b/>
      <w:i/>
      <w:iCs/>
      <w:color w:val="410099" w:themeColor="accent1"/>
    </w:rPr>
  </w:style>
  <w:style w:type="paragraph" w:customStyle="1" w:styleId="Quotes">
    <w:name w:val="Quotes"/>
    <w:basedOn w:val="Normal"/>
    <w:rsid w:val="008F7448"/>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8F7448"/>
  </w:style>
  <w:style w:type="character" w:styleId="PlaceholderText">
    <w:name w:val="Placeholder Text"/>
    <w:basedOn w:val="DefaultParagraphFont"/>
    <w:uiPriority w:val="99"/>
    <w:semiHidden/>
    <w:rsid w:val="008F7448"/>
    <w:rPr>
      <w:color w:val="808080"/>
    </w:rPr>
  </w:style>
  <w:style w:type="paragraph" w:customStyle="1" w:styleId="StyleCopyrightBefore0pt">
    <w:name w:val="Style Copyright + Before:  0 pt"/>
    <w:basedOn w:val="Copyright"/>
    <w:rsid w:val="008F7448"/>
    <w:pPr>
      <w:spacing w:before="120"/>
    </w:pPr>
    <w:rPr>
      <w:rFonts w:eastAsia="Times New Roman" w:cs="Times New Roman"/>
    </w:rPr>
  </w:style>
  <w:style w:type="character" w:customStyle="1" w:styleId="Bold">
    <w:name w:val="Bold"/>
    <w:basedOn w:val="DefaultParagraphFont"/>
    <w:rsid w:val="008F7448"/>
    <w:rPr>
      <w:b/>
      <w:bCs/>
    </w:rPr>
  </w:style>
  <w:style w:type="character" w:customStyle="1" w:styleId="AERtextsize8">
    <w:name w:val="AER text size 8"/>
    <w:basedOn w:val="DefaultParagraphFont"/>
    <w:uiPriority w:val="1"/>
    <w:qFormat/>
    <w:rsid w:val="008F7448"/>
    <w:rPr>
      <w:rFonts w:ascii="Arial" w:hAnsi="Arial"/>
      <w:color w:val="auto"/>
      <w:sz w:val="16"/>
    </w:rPr>
  </w:style>
  <w:style w:type="paragraph" w:customStyle="1" w:styleId="NumberedChapterTitle">
    <w:name w:val="Numbered Chapter Title"/>
    <w:basedOn w:val="Chaptertitle"/>
    <w:qFormat/>
    <w:rsid w:val="008F7448"/>
    <w:pPr>
      <w:pageBreakBefore/>
      <w:numPr>
        <w:numId w:val="3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8F7448"/>
    <w:pPr>
      <w:spacing w:before="0"/>
    </w:pPr>
    <w:rPr>
      <w:rFonts w:ascii="Arial" w:hAnsi="Arial"/>
    </w:rPr>
  </w:style>
  <w:style w:type="character" w:customStyle="1" w:styleId="Subscript">
    <w:name w:val="Subscript"/>
    <w:basedOn w:val="DefaultParagraphFont"/>
    <w:uiPriority w:val="1"/>
    <w:qFormat/>
    <w:rsid w:val="008F7448"/>
    <w:rPr>
      <w:vertAlign w:val="subscript"/>
    </w:rPr>
  </w:style>
  <w:style w:type="character" w:customStyle="1" w:styleId="Superscript">
    <w:name w:val="Superscript"/>
    <w:basedOn w:val="Subscript"/>
    <w:uiPriority w:val="1"/>
    <w:qFormat/>
    <w:rsid w:val="008F7448"/>
    <w:rPr>
      <w:vertAlign w:val="superscript"/>
    </w:rPr>
  </w:style>
  <w:style w:type="paragraph" w:styleId="CommentText">
    <w:name w:val="annotation text"/>
    <w:basedOn w:val="Normal"/>
    <w:link w:val="CommentTextChar"/>
    <w:uiPriority w:val="99"/>
    <w:unhideWhenUsed/>
    <w:rsid w:val="008F7448"/>
    <w:pPr>
      <w:spacing w:line="240" w:lineRule="auto"/>
    </w:pPr>
    <w:rPr>
      <w:sz w:val="20"/>
      <w:szCs w:val="20"/>
    </w:rPr>
  </w:style>
  <w:style w:type="character" w:customStyle="1" w:styleId="CommentTextChar">
    <w:name w:val="Comment Text Char"/>
    <w:basedOn w:val="DefaultParagraphFont"/>
    <w:link w:val="CommentText"/>
    <w:uiPriority w:val="99"/>
    <w:rsid w:val="008F74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7448"/>
    <w:rPr>
      <w:b/>
      <w:bCs/>
    </w:rPr>
  </w:style>
  <w:style w:type="character" w:customStyle="1" w:styleId="CommentSubjectChar">
    <w:name w:val="Comment Subject Char"/>
    <w:basedOn w:val="CommentTextChar"/>
    <w:link w:val="CommentSubject"/>
    <w:uiPriority w:val="99"/>
    <w:semiHidden/>
    <w:rsid w:val="008F7448"/>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7448"/>
    <w:pPr>
      <w:spacing w:line="276" w:lineRule="auto"/>
    </w:pPr>
    <w:rPr>
      <w:rFonts w:ascii="Arial" w:hAnsi="Arial"/>
    </w:rPr>
  </w:style>
  <w:style w:type="paragraph" w:styleId="Heading1">
    <w:name w:val="heading 1"/>
    <w:basedOn w:val="Normal"/>
    <w:next w:val="Normal"/>
    <w:link w:val="Heading1Char"/>
    <w:qFormat/>
    <w:rsid w:val="004C0278"/>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4C0278"/>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4C0278"/>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4C0278"/>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4C0278"/>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4C0278"/>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4C0278"/>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4C0278"/>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4C0278"/>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4C0278"/>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4C0278"/>
    <w:pPr>
      <w:tabs>
        <w:tab w:val="right" w:leader="dot" w:pos="9016"/>
      </w:tabs>
      <w:spacing w:after="100"/>
      <w:ind w:left="2977"/>
    </w:pPr>
    <w:rPr>
      <w:noProof/>
    </w:rPr>
  </w:style>
  <w:style w:type="paragraph" w:styleId="TOC9">
    <w:name w:val="toc 9"/>
    <w:basedOn w:val="Normal"/>
    <w:next w:val="Normal"/>
    <w:uiPriority w:val="39"/>
    <w:rsid w:val="004C0278"/>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4C0278"/>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4C0278"/>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4C0278"/>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4C0278"/>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4C0278"/>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4C0278"/>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4C0278"/>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4C0278"/>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4C0278"/>
    <w:pPr>
      <w:numPr>
        <w:numId w:val="2"/>
      </w:numPr>
    </w:pPr>
    <w:rPr>
      <w:rFonts w:cs="Times New Roman"/>
    </w:rPr>
  </w:style>
  <w:style w:type="paragraph" w:styleId="ListBullet">
    <w:name w:val="List Bullet"/>
    <w:basedOn w:val="Normal"/>
    <w:uiPriority w:val="99"/>
    <w:rsid w:val="004C0278"/>
    <w:pPr>
      <w:numPr>
        <w:numId w:val="10"/>
      </w:numPr>
      <w:tabs>
        <w:tab w:val="left" w:pos="340"/>
      </w:tabs>
      <w:spacing w:before="120"/>
    </w:pPr>
  </w:style>
  <w:style w:type="paragraph" w:customStyle="1" w:styleId="Bulletpoint2">
    <w:name w:val="Bullet point 2"/>
    <w:basedOn w:val="ListBullet2"/>
    <w:uiPriority w:val="1"/>
    <w:qFormat/>
    <w:rsid w:val="004C0278"/>
    <w:pPr>
      <w:numPr>
        <w:numId w:val="0"/>
      </w:numPr>
      <w:tabs>
        <w:tab w:val="left" w:pos="680"/>
      </w:tabs>
    </w:pPr>
  </w:style>
  <w:style w:type="paragraph" w:styleId="ListNumber">
    <w:name w:val="List Number"/>
    <w:basedOn w:val="Normal"/>
    <w:uiPriority w:val="99"/>
    <w:qFormat/>
    <w:rsid w:val="004C0278"/>
    <w:pPr>
      <w:numPr>
        <w:numId w:val="23"/>
      </w:numPr>
      <w:spacing w:before="120"/>
    </w:pPr>
    <w:rPr>
      <w:color w:val="000000" w:themeColor="text1" w:themeShade="BF"/>
    </w:rPr>
  </w:style>
  <w:style w:type="paragraph" w:styleId="ListBullet2">
    <w:name w:val="List Bullet 2"/>
    <w:basedOn w:val="Normal"/>
    <w:uiPriority w:val="99"/>
    <w:rsid w:val="004C0278"/>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4C0278"/>
    <w:pPr>
      <w:spacing w:before="480" w:after="120"/>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4C0278"/>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4C0278"/>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192C7D"/>
    <w:pPr>
      <w:tabs>
        <w:tab w:val="left" w:pos="426"/>
        <w:tab w:val="right" w:leader="dot" w:pos="9016"/>
      </w:tabs>
      <w:spacing w:before="120" w:after="100"/>
    </w:pPr>
    <w:rPr>
      <w:noProof/>
      <w:lang w:val="en-US" w:eastAsia="ja-JP"/>
    </w:rPr>
  </w:style>
  <w:style w:type="paragraph" w:styleId="TOC2">
    <w:name w:val="toc 2"/>
    <w:basedOn w:val="Normal"/>
    <w:next w:val="Normal"/>
    <w:uiPriority w:val="39"/>
    <w:qFormat/>
    <w:rsid w:val="004C0278"/>
    <w:pPr>
      <w:tabs>
        <w:tab w:val="left" w:pos="880"/>
        <w:tab w:val="right" w:leader="dot" w:pos="9016"/>
      </w:tabs>
      <w:spacing w:after="100"/>
      <w:ind w:left="425"/>
    </w:pPr>
    <w:rPr>
      <w:noProof/>
    </w:rPr>
  </w:style>
  <w:style w:type="paragraph" w:styleId="TOC3">
    <w:name w:val="toc 3"/>
    <w:basedOn w:val="Normal"/>
    <w:next w:val="Normal"/>
    <w:uiPriority w:val="39"/>
    <w:qFormat/>
    <w:rsid w:val="004C0278"/>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4C0278"/>
    <w:pPr>
      <w:ind w:left="720"/>
    </w:pPr>
  </w:style>
  <w:style w:type="paragraph" w:styleId="FootnoteText">
    <w:name w:val="footnote text"/>
    <w:aliases w:val="BG Footnote Text,TBG Style,Footnote Text1,Footnote Text2,ALTS FOOTNOTE2,Footnote Text11,(NECG) Footnote Text,(NECG) Footnote Text1,ALTS FOOTNOTE,Footnote text,AR Footnote Text,AR Footnote Text Char Char Char Char Char Char,f"/>
    <w:basedOn w:val="Normal"/>
    <w:link w:val="FootnoteTextChar"/>
    <w:uiPriority w:val="99"/>
    <w:qFormat/>
    <w:rsid w:val="004C0278"/>
    <w:pPr>
      <w:tabs>
        <w:tab w:val="left" w:pos="340"/>
      </w:tabs>
      <w:spacing w:before="60"/>
      <w:ind w:left="340" w:hanging="340"/>
    </w:pPr>
    <w:rPr>
      <w:sz w:val="16"/>
      <w:szCs w:val="20"/>
    </w:rPr>
  </w:style>
  <w:style w:type="character" w:customStyle="1" w:styleId="FootnoteTextChar">
    <w:name w:val="Footnote Text Char"/>
    <w:aliases w:val="BG Footnote Text Char,TBG Style Char,Footnote Text1 Char,Footnote Text2 Char,ALTS FOOTNOTE2 Char,Footnote Text11 Char,(NECG) Footnote Text Char,(NECG) Footnote Text1 Char,ALTS FOOTNOTE Char,Footnote text Char,AR Footnote Text Char"/>
    <w:basedOn w:val="DefaultParagraphFont"/>
    <w:link w:val="FootnoteText"/>
    <w:uiPriority w:val="99"/>
    <w:rsid w:val="003A673F"/>
    <w:rPr>
      <w:rFonts w:ascii="Arial" w:hAnsi="Arial"/>
      <w:sz w:val="16"/>
      <w:szCs w:val="20"/>
    </w:rPr>
  </w:style>
  <w:style w:type="character" w:styleId="FootnoteReference">
    <w:name w:val="footnote reference"/>
    <w:aliases w:val="(NECG) Footnote Reference,fr,o,Style 6 + 12 pt,(NECG) Footnote Reference1,(NECG) Footnote Reference2,(NECG) Footnote Reference3,(NECG) Footnote Reference4,(NECG) Footnote Reference5,(NECG) Footnote Reference6"/>
    <w:basedOn w:val="DefaultParagraphFont"/>
    <w:uiPriority w:val="99"/>
    <w:unhideWhenUsed/>
    <w:rsid w:val="004C0278"/>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4C0278"/>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4C0278"/>
    <w:pPr>
      <w:tabs>
        <w:tab w:val="right" w:leader="dot" w:pos="9016"/>
      </w:tabs>
      <w:spacing w:after="100"/>
      <w:ind w:left="1276"/>
    </w:pPr>
    <w:rPr>
      <w:noProof/>
    </w:rPr>
  </w:style>
  <w:style w:type="paragraph" w:styleId="TOC5">
    <w:name w:val="toc 5"/>
    <w:basedOn w:val="Normal"/>
    <w:next w:val="Normal"/>
    <w:uiPriority w:val="39"/>
    <w:rsid w:val="004C0278"/>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4C0278"/>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4C0278"/>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4C0278"/>
    <w:pPr>
      <w:spacing w:before="240" w:after="120"/>
    </w:pPr>
    <w:rPr>
      <w:b/>
      <w:bCs/>
      <w:sz w:val="24"/>
      <w:szCs w:val="18"/>
    </w:rPr>
  </w:style>
  <w:style w:type="paragraph" w:styleId="List">
    <w:name w:val="List"/>
    <w:basedOn w:val="Normal"/>
    <w:uiPriority w:val="99"/>
    <w:qFormat/>
    <w:rsid w:val="004C0278"/>
    <w:pPr>
      <w:tabs>
        <w:tab w:val="left" w:pos="340"/>
      </w:tabs>
      <w:spacing w:before="120"/>
      <w:ind w:left="340" w:hanging="340"/>
    </w:pPr>
  </w:style>
  <w:style w:type="paragraph" w:styleId="List2">
    <w:name w:val="List 2"/>
    <w:basedOn w:val="Normal"/>
    <w:uiPriority w:val="99"/>
    <w:rsid w:val="004C0278"/>
    <w:pPr>
      <w:tabs>
        <w:tab w:val="left" w:pos="680"/>
      </w:tabs>
      <w:spacing w:before="120"/>
      <w:ind w:left="680" w:hanging="340"/>
    </w:pPr>
  </w:style>
  <w:style w:type="paragraph" w:styleId="List3">
    <w:name w:val="List 3"/>
    <w:basedOn w:val="Normal"/>
    <w:uiPriority w:val="99"/>
    <w:rsid w:val="004C0278"/>
    <w:pPr>
      <w:tabs>
        <w:tab w:val="left" w:pos="1021"/>
      </w:tabs>
      <w:spacing w:before="120"/>
      <w:ind w:left="1020" w:hanging="340"/>
    </w:pPr>
  </w:style>
  <w:style w:type="paragraph" w:styleId="List4">
    <w:name w:val="List 4"/>
    <w:basedOn w:val="Normal"/>
    <w:uiPriority w:val="99"/>
    <w:rsid w:val="004C0278"/>
    <w:pPr>
      <w:tabs>
        <w:tab w:val="left" w:pos="1361"/>
      </w:tabs>
      <w:spacing w:before="120"/>
      <w:ind w:left="1361" w:hanging="340"/>
    </w:pPr>
  </w:style>
  <w:style w:type="paragraph" w:styleId="List5">
    <w:name w:val="List 5"/>
    <w:basedOn w:val="Normal"/>
    <w:uiPriority w:val="99"/>
    <w:rsid w:val="004C0278"/>
    <w:pPr>
      <w:tabs>
        <w:tab w:val="left" w:pos="1701"/>
      </w:tabs>
      <w:spacing w:before="120"/>
      <w:ind w:left="1701" w:hanging="340"/>
    </w:pPr>
  </w:style>
  <w:style w:type="paragraph" w:styleId="ListBullet3">
    <w:name w:val="List Bullet 3"/>
    <w:basedOn w:val="Normal"/>
    <w:uiPriority w:val="99"/>
    <w:rsid w:val="004C0278"/>
    <w:pPr>
      <w:numPr>
        <w:numId w:val="4"/>
      </w:numPr>
      <w:tabs>
        <w:tab w:val="clear" w:pos="926"/>
        <w:tab w:val="num" w:pos="1021"/>
      </w:tabs>
      <w:spacing w:before="120"/>
      <w:ind w:left="1020" w:hanging="340"/>
    </w:pPr>
  </w:style>
  <w:style w:type="paragraph" w:styleId="ListBullet4">
    <w:name w:val="List Bullet 4"/>
    <w:basedOn w:val="Normal"/>
    <w:uiPriority w:val="99"/>
    <w:rsid w:val="004C0278"/>
    <w:pPr>
      <w:numPr>
        <w:numId w:val="5"/>
      </w:numPr>
      <w:tabs>
        <w:tab w:val="clear" w:pos="1209"/>
        <w:tab w:val="num" w:pos="1361"/>
      </w:tabs>
      <w:spacing w:before="120"/>
      <w:ind w:left="1361" w:hanging="340"/>
    </w:pPr>
  </w:style>
  <w:style w:type="paragraph" w:styleId="ListBullet5">
    <w:name w:val="List Bullet 5"/>
    <w:basedOn w:val="Normal"/>
    <w:uiPriority w:val="99"/>
    <w:rsid w:val="004C0278"/>
    <w:pPr>
      <w:numPr>
        <w:numId w:val="6"/>
      </w:numPr>
      <w:tabs>
        <w:tab w:val="clear" w:pos="1492"/>
        <w:tab w:val="num" w:pos="1701"/>
      </w:tabs>
      <w:spacing w:before="120"/>
      <w:ind w:left="1701" w:hanging="340"/>
    </w:pPr>
  </w:style>
  <w:style w:type="paragraph" w:styleId="ListContinue">
    <w:name w:val="List Continue"/>
    <w:basedOn w:val="Normal"/>
    <w:uiPriority w:val="99"/>
    <w:qFormat/>
    <w:rsid w:val="004C0278"/>
    <w:pPr>
      <w:tabs>
        <w:tab w:val="left" w:pos="340"/>
      </w:tabs>
      <w:spacing w:before="120"/>
      <w:ind w:left="340"/>
    </w:pPr>
  </w:style>
  <w:style w:type="paragraph" w:styleId="ListContinue2">
    <w:name w:val="List Continue 2"/>
    <w:basedOn w:val="Normal"/>
    <w:uiPriority w:val="99"/>
    <w:rsid w:val="004C0278"/>
    <w:pPr>
      <w:tabs>
        <w:tab w:val="left" w:pos="680"/>
      </w:tabs>
      <w:spacing w:before="120"/>
      <w:ind w:left="680"/>
    </w:pPr>
  </w:style>
  <w:style w:type="paragraph" w:styleId="ListContinue3">
    <w:name w:val="List Continue 3"/>
    <w:basedOn w:val="Normal"/>
    <w:uiPriority w:val="99"/>
    <w:rsid w:val="004C0278"/>
    <w:pPr>
      <w:tabs>
        <w:tab w:val="left" w:pos="1021"/>
      </w:tabs>
      <w:spacing w:before="120"/>
      <w:ind w:left="1021"/>
    </w:pPr>
  </w:style>
  <w:style w:type="paragraph" w:styleId="ListContinue4">
    <w:name w:val="List Continue 4"/>
    <w:basedOn w:val="Normal"/>
    <w:uiPriority w:val="99"/>
    <w:rsid w:val="004C0278"/>
    <w:pPr>
      <w:tabs>
        <w:tab w:val="left" w:pos="1361"/>
      </w:tabs>
      <w:spacing w:before="120"/>
      <w:ind w:left="1361"/>
    </w:pPr>
  </w:style>
  <w:style w:type="paragraph" w:styleId="ListNumber3">
    <w:name w:val="List Number 3"/>
    <w:basedOn w:val="Normal"/>
    <w:uiPriority w:val="99"/>
    <w:rsid w:val="004C0278"/>
    <w:pPr>
      <w:numPr>
        <w:numId w:val="14"/>
      </w:numPr>
      <w:tabs>
        <w:tab w:val="left" w:pos="1021"/>
      </w:tabs>
      <w:spacing w:before="120"/>
    </w:pPr>
  </w:style>
  <w:style w:type="paragraph" w:styleId="ListNumber4">
    <w:name w:val="List Number 4"/>
    <w:basedOn w:val="Normal"/>
    <w:uiPriority w:val="99"/>
    <w:rsid w:val="004C0278"/>
    <w:pPr>
      <w:numPr>
        <w:numId w:val="7"/>
      </w:numPr>
      <w:tabs>
        <w:tab w:val="left" w:pos="1701"/>
      </w:tabs>
      <w:spacing w:before="120"/>
    </w:pPr>
  </w:style>
  <w:style w:type="paragraph" w:styleId="ListNumber5">
    <w:name w:val="List Number 5"/>
    <w:basedOn w:val="Normal"/>
    <w:uiPriority w:val="99"/>
    <w:rsid w:val="004C0278"/>
    <w:pPr>
      <w:numPr>
        <w:numId w:val="8"/>
      </w:numPr>
      <w:spacing w:before="120"/>
    </w:pPr>
  </w:style>
  <w:style w:type="paragraph" w:customStyle="1" w:styleId="TableHeading">
    <w:name w:val="Table Heading"/>
    <w:basedOn w:val="Tabletext"/>
    <w:link w:val="TableHeadingChar"/>
    <w:qFormat/>
    <w:rsid w:val="004C0278"/>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4C0278"/>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4C0278"/>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4C0278"/>
    <w:rPr>
      <w:rFonts w:ascii="Arial" w:hAnsi="Arial"/>
      <w:sz w:val="16"/>
      <w:vertAlign w:val="superscript"/>
    </w:rPr>
  </w:style>
  <w:style w:type="paragraph" w:customStyle="1" w:styleId="Numberedparagraph11">
    <w:name w:val="Numbered paragraph 1.1"/>
    <w:basedOn w:val="Numbered11"/>
    <w:qFormat/>
    <w:rsid w:val="004C0278"/>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4C0278"/>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4C0278"/>
    <w:pPr>
      <w:numPr>
        <w:numId w:val="13"/>
      </w:numPr>
      <w:tabs>
        <w:tab w:val="left" w:pos="680"/>
      </w:tabs>
      <w:spacing w:before="120"/>
    </w:pPr>
    <w:rPr>
      <w:rFonts w:ascii="Arial" w:hAnsi="Arial"/>
    </w:rPr>
  </w:style>
  <w:style w:type="paragraph" w:customStyle="1" w:styleId="Listalphabet3">
    <w:name w:val="List alphabet 3"/>
    <w:rsid w:val="004C0278"/>
    <w:pPr>
      <w:numPr>
        <w:numId w:val="19"/>
      </w:numPr>
      <w:tabs>
        <w:tab w:val="left" w:pos="1021"/>
      </w:tabs>
      <w:spacing w:before="120"/>
    </w:pPr>
    <w:rPr>
      <w:rFonts w:ascii="Arial" w:hAnsi="Arial"/>
    </w:rPr>
  </w:style>
  <w:style w:type="paragraph" w:customStyle="1" w:styleId="Listalphabet4">
    <w:name w:val="List alphabet 4"/>
    <w:rsid w:val="004C0278"/>
    <w:pPr>
      <w:numPr>
        <w:numId w:val="20"/>
      </w:numPr>
      <w:tabs>
        <w:tab w:val="left" w:pos="1361"/>
      </w:tabs>
      <w:spacing w:before="120"/>
    </w:pPr>
    <w:rPr>
      <w:rFonts w:ascii="Arial" w:hAnsi="Arial"/>
    </w:rPr>
  </w:style>
  <w:style w:type="paragraph" w:customStyle="1" w:styleId="Listalphabet5">
    <w:name w:val="List alphabet 5"/>
    <w:rsid w:val="004C0278"/>
    <w:pPr>
      <w:numPr>
        <w:numId w:val="21"/>
      </w:numPr>
      <w:tabs>
        <w:tab w:val="left" w:pos="1701"/>
      </w:tabs>
      <w:spacing w:before="120"/>
    </w:pPr>
    <w:rPr>
      <w:rFonts w:ascii="Arial" w:hAnsi="Arial"/>
    </w:rPr>
  </w:style>
  <w:style w:type="paragraph" w:styleId="ListContinue5">
    <w:name w:val="List Continue 5"/>
    <w:basedOn w:val="Normal"/>
    <w:uiPriority w:val="99"/>
    <w:rsid w:val="004C0278"/>
    <w:pPr>
      <w:tabs>
        <w:tab w:val="left" w:pos="1701"/>
      </w:tabs>
      <w:spacing w:before="120"/>
      <w:ind w:left="1701"/>
    </w:pPr>
  </w:style>
  <w:style w:type="paragraph" w:customStyle="1" w:styleId="Listalphabet">
    <w:name w:val="List alphabet"/>
    <w:qFormat/>
    <w:rsid w:val="004C0278"/>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4C0278"/>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4C0278"/>
    <w:pPr>
      <w:numPr>
        <w:numId w:val="16"/>
      </w:numPr>
      <w:tabs>
        <w:tab w:val="clear" w:pos="680"/>
        <w:tab w:val="left" w:pos="1021"/>
      </w:tabs>
    </w:pPr>
  </w:style>
  <w:style w:type="paragraph" w:customStyle="1" w:styleId="ListLegal3">
    <w:name w:val="List Legal 3"/>
    <w:basedOn w:val="ListNumber3"/>
    <w:rsid w:val="004C0278"/>
    <w:pPr>
      <w:numPr>
        <w:numId w:val="15"/>
      </w:numPr>
      <w:tabs>
        <w:tab w:val="clear" w:pos="1021"/>
        <w:tab w:val="left" w:pos="1361"/>
      </w:tabs>
    </w:pPr>
  </w:style>
  <w:style w:type="paragraph" w:customStyle="1" w:styleId="ListLegal4">
    <w:name w:val="List Legal 4"/>
    <w:basedOn w:val="ListLegal3"/>
    <w:rsid w:val="004C0278"/>
    <w:pPr>
      <w:numPr>
        <w:numId w:val="17"/>
      </w:numPr>
      <w:tabs>
        <w:tab w:val="clear" w:pos="1361"/>
        <w:tab w:val="left" w:pos="1701"/>
      </w:tabs>
    </w:pPr>
  </w:style>
  <w:style w:type="paragraph" w:customStyle="1" w:styleId="ListLegal5">
    <w:name w:val="List Legal 5"/>
    <w:basedOn w:val="ListLegal4"/>
    <w:rsid w:val="004C0278"/>
    <w:pPr>
      <w:numPr>
        <w:numId w:val="26"/>
      </w:numPr>
      <w:tabs>
        <w:tab w:val="clear" w:pos="1701"/>
        <w:tab w:val="left" w:pos="2041"/>
      </w:tabs>
    </w:pPr>
  </w:style>
  <w:style w:type="paragraph" w:customStyle="1" w:styleId="LegalNumbering">
    <w:name w:val="Legal Numbering"/>
    <w:basedOn w:val="Normal"/>
    <w:qFormat/>
    <w:rsid w:val="004C0278"/>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8F7448"/>
    <w:pPr>
      <w:pageBreakBefore/>
      <w:tabs>
        <w:tab w:val="left" w:pos="680"/>
      </w:tabs>
    </w:pPr>
    <w:rPr>
      <w:rFonts w:ascii="Arial" w:hAnsi="Arial"/>
      <w:b/>
      <w:color w:val="70635A"/>
    </w:rPr>
  </w:style>
  <w:style w:type="paragraph" w:customStyle="1" w:styleId="Heading2notnumbered">
    <w:name w:val="Heading 2 not numbered"/>
    <w:basedOn w:val="Heading2"/>
    <w:rsid w:val="008F7448"/>
    <w:pPr>
      <w:tabs>
        <w:tab w:val="left" w:pos="680"/>
      </w:tabs>
    </w:pPr>
    <w:rPr>
      <w:rFonts w:eastAsia="Times New Roman" w:cs="Times New Roman"/>
      <w:b/>
      <w:color w:val="003591" w:themeColor="text2"/>
      <w:sz w:val="32"/>
      <w:szCs w:val="20"/>
    </w:rPr>
  </w:style>
  <w:style w:type="paragraph" w:customStyle="1" w:styleId="Heading3notnumbered">
    <w:name w:val="Heading 3 not numbered"/>
    <w:basedOn w:val="Heading3"/>
    <w:rsid w:val="008F7448"/>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8F7448"/>
    <w:pPr>
      <w:tabs>
        <w:tab w:val="left" w:pos="1021"/>
      </w:tabs>
    </w:pPr>
    <w:rPr>
      <w:rFonts w:eastAsia="Times New Roman" w:cs="Times New Roman"/>
      <w:i w:val="0"/>
      <w:iCs w:val="0"/>
      <w:color w:val="51626F"/>
      <w:szCs w:val="20"/>
    </w:rPr>
  </w:style>
  <w:style w:type="paragraph" w:customStyle="1" w:styleId="Heading5notnumbered">
    <w:name w:val="Heading 5 not numbered"/>
    <w:basedOn w:val="Heading5"/>
    <w:rsid w:val="008F7448"/>
    <w:pPr>
      <w:tabs>
        <w:tab w:val="left" w:pos="1361"/>
      </w:tabs>
    </w:pPr>
    <w:rPr>
      <w:rFonts w:eastAsia="Times New Roman" w:cs="Times New Roman"/>
      <w:bCs/>
      <w:szCs w:val="20"/>
    </w:rPr>
  </w:style>
  <w:style w:type="paragraph" w:customStyle="1" w:styleId="Heading6notnumbered">
    <w:name w:val="Heading 6 not numbered"/>
    <w:basedOn w:val="Heading6"/>
    <w:rsid w:val="008F7448"/>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8F7448"/>
    <w:pPr>
      <w:spacing w:before="0" w:line="240" w:lineRule="auto"/>
      <w:ind w:left="220" w:hanging="220"/>
    </w:pPr>
  </w:style>
  <w:style w:type="paragraph" w:styleId="Index2">
    <w:name w:val="index 2"/>
    <w:basedOn w:val="Normal"/>
    <w:next w:val="Normal"/>
    <w:autoRedefine/>
    <w:uiPriority w:val="99"/>
    <w:unhideWhenUsed/>
    <w:rsid w:val="008F7448"/>
    <w:pPr>
      <w:spacing w:before="0" w:line="240" w:lineRule="auto"/>
      <w:ind w:left="440" w:hanging="220"/>
    </w:pPr>
  </w:style>
  <w:style w:type="paragraph" w:customStyle="1" w:styleId="Heading7notnumbered">
    <w:name w:val="Heading 7 not numbered"/>
    <w:basedOn w:val="Heading7"/>
    <w:rsid w:val="008F7448"/>
    <w:pPr>
      <w:tabs>
        <w:tab w:val="left" w:pos="1701"/>
      </w:tabs>
    </w:pPr>
    <w:rPr>
      <w:rFonts w:eastAsia="Times New Roman" w:cs="Times New Roman"/>
      <w:color w:val="auto"/>
      <w:szCs w:val="20"/>
    </w:rPr>
  </w:style>
  <w:style w:type="paragraph" w:customStyle="1" w:styleId="Heading8notnumbered">
    <w:name w:val="Heading 8 not numbered"/>
    <w:basedOn w:val="Heading8"/>
    <w:rsid w:val="008F7448"/>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8F7448"/>
  </w:style>
  <w:style w:type="character" w:customStyle="1" w:styleId="SalutationChar">
    <w:name w:val="Salutation Char"/>
    <w:basedOn w:val="DefaultParagraphFont"/>
    <w:link w:val="Salutation"/>
    <w:uiPriority w:val="99"/>
    <w:rsid w:val="008F7448"/>
    <w:rPr>
      <w:rFonts w:ascii="Arial" w:hAnsi="Arial"/>
    </w:rPr>
  </w:style>
  <w:style w:type="paragraph" w:customStyle="1" w:styleId="Heading9notnumbered">
    <w:name w:val="Heading 9 not numbered"/>
    <w:basedOn w:val="Heading9"/>
    <w:rsid w:val="008F7448"/>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8F7448"/>
    <w:pPr>
      <w:spacing w:line="288" w:lineRule="auto"/>
    </w:pPr>
    <w:rPr>
      <w:sz w:val="20"/>
      <w:szCs w:val="20"/>
    </w:rPr>
  </w:style>
  <w:style w:type="paragraph" w:customStyle="1" w:styleId="ReportTitle">
    <w:name w:val="Report Title"/>
    <w:basedOn w:val="Normal"/>
    <w:next w:val="Normal"/>
    <w:link w:val="ReportTitleChar"/>
    <w:rsid w:val="004C0278"/>
    <w:pPr>
      <w:tabs>
        <w:tab w:val="center" w:pos="4598"/>
        <w:tab w:val="right" w:pos="9026"/>
      </w:tabs>
      <w:spacing w:before="240"/>
      <w:contextualSpacing/>
      <w:jc w:val="center"/>
    </w:pPr>
    <w:rPr>
      <w:rFonts w:eastAsiaTheme="majorEastAsia" w:cstheme="majorBidi"/>
      <w:b/>
      <w:noProof/>
      <w:color w:val="70635A"/>
      <w:sz w:val="72"/>
      <w:szCs w:val="72"/>
      <w:lang w:eastAsia="en-AU"/>
    </w:rPr>
  </w:style>
  <w:style w:type="numbering" w:customStyle="1" w:styleId="AlphanumericList">
    <w:name w:val="Alphanumeric List"/>
    <w:uiPriority w:val="99"/>
    <w:rsid w:val="008F7448"/>
    <w:pPr>
      <w:numPr>
        <w:numId w:val="28"/>
      </w:numPr>
    </w:pPr>
  </w:style>
  <w:style w:type="table" w:customStyle="1" w:styleId="AERTable-Text">
    <w:name w:val="AER Table - Text"/>
    <w:basedOn w:val="TableNormal"/>
    <w:uiPriority w:val="99"/>
    <w:rsid w:val="008F7448"/>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4C0278"/>
    <w:rPr>
      <w:b w:val="0"/>
      <w:sz w:val="36"/>
      <w:szCs w:val="36"/>
    </w:rPr>
  </w:style>
  <w:style w:type="paragraph" w:customStyle="1" w:styleId="ReportSubtitle">
    <w:name w:val="Report Subtitle"/>
    <w:basedOn w:val="ReportTitle"/>
    <w:link w:val="ReportSubtitleChar"/>
    <w:rsid w:val="004C0278"/>
    <w:rPr>
      <w:sz w:val="56"/>
      <w:szCs w:val="56"/>
    </w:rPr>
  </w:style>
  <w:style w:type="character" w:customStyle="1" w:styleId="ReportTitleChar">
    <w:name w:val="Report Title Char"/>
    <w:basedOn w:val="Heading1Char"/>
    <w:link w:val="ReportTitle"/>
    <w:rsid w:val="008F7448"/>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8F7448"/>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8F7448"/>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8F7448"/>
    <w:rPr>
      <w:rFonts w:ascii="Arial" w:hAnsi="Arial"/>
      <w:sz w:val="20"/>
      <w:szCs w:val="20"/>
    </w:rPr>
  </w:style>
  <w:style w:type="paragraph" w:styleId="BodyTextIndent">
    <w:name w:val="Body Text Indent"/>
    <w:basedOn w:val="Normal"/>
    <w:link w:val="BodyTextIndentChar"/>
    <w:uiPriority w:val="99"/>
    <w:semiHidden/>
    <w:unhideWhenUsed/>
    <w:rsid w:val="008F7448"/>
    <w:pPr>
      <w:spacing w:after="120"/>
      <w:ind w:left="283"/>
    </w:pPr>
  </w:style>
  <w:style w:type="character" w:customStyle="1" w:styleId="BodyTextIndentChar">
    <w:name w:val="Body Text Indent Char"/>
    <w:basedOn w:val="DefaultParagraphFont"/>
    <w:link w:val="BodyTextIndent"/>
    <w:uiPriority w:val="99"/>
    <w:semiHidden/>
    <w:rsid w:val="008F7448"/>
    <w:rPr>
      <w:rFonts w:ascii="Arial" w:hAnsi="Arial"/>
    </w:rPr>
  </w:style>
  <w:style w:type="paragraph" w:styleId="BodyTextFirstIndent2">
    <w:name w:val="Body Text First Indent 2"/>
    <w:basedOn w:val="BodyTextIndent"/>
    <w:link w:val="BodyTextFirstIndent2Char"/>
    <w:uiPriority w:val="99"/>
    <w:unhideWhenUsed/>
    <w:rsid w:val="008F7448"/>
    <w:pPr>
      <w:spacing w:after="0"/>
      <w:ind w:left="360" w:firstLine="360"/>
    </w:pPr>
  </w:style>
  <w:style w:type="character" w:customStyle="1" w:styleId="BodyTextFirstIndent2Char">
    <w:name w:val="Body Text First Indent 2 Char"/>
    <w:basedOn w:val="BodyTextIndentChar"/>
    <w:link w:val="BodyTextFirstIndent2"/>
    <w:uiPriority w:val="99"/>
    <w:rsid w:val="008F7448"/>
    <w:rPr>
      <w:rFonts w:ascii="Arial" w:hAnsi="Arial"/>
    </w:rPr>
  </w:style>
  <w:style w:type="paragraph" w:styleId="Closing">
    <w:name w:val="Closing"/>
    <w:basedOn w:val="Normal"/>
    <w:link w:val="ClosingChar"/>
    <w:uiPriority w:val="99"/>
    <w:unhideWhenUsed/>
    <w:rsid w:val="008F7448"/>
    <w:pPr>
      <w:spacing w:before="0" w:line="240" w:lineRule="auto"/>
      <w:ind w:left="4252"/>
    </w:pPr>
  </w:style>
  <w:style w:type="character" w:customStyle="1" w:styleId="ClosingChar">
    <w:name w:val="Closing Char"/>
    <w:basedOn w:val="DefaultParagraphFont"/>
    <w:link w:val="Closing"/>
    <w:uiPriority w:val="99"/>
    <w:rsid w:val="008F7448"/>
    <w:rPr>
      <w:rFonts w:ascii="Arial" w:hAnsi="Arial"/>
    </w:rPr>
  </w:style>
  <w:style w:type="paragraph" w:styleId="BodyText">
    <w:name w:val="Body Text"/>
    <w:basedOn w:val="Normal"/>
    <w:link w:val="BodyTextChar"/>
    <w:uiPriority w:val="99"/>
    <w:semiHidden/>
    <w:unhideWhenUsed/>
    <w:rsid w:val="008F7448"/>
    <w:pPr>
      <w:spacing w:after="120"/>
    </w:pPr>
  </w:style>
  <w:style w:type="character" w:customStyle="1" w:styleId="BodyTextChar">
    <w:name w:val="Body Text Char"/>
    <w:basedOn w:val="DefaultParagraphFont"/>
    <w:link w:val="BodyText"/>
    <w:uiPriority w:val="99"/>
    <w:semiHidden/>
    <w:rsid w:val="008F7448"/>
    <w:rPr>
      <w:rFonts w:ascii="Arial" w:hAnsi="Arial"/>
    </w:rPr>
  </w:style>
  <w:style w:type="paragraph" w:styleId="BodyTextFirstIndent">
    <w:name w:val="Body Text First Indent"/>
    <w:basedOn w:val="Normal"/>
    <w:link w:val="BodyTextFirstIndentChar"/>
    <w:uiPriority w:val="99"/>
    <w:unhideWhenUsed/>
    <w:rsid w:val="008F7448"/>
    <w:pPr>
      <w:ind w:firstLine="360"/>
    </w:pPr>
  </w:style>
  <w:style w:type="character" w:customStyle="1" w:styleId="BodyTextFirstIndentChar">
    <w:name w:val="Body Text First Indent Char"/>
    <w:basedOn w:val="BodyTextChar"/>
    <w:link w:val="BodyTextFirstIndent"/>
    <w:uiPriority w:val="99"/>
    <w:rsid w:val="008F7448"/>
    <w:rPr>
      <w:rFonts w:ascii="Arial" w:hAnsi="Arial"/>
    </w:rPr>
  </w:style>
  <w:style w:type="paragraph" w:styleId="BodyText2">
    <w:name w:val="Body Text 2"/>
    <w:basedOn w:val="Normal"/>
    <w:link w:val="BodyText2Char"/>
    <w:uiPriority w:val="99"/>
    <w:unhideWhenUsed/>
    <w:rsid w:val="008F7448"/>
    <w:pPr>
      <w:spacing w:after="120" w:line="480" w:lineRule="auto"/>
    </w:pPr>
  </w:style>
  <w:style w:type="character" w:customStyle="1" w:styleId="BodyText2Char">
    <w:name w:val="Body Text 2 Char"/>
    <w:basedOn w:val="DefaultParagraphFont"/>
    <w:link w:val="BodyText2"/>
    <w:uiPriority w:val="99"/>
    <w:rsid w:val="008F7448"/>
    <w:rPr>
      <w:rFonts w:ascii="Arial" w:hAnsi="Arial"/>
    </w:rPr>
  </w:style>
  <w:style w:type="character" w:styleId="CommentReference">
    <w:name w:val="annotation reference"/>
    <w:basedOn w:val="DefaultParagraphFont"/>
    <w:uiPriority w:val="99"/>
    <w:unhideWhenUsed/>
    <w:rsid w:val="008F7448"/>
    <w:rPr>
      <w:sz w:val="16"/>
      <w:szCs w:val="16"/>
    </w:rPr>
  </w:style>
  <w:style w:type="paragraph" w:styleId="Date">
    <w:name w:val="Date"/>
    <w:basedOn w:val="Normal"/>
    <w:next w:val="Normal"/>
    <w:link w:val="DateChar"/>
    <w:uiPriority w:val="99"/>
    <w:unhideWhenUsed/>
    <w:rsid w:val="008F7448"/>
  </w:style>
  <w:style w:type="character" w:customStyle="1" w:styleId="DateChar">
    <w:name w:val="Date Char"/>
    <w:basedOn w:val="DefaultParagraphFont"/>
    <w:link w:val="Date"/>
    <w:uiPriority w:val="99"/>
    <w:rsid w:val="008F7448"/>
    <w:rPr>
      <w:rFonts w:ascii="Arial" w:hAnsi="Arial"/>
    </w:rPr>
  </w:style>
  <w:style w:type="paragraph" w:styleId="DocumentMap">
    <w:name w:val="Document Map"/>
    <w:basedOn w:val="Normal"/>
    <w:link w:val="DocumentMapChar"/>
    <w:uiPriority w:val="99"/>
    <w:unhideWhenUsed/>
    <w:rsid w:val="008F744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8F7448"/>
    <w:rPr>
      <w:rFonts w:ascii="Tahoma" w:hAnsi="Tahoma" w:cs="Tahoma"/>
      <w:sz w:val="16"/>
      <w:szCs w:val="16"/>
    </w:rPr>
  </w:style>
  <w:style w:type="paragraph" w:styleId="E-mailSignature">
    <w:name w:val="E-mail Signature"/>
    <w:basedOn w:val="Normal"/>
    <w:link w:val="E-mailSignatureChar"/>
    <w:uiPriority w:val="99"/>
    <w:unhideWhenUsed/>
    <w:rsid w:val="008F7448"/>
    <w:pPr>
      <w:spacing w:before="0" w:line="240" w:lineRule="auto"/>
    </w:pPr>
  </w:style>
  <w:style w:type="character" w:customStyle="1" w:styleId="E-mailSignatureChar">
    <w:name w:val="E-mail Signature Char"/>
    <w:basedOn w:val="DefaultParagraphFont"/>
    <w:link w:val="E-mailSignature"/>
    <w:uiPriority w:val="99"/>
    <w:rsid w:val="008F7448"/>
    <w:rPr>
      <w:rFonts w:ascii="Arial" w:hAnsi="Arial"/>
    </w:rPr>
  </w:style>
  <w:style w:type="paragraph" w:styleId="EnvelopeAddress">
    <w:name w:val="envelope address"/>
    <w:basedOn w:val="Normal"/>
    <w:uiPriority w:val="99"/>
    <w:unhideWhenUsed/>
    <w:rsid w:val="008F7448"/>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F7448"/>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F7448"/>
    <w:rPr>
      <w:color w:val="800080" w:themeColor="followedHyperlink"/>
      <w:u w:val="single"/>
    </w:rPr>
  </w:style>
  <w:style w:type="paragraph" w:styleId="Index3">
    <w:name w:val="index 3"/>
    <w:basedOn w:val="Normal"/>
    <w:next w:val="Normal"/>
    <w:autoRedefine/>
    <w:uiPriority w:val="99"/>
    <w:unhideWhenUsed/>
    <w:rsid w:val="008F7448"/>
    <w:pPr>
      <w:spacing w:before="0" w:line="240" w:lineRule="auto"/>
      <w:ind w:left="660" w:hanging="220"/>
    </w:pPr>
  </w:style>
  <w:style w:type="paragraph" w:styleId="Index4">
    <w:name w:val="index 4"/>
    <w:basedOn w:val="Normal"/>
    <w:next w:val="Normal"/>
    <w:autoRedefine/>
    <w:uiPriority w:val="99"/>
    <w:unhideWhenUsed/>
    <w:rsid w:val="008F7448"/>
    <w:pPr>
      <w:spacing w:before="0" w:line="240" w:lineRule="auto"/>
      <w:ind w:left="880" w:hanging="220"/>
    </w:pPr>
  </w:style>
  <w:style w:type="paragraph" w:styleId="Index5">
    <w:name w:val="index 5"/>
    <w:basedOn w:val="Normal"/>
    <w:next w:val="Normal"/>
    <w:autoRedefine/>
    <w:uiPriority w:val="99"/>
    <w:unhideWhenUsed/>
    <w:rsid w:val="008F7448"/>
    <w:pPr>
      <w:spacing w:before="0" w:line="240" w:lineRule="auto"/>
      <w:ind w:left="1100" w:hanging="220"/>
    </w:pPr>
  </w:style>
  <w:style w:type="paragraph" w:styleId="IndexHeading">
    <w:name w:val="index heading"/>
    <w:basedOn w:val="Normal"/>
    <w:next w:val="Index1"/>
    <w:uiPriority w:val="99"/>
    <w:unhideWhenUsed/>
    <w:rsid w:val="008F7448"/>
    <w:rPr>
      <w:rFonts w:asciiTheme="majorHAnsi" w:eastAsiaTheme="majorEastAsia" w:hAnsiTheme="majorHAnsi" w:cstheme="majorBidi"/>
      <w:b/>
      <w:bCs/>
    </w:rPr>
  </w:style>
  <w:style w:type="character" w:styleId="IntenseEmphasis">
    <w:name w:val="Intense Emphasis"/>
    <w:basedOn w:val="DefaultParagraphFont"/>
    <w:uiPriority w:val="21"/>
    <w:unhideWhenUsed/>
    <w:rsid w:val="008F7448"/>
    <w:rPr>
      <w:b/>
      <w:bCs/>
      <w:i/>
      <w:iCs/>
      <w:color w:val="410099" w:themeColor="accent1"/>
    </w:rPr>
  </w:style>
  <w:style w:type="paragraph" w:styleId="IntenseQuote">
    <w:name w:val="Intense Quote"/>
    <w:basedOn w:val="Normal"/>
    <w:next w:val="Normal"/>
    <w:link w:val="IntenseQuoteChar"/>
    <w:uiPriority w:val="30"/>
    <w:unhideWhenUsed/>
    <w:rsid w:val="008F7448"/>
    <w:pPr>
      <w:pBdr>
        <w:bottom w:val="single" w:sz="4" w:space="4" w:color="410099" w:themeColor="accent1"/>
      </w:pBdr>
      <w:spacing w:after="280"/>
      <w:ind w:left="936" w:right="936"/>
    </w:pPr>
    <w:rPr>
      <w:b/>
      <w:bCs/>
      <w:i/>
      <w:iCs/>
      <w:color w:val="410099" w:themeColor="accent1"/>
    </w:rPr>
  </w:style>
  <w:style w:type="character" w:customStyle="1" w:styleId="IntenseQuoteChar">
    <w:name w:val="Intense Quote Char"/>
    <w:basedOn w:val="DefaultParagraphFont"/>
    <w:link w:val="IntenseQuote"/>
    <w:uiPriority w:val="30"/>
    <w:rsid w:val="008F7448"/>
    <w:rPr>
      <w:rFonts w:ascii="Arial" w:hAnsi="Arial"/>
      <w:b/>
      <w:bCs/>
      <w:i/>
      <w:iCs/>
      <w:color w:val="410099" w:themeColor="accent1"/>
    </w:rPr>
  </w:style>
  <w:style w:type="character" w:styleId="IntenseReference">
    <w:name w:val="Intense Reference"/>
    <w:basedOn w:val="DefaultParagraphFont"/>
    <w:uiPriority w:val="32"/>
    <w:unhideWhenUsed/>
    <w:rsid w:val="008F7448"/>
    <w:rPr>
      <w:b/>
      <w:bCs/>
      <w:smallCaps/>
      <w:color w:val="1CCFC9" w:themeColor="accent2"/>
      <w:spacing w:val="5"/>
      <w:u w:val="single"/>
    </w:rPr>
  </w:style>
  <w:style w:type="character" w:styleId="LineNumber">
    <w:name w:val="line number"/>
    <w:basedOn w:val="DefaultParagraphFont"/>
    <w:uiPriority w:val="99"/>
    <w:unhideWhenUsed/>
    <w:rsid w:val="008F7448"/>
  </w:style>
  <w:style w:type="paragraph" w:styleId="Signature">
    <w:name w:val="Signature"/>
    <w:basedOn w:val="Normal"/>
    <w:link w:val="SignatureChar"/>
    <w:uiPriority w:val="99"/>
    <w:unhideWhenUsed/>
    <w:rsid w:val="008F7448"/>
    <w:pPr>
      <w:spacing w:before="0" w:line="240" w:lineRule="auto"/>
      <w:ind w:left="4252"/>
    </w:pPr>
  </w:style>
  <w:style w:type="character" w:customStyle="1" w:styleId="SignatureChar">
    <w:name w:val="Signature Char"/>
    <w:basedOn w:val="DefaultParagraphFont"/>
    <w:link w:val="Signature"/>
    <w:uiPriority w:val="99"/>
    <w:rsid w:val="008F7448"/>
    <w:rPr>
      <w:rFonts w:ascii="Arial" w:hAnsi="Arial"/>
    </w:rPr>
  </w:style>
  <w:style w:type="character" w:styleId="SubtleEmphasis">
    <w:name w:val="Subtle Emphasis"/>
    <w:basedOn w:val="DefaultParagraphFont"/>
    <w:uiPriority w:val="19"/>
    <w:unhideWhenUsed/>
    <w:rsid w:val="008F7448"/>
    <w:rPr>
      <w:b/>
      <w:i/>
      <w:iCs/>
      <w:color w:val="410099" w:themeColor="accent1"/>
    </w:rPr>
  </w:style>
  <w:style w:type="paragraph" w:customStyle="1" w:styleId="Quotes">
    <w:name w:val="Quotes"/>
    <w:basedOn w:val="Normal"/>
    <w:rsid w:val="008F7448"/>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8F7448"/>
  </w:style>
  <w:style w:type="character" w:styleId="PlaceholderText">
    <w:name w:val="Placeholder Text"/>
    <w:basedOn w:val="DefaultParagraphFont"/>
    <w:uiPriority w:val="99"/>
    <w:semiHidden/>
    <w:rsid w:val="008F7448"/>
    <w:rPr>
      <w:color w:val="808080"/>
    </w:rPr>
  </w:style>
  <w:style w:type="paragraph" w:customStyle="1" w:styleId="StyleCopyrightBefore0pt">
    <w:name w:val="Style Copyright + Before:  0 pt"/>
    <w:basedOn w:val="Copyright"/>
    <w:rsid w:val="008F7448"/>
    <w:pPr>
      <w:spacing w:before="120"/>
    </w:pPr>
    <w:rPr>
      <w:rFonts w:eastAsia="Times New Roman" w:cs="Times New Roman"/>
    </w:rPr>
  </w:style>
  <w:style w:type="character" w:customStyle="1" w:styleId="Bold">
    <w:name w:val="Bold"/>
    <w:basedOn w:val="DefaultParagraphFont"/>
    <w:rsid w:val="008F7448"/>
    <w:rPr>
      <w:b/>
      <w:bCs/>
    </w:rPr>
  </w:style>
  <w:style w:type="character" w:customStyle="1" w:styleId="AERtextsize8">
    <w:name w:val="AER text size 8"/>
    <w:basedOn w:val="DefaultParagraphFont"/>
    <w:uiPriority w:val="1"/>
    <w:qFormat/>
    <w:rsid w:val="008F7448"/>
    <w:rPr>
      <w:rFonts w:ascii="Arial" w:hAnsi="Arial"/>
      <w:color w:val="auto"/>
      <w:sz w:val="16"/>
    </w:rPr>
  </w:style>
  <w:style w:type="paragraph" w:customStyle="1" w:styleId="NumberedChapterTitle">
    <w:name w:val="Numbered Chapter Title"/>
    <w:basedOn w:val="Chaptertitle"/>
    <w:qFormat/>
    <w:rsid w:val="008F7448"/>
    <w:pPr>
      <w:pageBreakBefore/>
      <w:numPr>
        <w:numId w:val="3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8F7448"/>
    <w:pPr>
      <w:spacing w:before="0"/>
    </w:pPr>
    <w:rPr>
      <w:rFonts w:ascii="Arial" w:hAnsi="Arial"/>
    </w:rPr>
  </w:style>
  <w:style w:type="character" w:customStyle="1" w:styleId="Subscript">
    <w:name w:val="Subscript"/>
    <w:basedOn w:val="DefaultParagraphFont"/>
    <w:uiPriority w:val="1"/>
    <w:qFormat/>
    <w:rsid w:val="008F7448"/>
    <w:rPr>
      <w:vertAlign w:val="subscript"/>
    </w:rPr>
  </w:style>
  <w:style w:type="character" w:customStyle="1" w:styleId="Superscript">
    <w:name w:val="Superscript"/>
    <w:basedOn w:val="Subscript"/>
    <w:uiPriority w:val="1"/>
    <w:qFormat/>
    <w:rsid w:val="008F7448"/>
    <w:rPr>
      <w:vertAlign w:val="superscript"/>
    </w:rPr>
  </w:style>
  <w:style w:type="paragraph" w:styleId="CommentText">
    <w:name w:val="annotation text"/>
    <w:basedOn w:val="Normal"/>
    <w:link w:val="CommentTextChar"/>
    <w:uiPriority w:val="99"/>
    <w:unhideWhenUsed/>
    <w:rsid w:val="008F7448"/>
    <w:pPr>
      <w:spacing w:line="240" w:lineRule="auto"/>
    </w:pPr>
    <w:rPr>
      <w:sz w:val="20"/>
      <w:szCs w:val="20"/>
    </w:rPr>
  </w:style>
  <w:style w:type="character" w:customStyle="1" w:styleId="CommentTextChar">
    <w:name w:val="Comment Text Char"/>
    <w:basedOn w:val="DefaultParagraphFont"/>
    <w:link w:val="CommentText"/>
    <w:uiPriority w:val="99"/>
    <w:rsid w:val="008F74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7448"/>
    <w:rPr>
      <w:b/>
      <w:bCs/>
    </w:rPr>
  </w:style>
  <w:style w:type="character" w:customStyle="1" w:styleId="CommentSubjectChar">
    <w:name w:val="Comment Subject Char"/>
    <w:basedOn w:val="CommentTextChar"/>
    <w:link w:val="CommentSubject"/>
    <w:uiPriority w:val="99"/>
    <w:semiHidden/>
    <w:rsid w:val="008F744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3042">
      <w:bodyDiv w:val="1"/>
      <w:marLeft w:val="0"/>
      <w:marRight w:val="0"/>
      <w:marTop w:val="0"/>
      <w:marBottom w:val="0"/>
      <w:divBdr>
        <w:top w:val="none" w:sz="0" w:space="0" w:color="auto"/>
        <w:left w:val="none" w:sz="0" w:space="0" w:color="auto"/>
        <w:bottom w:val="none" w:sz="0" w:space="0" w:color="auto"/>
        <w:right w:val="none" w:sz="0" w:space="0" w:color="auto"/>
      </w:divBdr>
    </w:div>
    <w:div w:id="41427801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70776766">
      <w:bodyDiv w:val="1"/>
      <w:marLeft w:val="0"/>
      <w:marRight w:val="0"/>
      <w:marTop w:val="0"/>
      <w:marBottom w:val="0"/>
      <w:divBdr>
        <w:top w:val="none" w:sz="0" w:space="0" w:color="auto"/>
        <w:left w:val="none" w:sz="0" w:space="0" w:color="auto"/>
        <w:bottom w:val="none" w:sz="0" w:space="0" w:color="auto"/>
        <w:right w:val="none" w:sz="0" w:space="0" w:color="auto"/>
      </w:divBdr>
    </w:div>
    <w:div w:id="7953696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81681942">
      <w:bodyDiv w:val="1"/>
      <w:marLeft w:val="0"/>
      <w:marRight w:val="0"/>
      <w:marTop w:val="0"/>
      <w:marBottom w:val="0"/>
      <w:divBdr>
        <w:top w:val="none" w:sz="0" w:space="0" w:color="auto"/>
        <w:left w:val="none" w:sz="0" w:space="0" w:color="auto"/>
        <w:bottom w:val="none" w:sz="0" w:space="0" w:color="auto"/>
        <w:right w:val="none" w:sz="0" w:space="0" w:color="auto"/>
      </w:divBdr>
    </w:div>
    <w:div w:id="20012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67080A-DE96-4C82-A891-AAFD6A20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FB0EDED5</Template>
  <TotalTime>0</TotalTime>
  <Pages>35</Pages>
  <Words>10076</Words>
  <Characters>57439</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2017-12-18T22:03:00Z</dcterms:created>
  <dcterms:modified xsi:type="dcterms:W3CDTF">2017-12-18T22:03:00Z</dcterms:modified>
</cp:coreProperties>
</file>