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839" w:rsidRDefault="00C80839" w:rsidP="00C80839">
      <w:pPr>
        <w:jc w:val="center"/>
        <w:rPr>
          <w:rFonts w:eastAsia="ヒラギノ角ゴ Pro W3" w:cs="Arial"/>
          <w:b/>
          <w:color w:val="000000"/>
          <w:sz w:val="48"/>
          <w:szCs w:val="48"/>
          <w:lang w:eastAsia="en-US"/>
        </w:rPr>
      </w:pPr>
      <w:bookmarkStart w:id="0" w:name="_GoBack"/>
      <w:bookmarkEnd w:id="0"/>
    </w:p>
    <w:p w:rsidR="00C80839" w:rsidRDefault="00C80839" w:rsidP="00C80839">
      <w:pPr>
        <w:jc w:val="center"/>
        <w:rPr>
          <w:rFonts w:eastAsia="ヒラギノ角ゴ Pro W3" w:cs="Arial"/>
          <w:b/>
          <w:color w:val="000000"/>
          <w:sz w:val="48"/>
          <w:szCs w:val="48"/>
          <w:lang w:eastAsia="en-US"/>
        </w:rPr>
      </w:pPr>
    </w:p>
    <w:p w:rsidR="00C80839" w:rsidRDefault="00C80839" w:rsidP="00C80839">
      <w:pPr>
        <w:jc w:val="center"/>
        <w:rPr>
          <w:rFonts w:eastAsia="ヒラギノ角ゴ Pro W3" w:cs="Arial"/>
          <w:b/>
          <w:color w:val="000000"/>
          <w:sz w:val="48"/>
          <w:szCs w:val="48"/>
          <w:lang w:eastAsia="en-US"/>
        </w:rPr>
      </w:pPr>
    </w:p>
    <w:p w:rsidR="00C80839" w:rsidRDefault="00C80839" w:rsidP="00C80839">
      <w:pPr>
        <w:jc w:val="center"/>
        <w:rPr>
          <w:rFonts w:eastAsia="ヒラギノ角ゴ Pro W3" w:cs="Arial"/>
          <w:b/>
          <w:color w:val="000000"/>
          <w:sz w:val="48"/>
          <w:szCs w:val="48"/>
          <w:lang w:eastAsia="en-US"/>
        </w:rPr>
      </w:pPr>
    </w:p>
    <w:p w:rsidR="00C80839" w:rsidRDefault="00C80839" w:rsidP="00C80839">
      <w:pPr>
        <w:jc w:val="center"/>
        <w:rPr>
          <w:rFonts w:eastAsia="ヒラギノ角ゴ Pro W3" w:cs="Arial"/>
          <w:b/>
          <w:color w:val="000000"/>
          <w:sz w:val="48"/>
          <w:szCs w:val="48"/>
          <w:lang w:eastAsia="en-US"/>
        </w:rPr>
      </w:pPr>
    </w:p>
    <w:p w:rsidR="00C80839" w:rsidRPr="00C80839" w:rsidRDefault="00C80839" w:rsidP="00C80839">
      <w:pPr>
        <w:jc w:val="center"/>
        <w:rPr>
          <w:rFonts w:eastAsia="ヒラギノ角ゴ Pro W3" w:cs="Arial"/>
          <w:b/>
          <w:color w:val="000000"/>
          <w:sz w:val="48"/>
          <w:szCs w:val="48"/>
          <w:lang w:eastAsia="en-US"/>
        </w:rPr>
      </w:pPr>
      <w:r w:rsidRPr="00C80839">
        <w:rPr>
          <w:rFonts w:eastAsia="ヒラギノ角ゴ Pro W3" w:cs="Arial"/>
          <w:b/>
          <w:color w:val="000000"/>
          <w:sz w:val="48"/>
          <w:szCs w:val="48"/>
          <w:lang w:eastAsia="en-US"/>
        </w:rPr>
        <w:t xml:space="preserve">Submission to the </w:t>
      </w:r>
      <w:r w:rsidR="00BC3010">
        <w:rPr>
          <w:rFonts w:eastAsia="ヒラギノ角ゴ Pro W3" w:cs="Arial"/>
          <w:b/>
          <w:color w:val="000000"/>
          <w:sz w:val="48"/>
          <w:szCs w:val="48"/>
          <w:lang w:eastAsia="en-US"/>
        </w:rPr>
        <w:t>Australian Energy Regulator</w:t>
      </w:r>
    </w:p>
    <w:p w:rsidR="00C80839" w:rsidRPr="00C80839" w:rsidRDefault="00C80839" w:rsidP="00C80839">
      <w:pPr>
        <w:jc w:val="center"/>
        <w:rPr>
          <w:rFonts w:eastAsia="ヒラギノ角ゴ Pro W3" w:cs="Arial"/>
          <w:b/>
          <w:color w:val="000000"/>
          <w:sz w:val="48"/>
          <w:szCs w:val="48"/>
          <w:lang w:eastAsia="en-US"/>
        </w:rPr>
      </w:pPr>
    </w:p>
    <w:p w:rsidR="00C80839" w:rsidRPr="00C80839" w:rsidRDefault="00C80839" w:rsidP="00C80839">
      <w:pPr>
        <w:jc w:val="center"/>
        <w:rPr>
          <w:rFonts w:eastAsia="ヒラギノ角ゴ Pro W3" w:cs="Arial"/>
          <w:b/>
          <w:color w:val="000000"/>
          <w:sz w:val="48"/>
          <w:szCs w:val="48"/>
          <w:lang w:eastAsia="en-US"/>
        </w:rPr>
      </w:pPr>
    </w:p>
    <w:p w:rsidR="00C80839" w:rsidRPr="00C80839" w:rsidRDefault="00C80839" w:rsidP="00C80839">
      <w:pPr>
        <w:jc w:val="center"/>
        <w:rPr>
          <w:rFonts w:eastAsia="ヒラギノ角ゴ Pro W3" w:cs="Arial"/>
          <w:b/>
          <w:color w:val="000000"/>
          <w:sz w:val="48"/>
          <w:szCs w:val="48"/>
          <w:lang w:eastAsia="en-US"/>
        </w:rPr>
      </w:pPr>
    </w:p>
    <w:p w:rsidR="00C80839" w:rsidRPr="00C80839" w:rsidRDefault="00C80839" w:rsidP="00C80839">
      <w:pPr>
        <w:jc w:val="center"/>
        <w:rPr>
          <w:rFonts w:eastAsia="ヒラギノ角ゴ Pro W3" w:cs="Arial"/>
          <w:b/>
          <w:color w:val="000000"/>
          <w:sz w:val="48"/>
          <w:szCs w:val="48"/>
          <w:lang w:eastAsia="en-US"/>
        </w:rPr>
      </w:pPr>
    </w:p>
    <w:p w:rsidR="00C80839" w:rsidRPr="00C80839" w:rsidRDefault="00BC3010" w:rsidP="00C80839">
      <w:pPr>
        <w:jc w:val="center"/>
        <w:rPr>
          <w:rFonts w:eastAsia="ヒラギノ角ゴ Pro W3" w:cs="Arial"/>
          <w:b/>
          <w:bCs/>
          <w:i/>
          <w:color w:val="000000"/>
          <w:sz w:val="48"/>
          <w:szCs w:val="48"/>
          <w:lang w:eastAsia="en-US"/>
        </w:rPr>
      </w:pPr>
      <w:r>
        <w:rPr>
          <w:rFonts w:eastAsia="ヒラギノ角ゴ Pro W3" w:cs="Arial"/>
          <w:b/>
          <w:bCs/>
          <w:i/>
          <w:color w:val="000000"/>
          <w:sz w:val="48"/>
          <w:szCs w:val="48"/>
          <w:lang w:eastAsia="en-US"/>
        </w:rPr>
        <w:t>Qld Electricity Distribution Regulatory Proposals</w:t>
      </w:r>
      <w:r w:rsidR="00C80839" w:rsidRPr="00C80839">
        <w:rPr>
          <w:rFonts w:eastAsia="ヒラギノ角ゴ Pro W3" w:cs="Arial"/>
          <w:b/>
          <w:bCs/>
          <w:i/>
          <w:color w:val="000000"/>
          <w:sz w:val="48"/>
          <w:szCs w:val="48"/>
          <w:lang w:eastAsia="en-US"/>
        </w:rPr>
        <w:t xml:space="preserve"> 201</w:t>
      </w:r>
      <w:r w:rsidR="00C80839">
        <w:rPr>
          <w:rFonts w:eastAsia="ヒラギノ角ゴ Pro W3" w:cs="Arial"/>
          <w:b/>
          <w:bCs/>
          <w:i/>
          <w:color w:val="000000"/>
          <w:sz w:val="48"/>
          <w:szCs w:val="48"/>
          <w:lang w:eastAsia="en-US"/>
        </w:rPr>
        <w:t>5</w:t>
      </w:r>
      <w:r w:rsidR="00C80839" w:rsidRPr="00C80839">
        <w:rPr>
          <w:rFonts w:eastAsia="ヒラギノ角ゴ Pro W3" w:cs="Arial"/>
          <w:b/>
          <w:bCs/>
          <w:i/>
          <w:color w:val="000000"/>
          <w:sz w:val="48"/>
          <w:szCs w:val="48"/>
          <w:lang w:eastAsia="en-US"/>
        </w:rPr>
        <w:t>-1</w:t>
      </w:r>
      <w:r w:rsidR="00C80839">
        <w:rPr>
          <w:rFonts w:eastAsia="ヒラギノ角ゴ Pro W3" w:cs="Arial"/>
          <w:b/>
          <w:bCs/>
          <w:i/>
          <w:color w:val="000000"/>
          <w:sz w:val="48"/>
          <w:szCs w:val="48"/>
          <w:lang w:eastAsia="en-US"/>
        </w:rPr>
        <w:t>6</w:t>
      </w:r>
      <w:r>
        <w:rPr>
          <w:rFonts w:eastAsia="ヒラギノ角ゴ Pro W3" w:cs="Arial"/>
          <w:b/>
          <w:bCs/>
          <w:i/>
          <w:color w:val="000000"/>
          <w:sz w:val="48"/>
          <w:szCs w:val="48"/>
          <w:lang w:eastAsia="en-US"/>
        </w:rPr>
        <w:t xml:space="preserve"> to 2019-20</w:t>
      </w:r>
    </w:p>
    <w:p w:rsidR="00C80839" w:rsidRPr="00C80839" w:rsidRDefault="00C80839" w:rsidP="00C80839">
      <w:pPr>
        <w:jc w:val="center"/>
        <w:rPr>
          <w:rFonts w:eastAsia="ヒラギノ角ゴ Pro W3" w:cs="Arial"/>
          <w:b/>
          <w:i/>
          <w:color w:val="000000"/>
          <w:sz w:val="48"/>
          <w:szCs w:val="48"/>
          <w:lang w:eastAsia="en-US"/>
        </w:rPr>
      </w:pPr>
    </w:p>
    <w:p w:rsidR="00C80839" w:rsidRPr="00C80839" w:rsidRDefault="00C80839" w:rsidP="00C80839">
      <w:pPr>
        <w:jc w:val="center"/>
        <w:rPr>
          <w:rFonts w:eastAsia="ヒラギノ角ゴ Pro W3" w:cs="Arial"/>
          <w:b/>
          <w:i/>
          <w:color w:val="000000"/>
          <w:sz w:val="48"/>
          <w:szCs w:val="48"/>
          <w:lang w:eastAsia="en-US"/>
        </w:rPr>
      </w:pPr>
    </w:p>
    <w:p w:rsidR="00C80839" w:rsidRPr="00C80839" w:rsidRDefault="00C80839" w:rsidP="00C80839">
      <w:pPr>
        <w:jc w:val="center"/>
        <w:rPr>
          <w:rFonts w:eastAsia="ヒラギノ角ゴ Pro W3" w:cs="Arial"/>
          <w:b/>
          <w:i/>
          <w:color w:val="000000"/>
          <w:sz w:val="48"/>
          <w:szCs w:val="48"/>
          <w:lang w:eastAsia="en-US"/>
        </w:rPr>
      </w:pPr>
    </w:p>
    <w:p w:rsidR="00C80839" w:rsidRPr="00C80839" w:rsidRDefault="00C80839" w:rsidP="00C80839">
      <w:pPr>
        <w:jc w:val="center"/>
        <w:rPr>
          <w:rFonts w:eastAsia="ヒラギノ角ゴ Pro W3" w:cs="Arial"/>
          <w:b/>
          <w:i/>
          <w:color w:val="000000"/>
          <w:sz w:val="48"/>
          <w:szCs w:val="48"/>
          <w:lang w:eastAsia="en-US"/>
        </w:rPr>
      </w:pPr>
    </w:p>
    <w:p w:rsidR="00C80839" w:rsidRDefault="00C80839" w:rsidP="00C80839">
      <w:pPr>
        <w:jc w:val="center"/>
        <w:rPr>
          <w:rFonts w:eastAsia="ヒラギノ角ゴ Pro W3" w:cs="Arial"/>
          <w:b/>
          <w:i/>
          <w:color w:val="000000"/>
          <w:sz w:val="48"/>
          <w:szCs w:val="48"/>
          <w:lang w:eastAsia="en-US"/>
        </w:rPr>
      </w:pPr>
    </w:p>
    <w:p w:rsidR="00C80839" w:rsidRDefault="00C80839" w:rsidP="00C80839">
      <w:pPr>
        <w:jc w:val="center"/>
        <w:rPr>
          <w:rFonts w:eastAsia="ヒラギノ角ゴ Pro W3" w:cs="Arial"/>
          <w:b/>
          <w:i/>
          <w:color w:val="000000"/>
          <w:sz w:val="48"/>
          <w:szCs w:val="48"/>
          <w:lang w:eastAsia="en-US"/>
        </w:rPr>
      </w:pPr>
    </w:p>
    <w:p w:rsidR="00C80839" w:rsidRPr="00C80839" w:rsidRDefault="00C80839" w:rsidP="00C80839">
      <w:pPr>
        <w:jc w:val="center"/>
        <w:rPr>
          <w:rFonts w:eastAsia="ヒラギノ角ゴ Pro W3" w:cs="Arial"/>
          <w:b/>
          <w:i/>
          <w:color w:val="000000"/>
          <w:sz w:val="48"/>
          <w:szCs w:val="48"/>
          <w:lang w:eastAsia="en-US"/>
        </w:rPr>
      </w:pPr>
    </w:p>
    <w:p w:rsidR="00C80839" w:rsidRPr="00C80839" w:rsidRDefault="00BC3010" w:rsidP="00C80839">
      <w:pPr>
        <w:jc w:val="center"/>
        <w:rPr>
          <w:rFonts w:eastAsia="ヒラギノ角ゴ Pro W3" w:cs="Arial"/>
          <w:b/>
          <w:color w:val="000000"/>
          <w:sz w:val="48"/>
          <w:szCs w:val="48"/>
          <w:lang w:eastAsia="en-US"/>
        </w:rPr>
      </w:pPr>
      <w:r>
        <w:rPr>
          <w:rFonts w:eastAsia="ヒラギノ角ゴ Pro W3" w:cs="Arial"/>
          <w:b/>
          <w:color w:val="000000"/>
          <w:sz w:val="48"/>
          <w:szCs w:val="48"/>
          <w:lang w:eastAsia="en-US"/>
        </w:rPr>
        <w:t>January</w:t>
      </w:r>
      <w:r w:rsidR="00C80839" w:rsidRPr="00C80839">
        <w:rPr>
          <w:rFonts w:eastAsia="ヒラギノ角ゴ Pro W3" w:cs="Arial"/>
          <w:b/>
          <w:color w:val="000000"/>
          <w:sz w:val="48"/>
          <w:szCs w:val="48"/>
          <w:lang w:eastAsia="en-US"/>
        </w:rPr>
        <w:t>, 201</w:t>
      </w:r>
      <w:r w:rsidR="00C80839">
        <w:rPr>
          <w:rFonts w:eastAsia="ヒラギノ角ゴ Pro W3" w:cs="Arial"/>
          <w:b/>
          <w:color w:val="000000"/>
          <w:sz w:val="48"/>
          <w:szCs w:val="48"/>
          <w:lang w:eastAsia="en-US"/>
        </w:rPr>
        <w:t>5</w:t>
      </w:r>
    </w:p>
    <w:p w:rsidR="00C80839" w:rsidRPr="00C80839" w:rsidRDefault="00C80839" w:rsidP="00C80839">
      <w:pPr>
        <w:jc w:val="center"/>
        <w:rPr>
          <w:rFonts w:eastAsia="ヒラギノ角ゴ Pro W3"/>
          <w:color w:val="000000"/>
        </w:rPr>
      </w:pPr>
    </w:p>
    <w:p w:rsidR="00C80839" w:rsidRPr="00C80839" w:rsidRDefault="00C80839" w:rsidP="00C80839">
      <w:pPr>
        <w:jc w:val="center"/>
        <w:rPr>
          <w:rFonts w:eastAsia="ヒラギノ角ゴ Pro W3"/>
          <w:color w:val="000000"/>
        </w:rPr>
      </w:pPr>
    </w:p>
    <w:p w:rsidR="00C80839" w:rsidRPr="00C80839" w:rsidRDefault="00C80839" w:rsidP="00C80839">
      <w:pPr>
        <w:spacing w:after="100" w:afterAutospacing="1"/>
        <w:jc w:val="both"/>
        <w:outlineLvl w:val="0"/>
        <w:rPr>
          <w:rFonts w:eastAsia="ヒラギノ角ゴ Pro W3"/>
          <w:b/>
          <w:color w:val="000000"/>
          <w:lang w:eastAsia="en-US"/>
        </w:rPr>
      </w:pPr>
      <w:r w:rsidRPr="00C80839">
        <w:rPr>
          <w:rFonts w:eastAsia="ヒラギノ角ゴ Pro W3"/>
          <w:b/>
          <w:color w:val="000000"/>
          <w:lang w:eastAsia="en-US"/>
        </w:rPr>
        <w:t>Cotton Australia</w:t>
      </w:r>
    </w:p>
    <w:p w:rsidR="00C80839" w:rsidRPr="00C80839" w:rsidRDefault="00C80839" w:rsidP="00C80839">
      <w:pPr>
        <w:spacing w:after="100" w:afterAutospacing="1"/>
        <w:jc w:val="both"/>
        <w:rPr>
          <w:rFonts w:eastAsia="ヒラギノ角ゴ Pro W3"/>
          <w:color w:val="000000"/>
          <w:lang w:eastAsia="en-US"/>
        </w:rPr>
      </w:pPr>
      <w:r w:rsidRPr="00C80839">
        <w:rPr>
          <w:rFonts w:eastAsia="ヒラギノ角ゴ Pro W3"/>
          <w:color w:val="000000"/>
          <w:lang w:eastAsia="en-US"/>
        </w:rPr>
        <w:t>Cotton Australia</w:t>
      </w:r>
      <w:r w:rsidRPr="00C80839">
        <w:rPr>
          <w:rFonts w:eastAsia="ヒラギノ角ゴ Pro W3" w:cs="Arial"/>
          <w:color w:val="000000"/>
          <w:lang w:eastAsia="en-US"/>
        </w:rPr>
        <w:t xml:space="preserve"> is the key representative body for the Australian cotton growing industry. It helps the industry to work together to be world competitive and sustainable, and also tell the good news about the industry’s achievements. Cotton Australia determines and drives the industry’s strategic direction, retaining its strong focus on R&amp;D, promoting the value of the industry, reporting on its environmental credibility, and implementing policy objectives in consultation with its stakeholders.</w:t>
      </w:r>
    </w:p>
    <w:p w:rsidR="00C80839" w:rsidRPr="00C80839" w:rsidRDefault="00C80839" w:rsidP="00C80839">
      <w:pPr>
        <w:spacing w:after="100" w:afterAutospacing="1"/>
        <w:jc w:val="both"/>
        <w:rPr>
          <w:rFonts w:eastAsia="ヒラギノ角ゴ Pro W3" w:cs="Arial"/>
          <w:color w:val="000000"/>
          <w:lang w:eastAsia="en-US"/>
        </w:rPr>
      </w:pPr>
      <w:r w:rsidRPr="00C80839">
        <w:rPr>
          <w:rFonts w:eastAsia="ヒラギノ角ゴ Pro W3"/>
          <w:color w:val="000000"/>
          <w:lang w:eastAsia="en-US"/>
        </w:rPr>
        <w:t xml:space="preserve">Cotton Australia </w:t>
      </w:r>
      <w:r w:rsidRPr="00C80839">
        <w:rPr>
          <w:rFonts w:eastAsia="ヒラギノ角ゴ Pro W3" w:cs="Arial"/>
          <w:color w:val="000000"/>
          <w:lang w:eastAsia="en-US"/>
        </w:rPr>
        <w:t>works to ensure an environment conducive to efficient and sustainable cotton production. It has a key role in Best Management Practices (myBMP), an environmental management program for growers. This work has seen a significant improvement in the environmental performance of the industry, with huge improvements in water use efficiency, significant reductions in pesticide use, and millions of dollars invested into R&amp;D.</w:t>
      </w:r>
    </w:p>
    <w:p w:rsidR="00C80839" w:rsidRPr="00C80839" w:rsidRDefault="00C80839" w:rsidP="00C80839">
      <w:pPr>
        <w:spacing w:after="100" w:afterAutospacing="1"/>
        <w:jc w:val="both"/>
        <w:rPr>
          <w:rFonts w:eastAsia="ヒラギノ角ゴ Pro W3" w:cs="Arial"/>
          <w:color w:val="000000"/>
          <w:lang w:eastAsia="en-US"/>
        </w:rPr>
      </w:pPr>
      <w:r w:rsidRPr="00C80839">
        <w:rPr>
          <w:rFonts w:eastAsia="ヒラギノ角ゴ Pro W3" w:cs="Arial"/>
          <w:color w:val="000000"/>
          <w:lang w:eastAsia="en-US"/>
        </w:rPr>
        <w:t xml:space="preserve">The Australian cotton industry directly employs thousands of Australian’s and this year will contribute </w:t>
      </w:r>
      <w:r w:rsidR="000640A1">
        <w:rPr>
          <w:rFonts w:eastAsia="ヒラギノ角ゴ Pro W3" w:cs="Arial"/>
          <w:color w:val="000000"/>
          <w:lang w:eastAsia="en-US"/>
        </w:rPr>
        <w:t xml:space="preserve">approximately </w:t>
      </w:r>
      <w:r w:rsidRPr="00C80839">
        <w:rPr>
          <w:rFonts w:eastAsia="ヒラギノ角ゴ Pro W3" w:cs="Arial"/>
          <w:color w:val="000000"/>
          <w:lang w:eastAsia="en-US"/>
        </w:rPr>
        <w:t>$</w:t>
      </w:r>
      <w:r w:rsidR="000640A1">
        <w:rPr>
          <w:rFonts w:eastAsia="ヒラギノ角ゴ Pro W3" w:cs="Arial"/>
          <w:color w:val="000000"/>
          <w:lang w:eastAsia="en-US"/>
        </w:rPr>
        <w:t>.5</w:t>
      </w:r>
      <w:r w:rsidRPr="00C80839">
        <w:rPr>
          <w:rFonts w:eastAsia="ヒラギノ角ゴ Pro W3" w:cs="Arial"/>
          <w:color w:val="000000"/>
          <w:lang w:eastAsia="en-US"/>
        </w:rPr>
        <w:t xml:space="preserve"> billion to the Queensland economy</w:t>
      </w:r>
      <w:r w:rsidR="00BC3010">
        <w:rPr>
          <w:rFonts w:eastAsia="ヒラギノ角ゴ Pro W3" w:cs="Arial"/>
          <w:color w:val="000000"/>
          <w:lang w:eastAsia="en-US"/>
        </w:rPr>
        <w:t xml:space="preserve">, and approximately $1.5 </w:t>
      </w:r>
      <w:r w:rsidR="00703EC8">
        <w:rPr>
          <w:rFonts w:eastAsia="ヒラギノ角ゴ Pro W3" w:cs="Arial"/>
          <w:color w:val="000000"/>
          <w:lang w:eastAsia="en-US"/>
        </w:rPr>
        <w:t>b</w:t>
      </w:r>
      <w:r w:rsidR="00BC3010">
        <w:rPr>
          <w:rFonts w:eastAsia="ヒラギノ角ゴ Pro W3" w:cs="Arial"/>
          <w:color w:val="000000"/>
          <w:lang w:eastAsia="en-US"/>
        </w:rPr>
        <w:t>illion to the Australian economy</w:t>
      </w:r>
      <w:r w:rsidRPr="00C80839">
        <w:rPr>
          <w:rFonts w:eastAsia="ヒラギノ角ゴ Pro W3" w:cs="Arial"/>
          <w:color w:val="000000"/>
          <w:lang w:eastAsia="en-US"/>
        </w:rPr>
        <w:t>.</w:t>
      </w:r>
    </w:p>
    <w:p w:rsidR="00C80839" w:rsidRPr="00BC3010" w:rsidRDefault="00C80839" w:rsidP="00C80839">
      <w:pPr>
        <w:jc w:val="both"/>
        <w:rPr>
          <w:rFonts w:eastAsia="ヒラギノ角ゴ Pro W3" w:cs="Arial"/>
          <w:i/>
          <w:color w:val="000000"/>
          <w:lang w:eastAsia="en-US"/>
        </w:rPr>
      </w:pPr>
      <w:r w:rsidRPr="00C80839">
        <w:rPr>
          <w:rFonts w:eastAsia="ヒラギノ角ゴ Pro W3" w:cs="Arial"/>
          <w:color w:val="000000"/>
          <w:lang w:eastAsia="en-US"/>
        </w:rPr>
        <w:t xml:space="preserve">Cotton Australia welcomes the opportunity to provide this submission to the </w:t>
      </w:r>
      <w:r w:rsidR="00BC3010">
        <w:rPr>
          <w:rFonts w:eastAsia="ヒラギノ角ゴ Pro W3" w:cs="Arial"/>
          <w:color w:val="000000"/>
          <w:lang w:eastAsia="en-US"/>
        </w:rPr>
        <w:t xml:space="preserve">Australian Energy Regulator </w:t>
      </w:r>
      <w:r w:rsidR="00666F1F">
        <w:rPr>
          <w:rFonts w:eastAsia="ヒラギノ角ゴ Pro W3" w:cs="Arial"/>
          <w:color w:val="000000"/>
          <w:lang w:eastAsia="en-US"/>
        </w:rPr>
        <w:t xml:space="preserve">(AER) </w:t>
      </w:r>
      <w:r w:rsidR="00BC3010">
        <w:rPr>
          <w:rFonts w:eastAsia="ヒラギノ角ゴ Pro W3" w:cs="Arial"/>
          <w:color w:val="000000"/>
          <w:lang w:eastAsia="en-US"/>
        </w:rPr>
        <w:t xml:space="preserve">on the </w:t>
      </w:r>
      <w:r w:rsidR="00BC3010" w:rsidRPr="00BC3010">
        <w:rPr>
          <w:rFonts w:eastAsia="ヒラギノ角ゴ Pro W3" w:cs="Arial"/>
          <w:i/>
          <w:color w:val="000000"/>
          <w:lang w:eastAsia="en-US"/>
        </w:rPr>
        <w:t>Qld Electricity Distribution Regulatory Proposals 2015-16 t</w:t>
      </w:r>
      <w:r w:rsidR="00703EC8">
        <w:rPr>
          <w:rFonts w:eastAsia="ヒラギノ角ゴ Pro W3" w:cs="Arial"/>
          <w:i/>
          <w:color w:val="000000"/>
          <w:lang w:eastAsia="en-US"/>
        </w:rPr>
        <w:t>o</w:t>
      </w:r>
      <w:r w:rsidR="00BC3010" w:rsidRPr="00BC3010">
        <w:rPr>
          <w:rFonts w:eastAsia="ヒラギノ角ゴ Pro W3" w:cs="Arial"/>
          <w:i/>
          <w:color w:val="000000"/>
          <w:lang w:eastAsia="en-US"/>
        </w:rPr>
        <w:t xml:space="preserve"> 2019-20.</w:t>
      </w:r>
    </w:p>
    <w:p w:rsidR="00C80839" w:rsidRPr="00C80839" w:rsidRDefault="00C80839" w:rsidP="00C80839">
      <w:pPr>
        <w:jc w:val="both"/>
        <w:rPr>
          <w:rFonts w:eastAsia="ヒラギノ角ゴ Pro W3" w:cs="Arial"/>
          <w:i/>
          <w:color w:val="000000"/>
          <w:lang w:eastAsia="en-US"/>
        </w:rPr>
      </w:pPr>
    </w:p>
    <w:p w:rsidR="00C80839" w:rsidRPr="00C80839" w:rsidRDefault="00C80839" w:rsidP="00C80839">
      <w:pPr>
        <w:spacing w:after="100" w:afterAutospacing="1"/>
        <w:jc w:val="both"/>
        <w:rPr>
          <w:rFonts w:eastAsia="ヒラギノ角ゴ Pro W3" w:cs="Arial"/>
          <w:color w:val="000000"/>
          <w:lang w:eastAsia="en-US"/>
        </w:rPr>
      </w:pPr>
      <w:r w:rsidRPr="00C80839">
        <w:rPr>
          <w:rFonts w:eastAsia="ヒラギノ角ゴ Pro W3" w:cs="Arial"/>
          <w:color w:val="000000"/>
          <w:lang w:eastAsia="en-US"/>
        </w:rPr>
        <w:t xml:space="preserve">Cotton Australia is a member of </w:t>
      </w:r>
      <w:r w:rsidR="00E238F4">
        <w:rPr>
          <w:rFonts w:eastAsia="ヒラギノ角ゴ Pro W3" w:cs="Arial"/>
          <w:color w:val="000000"/>
          <w:lang w:eastAsia="en-US"/>
        </w:rPr>
        <w:t xml:space="preserve">a number of organisations that will also be lodging submissions including National Irrigators Council (NIC), </w:t>
      </w:r>
      <w:r w:rsidRPr="00C80839">
        <w:rPr>
          <w:rFonts w:eastAsia="ヒラギノ角ゴ Pro W3" w:cs="Arial"/>
          <w:color w:val="000000"/>
          <w:lang w:eastAsia="en-US"/>
        </w:rPr>
        <w:t>Queensland Farmers Federation (QFF)</w:t>
      </w:r>
      <w:r w:rsidR="00E238F4">
        <w:rPr>
          <w:rFonts w:eastAsia="ヒラギノ角ゴ Pro W3" w:cs="Arial"/>
          <w:color w:val="000000"/>
          <w:lang w:eastAsia="en-US"/>
        </w:rPr>
        <w:t>, Energy Users Association of Australia (EUAA), and is part of the Alliance of Electricity Consumers.</w:t>
      </w:r>
    </w:p>
    <w:p w:rsidR="00C80839" w:rsidRPr="00C80839" w:rsidRDefault="00C80839" w:rsidP="00C80839">
      <w:pPr>
        <w:spacing w:after="100" w:afterAutospacing="1"/>
        <w:jc w:val="both"/>
        <w:rPr>
          <w:rFonts w:eastAsia="ヒラギノ角ゴ Pro W3" w:cs="Arial"/>
          <w:color w:val="000000"/>
          <w:lang w:eastAsia="en-US"/>
        </w:rPr>
      </w:pPr>
      <w:r w:rsidRPr="00C80839">
        <w:rPr>
          <w:rFonts w:eastAsia="ヒラギノ角ゴ Pro W3" w:cs="Arial"/>
          <w:color w:val="000000"/>
          <w:lang w:eastAsia="en-US"/>
        </w:rPr>
        <w:t xml:space="preserve">Cotton Australia </w:t>
      </w:r>
      <w:r w:rsidR="00E238F4">
        <w:rPr>
          <w:rFonts w:eastAsia="ヒラギノ角ゴ Pro W3" w:cs="Arial"/>
          <w:color w:val="000000"/>
          <w:lang w:eastAsia="en-US"/>
        </w:rPr>
        <w:t>has reviewed submissions being submitted by the above organisations, and endorses them.</w:t>
      </w:r>
      <w:r w:rsidRPr="00C80839">
        <w:rPr>
          <w:rFonts w:eastAsia="ヒラギノ角ゴ Pro W3" w:cs="Arial"/>
          <w:color w:val="000000"/>
          <w:lang w:eastAsia="en-US"/>
        </w:rPr>
        <w:t xml:space="preserve"> </w:t>
      </w:r>
      <w:r w:rsidR="00E238F4">
        <w:rPr>
          <w:rFonts w:eastAsia="ヒラギノ角ゴ Pro W3" w:cs="Arial"/>
          <w:color w:val="000000"/>
          <w:lang w:eastAsia="en-US"/>
        </w:rPr>
        <w:t>W</w:t>
      </w:r>
      <w:r w:rsidRPr="00C80839">
        <w:rPr>
          <w:rFonts w:eastAsia="ヒラギノ角ゴ Pro W3" w:cs="Arial"/>
          <w:color w:val="000000"/>
          <w:lang w:eastAsia="en-US"/>
        </w:rPr>
        <w:t xml:space="preserve">hile Cotton Australia is confident that this submission will reflect the views </w:t>
      </w:r>
      <w:r w:rsidR="00E238F4">
        <w:rPr>
          <w:rFonts w:eastAsia="ヒラギノ角ゴ Pro W3" w:cs="Arial"/>
          <w:color w:val="000000"/>
          <w:lang w:eastAsia="en-US"/>
        </w:rPr>
        <w:t>contained in the submissions lodged by the above organisations,</w:t>
      </w:r>
      <w:r w:rsidRPr="00C80839">
        <w:rPr>
          <w:rFonts w:eastAsia="ヒラギノ角ゴ Pro W3" w:cs="Arial"/>
          <w:color w:val="000000"/>
          <w:lang w:eastAsia="en-US"/>
        </w:rPr>
        <w:t xml:space="preserve"> if there is any divergence of views expressed then Cotton Australia’s position is the one outlined in this paper.</w:t>
      </w:r>
    </w:p>
    <w:p w:rsidR="00C80839" w:rsidRPr="00C80839" w:rsidRDefault="00C80839" w:rsidP="00C80839">
      <w:pPr>
        <w:spacing w:after="100" w:afterAutospacing="1"/>
        <w:jc w:val="both"/>
        <w:rPr>
          <w:rFonts w:eastAsia="ヒラギノ角ゴ Pro W3" w:cs="Arial"/>
          <w:color w:val="000000"/>
          <w:lang w:eastAsia="en-US"/>
        </w:rPr>
      </w:pPr>
      <w:r w:rsidRPr="00C80839">
        <w:rPr>
          <w:rFonts w:eastAsia="ヒラギノ角ゴ Pro W3" w:cs="Arial"/>
          <w:color w:val="000000"/>
          <w:lang w:eastAsia="en-US"/>
        </w:rPr>
        <w:t xml:space="preserve">For further information on this submission please contact Cotton Australia’s Queensland Policy Manager Michael Murray – 0427 707 868 or </w:t>
      </w:r>
      <w:hyperlink r:id="rId8" w:history="1">
        <w:r w:rsidRPr="00C80839">
          <w:rPr>
            <w:rFonts w:eastAsia="ヒラギノ角ゴ Pro W3" w:cs="Arial"/>
            <w:color w:val="0000FF" w:themeColor="hyperlink"/>
            <w:u w:val="single"/>
            <w:lang w:eastAsia="en-US"/>
          </w:rPr>
          <w:t>michaelm@cotton.org.au</w:t>
        </w:r>
      </w:hyperlink>
      <w:r w:rsidRPr="00C80839">
        <w:rPr>
          <w:rFonts w:eastAsia="ヒラギノ角ゴ Pro W3" w:cs="Arial"/>
          <w:color w:val="000000"/>
          <w:lang w:eastAsia="en-US"/>
        </w:rPr>
        <w:t xml:space="preserve"> . </w:t>
      </w: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Pr="00C80839" w:rsidRDefault="00C80839" w:rsidP="00C80839">
      <w:pPr>
        <w:rPr>
          <w:rFonts w:eastAsia="ヒラギノ角ゴ Pro W3"/>
          <w:color w:val="000000"/>
          <w:lang w:eastAsia="en-US"/>
        </w:rPr>
      </w:pPr>
    </w:p>
    <w:p w:rsidR="00C80839" w:rsidRDefault="009D4887" w:rsidP="00C80839">
      <w:pPr>
        <w:rPr>
          <w:rFonts w:eastAsia="ヒラギノ角ゴ Pro W3"/>
          <w:b/>
          <w:color w:val="000000"/>
          <w:lang w:eastAsia="en-US"/>
        </w:rPr>
      </w:pPr>
      <w:r>
        <w:rPr>
          <w:rFonts w:eastAsia="ヒラギノ角ゴ Pro W3"/>
          <w:b/>
          <w:color w:val="000000"/>
          <w:lang w:eastAsia="en-US"/>
        </w:rPr>
        <w:t>General Comments</w:t>
      </w:r>
    </w:p>
    <w:p w:rsidR="00E238F4" w:rsidRDefault="00E238F4" w:rsidP="00C80839">
      <w:pPr>
        <w:rPr>
          <w:rFonts w:eastAsia="ヒラギノ角ゴ Pro W3"/>
          <w:b/>
          <w:color w:val="000000"/>
          <w:lang w:eastAsia="en-US"/>
        </w:rPr>
      </w:pPr>
    </w:p>
    <w:p w:rsidR="00E238F4" w:rsidRDefault="00E238F4" w:rsidP="00B9389A">
      <w:pPr>
        <w:jc w:val="both"/>
        <w:rPr>
          <w:rFonts w:eastAsia="ヒラギノ角ゴ Pro W3"/>
          <w:color w:val="000000"/>
          <w:lang w:eastAsia="en-US"/>
        </w:rPr>
      </w:pPr>
      <w:r w:rsidRPr="00E238F4">
        <w:rPr>
          <w:rFonts w:eastAsia="ヒラギノ角ゴ Pro W3"/>
          <w:color w:val="000000"/>
          <w:lang w:eastAsia="en-US"/>
        </w:rPr>
        <w:t xml:space="preserve">Queensland cotton </w:t>
      </w:r>
      <w:r>
        <w:rPr>
          <w:rFonts w:eastAsia="ヒラギノ角ゴ Pro W3"/>
          <w:color w:val="000000"/>
          <w:lang w:eastAsia="en-US"/>
        </w:rPr>
        <w:t>growers have faced extremely large increases in electricity pr</w:t>
      </w:r>
      <w:r w:rsidR="008B044E">
        <w:rPr>
          <w:rFonts w:eastAsia="ヒラギノ角ゴ Pro W3"/>
          <w:color w:val="000000"/>
          <w:lang w:eastAsia="en-US"/>
        </w:rPr>
        <w:t>ice</w:t>
      </w:r>
      <w:r w:rsidR="00666F1F">
        <w:rPr>
          <w:rFonts w:eastAsia="ヒラギノ角ゴ Pro W3"/>
          <w:color w:val="000000"/>
          <w:lang w:eastAsia="en-US"/>
        </w:rPr>
        <w:t>s</w:t>
      </w:r>
      <w:r>
        <w:rPr>
          <w:rFonts w:eastAsia="ヒラギノ角ゴ Pro W3"/>
          <w:color w:val="000000"/>
          <w:lang w:eastAsia="en-US"/>
        </w:rPr>
        <w:t xml:space="preserve"> </w:t>
      </w:r>
      <w:r w:rsidR="00703EC8">
        <w:rPr>
          <w:rFonts w:eastAsia="ヒラギノ角ゴ Pro W3"/>
          <w:color w:val="000000"/>
          <w:lang w:eastAsia="en-US"/>
        </w:rPr>
        <w:t>over the last decade</w:t>
      </w:r>
      <w:r>
        <w:rPr>
          <w:rFonts w:eastAsia="ヒラギノ角ゴ Pro W3"/>
          <w:color w:val="000000"/>
          <w:lang w:eastAsia="en-US"/>
        </w:rPr>
        <w:t xml:space="preserve">. Prices have skyrocketed far in excess of inflation, with a very large part of these increases </w:t>
      </w:r>
      <w:r w:rsidR="00703EC8">
        <w:rPr>
          <w:rFonts w:eastAsia="ヒラギノ角ゴ Pro W3"/>
          <w:color w:val="000000"/>
          <w:lang w:eastAsia="en-US"/>
        </w:rPr>
        <w:t>attributed</w:t>
      </w:r>
      <w:r>
        <w:rPr>
          <w:rFonts w:eastAsia="ヒラギノ角ゴ Pro W3"/>
          <w:color w:val="000000"/>
          <w:lang w:eastAsia="en-US"/>
        </w:rPr>
        <w:t xml:space="preserve"> to surging network charges.</w:t>
      </w:r>
    </w:p>
    <w:p w:rsidR="00E238F4" w:rsidRDefault="00E238F4" w:rsidP="00B9389A">
      <w:pPr>
        <w:jc w:val="both"/>
        <w:rPr>
          <w:rFonts w:eastAsia="ヒラギノ角ゴ Pro W3"/>
          <w:color w:val="000000"/>
          <w:lang w:eastAsia="en-US"/>
        </w:rPr>
      </w:pPr>
    </w:p>
    <w:p w:rsidR="00003BDD" w:rsidRDefault="00003BDD" w:rsidP="00B9389A">
      <w:pPr>
        <w:jc w:val="both"/>
        <w:rPr>
          <w:rFonts w:eastAsia="ヒラギノ角ゴ Pro W3"/>
          <w:color w:val="000000"/>
          <w:lang w:eastAsia="en-US"/>
        </w:rPr>
      </w:pPr>
      <w:r>
        <w:rPr>
          <w:rFonts w:eastAsia="ヒラギノ角ゴ Pro W3"/>
          <w:color w:val="000000"/>
          <w:lang w:eastAsia="en-US"/>
        </w:rPr>
        <w:t>The following graph shows an Emerald (QLD) irrigator’s bill from the year 2000, based on set consumption, with the actual tariff applied each year. Over this period the bill has increased from approximately $10,000 to $35,000</w:t>
      </w:r>
      <w:r w:rsidR="00703EC8">
        <w:rPr>
          <w:rFonts w:eastAsia="ヒラギノ角ゴ Pro W3"/>
          <w:color w:val="000000"/>
          <w:lang w:eastAsia="en-US"/>
        </w:rPr>
        <w:t xml:space="preserve"> or a 350% increase in prices</w:t>
      </w:r>
      <w:r>
        <w:rPr>
          <w:rFonts w:eastAsia="ヒラギノ角ゴ Pro W3"/>
          <w:color w:val="000000"/>
          <w:lang w:eastAsia="en-US"/>
        </w:rPr>
        <w:t>. During this same period</w:t>
      </w:r>
      <w:r w:rsidR="006C1D57">
        <w:rPr>
          <w:rFonts w:eastAsia="ヒラギノ角ゴ Pro W3"/>
          <w:color w:val="000000"/>
          <w:lang w:eastAsia="en-US"/>
        </w:rPr>
        <w:t xml:space="preserve"> the cumulative inflation rate in Australia was approximately 45% or 2.9% per annum.</w:t>
      </w:r>
      <w:r w:rsidR="006C1D57">
        <w:rPr>
          <w:rStyle w:val="FootnoteReference"/>
          <w:rFonts w:eastAsia="ヒラギノ角ゴ Pro W3"/>
          <w:color w:val="000000"/>
          <w:lang w:eastAsia="en-US"/>
        </w:rPr>
        <w:footnoteReference w:id="1"/>
      </w:r>
    </w:p>
    <w:p w:rsidR="00E10E6A" w:rsidRDefault="00E10E6A" w:rsidP="00B9389A">
      <w:pPr>
        <w:jc w:val="both"/>
        <w:rPr>
          <w:rFonts w:eastAsia="ヒラギノ角ゴ Pro W3"/>
          <w:color w:val="000000"/>
          <w:lang w:eastAsia="en-US"/>
        </w:rPr>
      </w:pPr>
    </w:p>
    <w:p w:rsidR="00E10E6A" w:rsidRPr="00E10E6A" w:rsidRDefault="00E10E6A" w:rsidP="00B9389A">
      <w:pPr>
        <w:jc w:val="both"/>
        <w:rPr>
          <w:rFonts w:eastAsia="ヒラギノ角ゴ Pro W3"/>
          <w:b/>
          <w:color w:val="000000"/>
          <w:lang w:eastAsia="en-US"/>
        </w:rPr>
      </w:pPr>
      <w:r>
        <w:rPr>
          <w:rFonts w:eastAsia="ヒラギノ角ゴ Pro W3"/>
          <w:b/>
          <w:color w:val="000000"/>
          <w:lang w:eastAsia="en-US"/>
        </w:rPr>
        <w:t>Figure 1 – Growth in an Irrigator’s Bill</w:t>
      </w:r>
    </w:p>
    <w:p w:rsidR="00E238F4" w:rsidRPr="00E238F4" w:rsidRDefault="00E238F4" w:rsidP="00B9389A">
      <w:pPr>
        <w:jc w:val="both"/>
        <w:rPr>
          <w:rFonts w:eastAsia="ヒラギノ角ゴ Pro W3"/>
          <w:color w:val="000000"/>
          <w:lang w:eastAsia="en-US"/>
        </w:rPr>
      </w:pPr>
      <w:r>
        <w:rPr>
          <w:rFonts w:eastAsia="ヒラギノ角ゴ Pro W3"/>
          <w:color w:val="000000"/>
          <w:lang w:eastAsia="en-US"/>
        </w:rPr>
        <w:t xml:space="preserve"> </w:t>
      </w:r>
      <w:r w:rsidR="00003BDD">
        <w:rPr>
          <w:noProof/>
        </w:rPr>
        <w:drawing>
          <wp:inline distT="0" distB="0" distL="0" distR="0" wp14:anchorId="239CB259" wp14:editId="4D72C604">
            <wp:extent cx="5731510" cy="3340319"/>
            <wp:effectExtent l="0" t="0" r="254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40319"/>
                    </a:xfrm>
                    <a:prstGeom prst="rect">
                      <a:avLst/>
                    </a:prstGeom>
                    <a:noFill/>
                    <a:ln>
                      <a:noFill/>
                    </a:ln>
                    <a:effectLst/>
                    <a:extLst/>
                  </pic:spPr>
                </pic:pic>
              </a:graphicData>
            </a:graphic>
          </wp:inline>
        </w:drawing>
      </w:r>
    </w:p>
    <w:p w:rsidR="000F08B4" w:rsidRDefault="000F08B4" w:rsidP="00B9389A">
      <w:pPr>
        <w:jc w:val="both"/>
        <w:rPr>
          <w:rFonts w:eastAsia="ヒラギノ角ゴ Pro W3"/>
          <w:color w:val="000000"/>
          <w:lang w:eastAsia="en-US"/>
        </w:rPr>
      </w:pPr>
      <w:r>
        <w:rPr>
          <w:rFonts w:eastAsia="ヒラギノ角ゴ Pro W3"/>
          <w:color w:val="000000"/>
          <w:lang w:eastAsia="en-US"/>
        </w:rPr>
        <w:t>The impost of rising electricity costs is also demonstrated in the following graph prepared by Cotton Australia which shows the annual increases in Tariff 11</w:t>
      </w:r>
      <w:r w:rsidR="00F1700A">
        <w:rPr>
          <w:rFonts w:eastAsia="ヒラギノ角ゴ Pro W3"/>
          <w:color w:val="000000"/>
          <w:lang w:eastAsia="en-US"/>
        </w:rPr>
        <w:t xml:space="preserve"> (T11)</w:t>
      </w:r>
      <w:r>
        <w:rPr>
          <w:rFonts w:eastAsia="ヒラギノ角ゴ Pro W3"/>
          <w:color w:val="000000"/>
          <w:lang w:eastAsia="en-US"/>
        </w:rPr>
        <w:t xml:space="preserve"> and Tariff 62</w:t>
      </w:r>
      <w:r w:rsidR="00F1700A">
        <w:rPr>
          <w:rFonts w:eastAsia="ヒラギノ角ゴ Pro W3"/>
          <w:color w:val="000000"/>
          <w:lang w:eastAsia="en-US"/>
        </w:rPr>
        <w:t xml:space="preserve"> (T62)</w:t>
      </w:r>
      <w:r>
        <w:rPr>
          <w:rFonts w:eastAsia="ヒラギノ角ゴ Pro W3"/>
          <w:color w:val="000000"/>
          <w:lang w:eastAsia="en-US"/>
        </w:rPr>
        <w:t>, compared to inflation over the past eight years.</w:t>
      </w:r>
      <w:r w:rsidR="00F1700A">
        <w:rPr>
          <w:rFonts w:eastAsia="ヒラギノ角ゴ Pro W3"/>
          <w:color w:val="000000"/>
          <w:lang w:eastAsia="en-US"/>
        </w:rPr>
        <w:t xml:space="preserve"> </w:t>
      </w:r>
      <w:r w:rsidR="005D4B5B">
        <w:rPr>
          <w:rFonts w:eastAsia="ヒラギノ角ゴ Pro W3"/>
          <w:color w:val="000000"/>
          <w:lang w:eastAsia="en-US"/>
        </w:rPr>
        <w:t>Tariff 11 is the primary residential tariff.</w:t>
      </w:r>
    </w:p>
    <w:p w:rsidR="000F08B4" w:rsidRDefault="000F08B4" w:rsidP="00B9389A">
      <w:pPr>
        <w:jc w:val="both"/>
        <w:rPr>
          <w:rFonts w:eastAsia="ヒラギノ角ゴ Pro W3"/>
          <w:color w:val="000000"/>
          <w:lang w:eastAsia="en-US"/>
        </w:rPr>
      </w:pPr>
      <w:r>
        <w:rPr>
          <w:rFonts w:eastAsia="ヒラギノ角ゴ Pro W3"/>
          <w:color w:val="000000"/>
          <w:lang w:eastAsia="en-US"/>
        </w:rPr>
        <w:t xml:space="preserve">It should be noted that over this period </w:t>
      </w:r>
      <w:r w:rsidR="00F1700A">
        <w:rPr>
          <w:rFonts w:eastAsia="ヒラギノ角ゴ Pro W3"/>
          <w:color w:val="000000"/>
          <w:lang w:eastAsia="en-US"/>
        </w:rPr>
        <w:t>T62</w:t>
      </w:r>
      <w:r>
        <w:rPr>
          <w:rFonts w:eastAsia="ヒラギノ角ゴ Pro W3"/>
          <w:color w:val="000000"/>
          <w:lang w:eastAsia="en-US"/>
        </w:rPr>
        <w:t xml:space="preserve">, a popular Tariff for irrigators has increased 82%, while CPI rose just 21%. </w:t>
      </w:r>
    </w:p>
    <w:p w:rsidR="00E10E6A" w:rsidRDefault="00E10E6A" w:rsidP="00B9389A">
      <w:pPr>
        <w:jc w:val="both"/>
        <w:rPr>
          <w:rFonts w:eastAsia="ヒラギノ角ゴ Pro W3"/>
          <w:color w:val="000000"/>
          <w:lang w:eastAsia="en-US"/>
        </w:rPr>
      </w:pPr>
    </w:p>
    <w:p w:rsidR="00E10E6A" w:rsidRPr="00E10E6A" w:rsidRDefault="00E10E6A" w:rsidP="00B9389A">
      <w:pPr>
        <w:jc w:val="both"/>
        <w:rPr>
          <w:rFonts w:eastAsia="ヒラギノ角ゴ Pro W3"/>
          <w:b/>
          <w:color w:val="000000"/>
          <w:lang w:eastAsia="en-US"/>
        </w:rPr>
      </w:pPr>
      <w:r>
        <w:rPr>
          <w:rFonts w:eastAsia="ヒラギノ角ゴ Pro W3"/>
          <w:b/>
          <w:color w:val="000000"/>
          <w:lang w:eastAsia="en-US"/>
        </w:rPr>
        <w:t>Figure 2 – Tariff Increase vs Inflation</w:t>
      </w:r>
    </w:p>
    <w:p w:rsidR="00E10E6A" w:rsidRDefault="00E10E6A" w:rsidP="00B9389A">
      <w:pPr>
        <w:jc w:val="both"/>
        <w:rPr>
          <w:rFonts w:eastAsia="ヒラギノ角ゴ Pro W3"/>
          <w:color w:val="000000"/>
          <w:lang w:eastAsia="en-US"/>
        </w:rPr>
      </w:pPr>
    </w:p>
    <w:p w:rsidR="000F08B4" w:rsidRDefault="000F08B4" w:rsidP="00B9389A">
      <w:pPr>
        <w:jc w:val="both"/>
        <w:rPr>
          <w:rFonts w:eastAsia="ヒラギノ角ゴ Pro W3"/>
          <w:color w:val="000000"/>
          <w:lang w:eastAsia="en-US"/>
        </w:rPr>
      </w:pPr>
      <w:r>
        <w:rPr>
          <w:noProof/>
        </w:rPr>
        <w:drawing>
          <wp:inline distT="0" distB="0" distL="0" distR="0" wp14:anchorId="44A64C89" wp14:editId="48921B49">
            <wp:extent cx="4895850" cy="3186112"/>
            <wp:effectExtent l="0" t="0" r="19050" b="14605"/>
            <wp:docPr id="2" name="Chart 2" title="Tariff 62 &amp; Tariff 11 Increases vs CPI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08B4" w:rsidRDefault="000F08B4" w:rsidP="00B9389A">
      <w:pPr>
        <w:jc w:val="both"/>
        <w:rPr>
          <w:rFonts w:eastAsia="ヒラギノ角ゴ Pro W3"/>
          <w:color w:val="000000"/>
          <w:lang w:eastAsia="en-US"/>
        </w:rPr>
      </w:pPr>
      <w:r>
        <w:rPr>
          <w:rStyle w:val="FootnoteReference"/>
          <w:rFonts w:eastAsia="ヒラギノ角ゴ Pro W3"/>
          <w:color w:val="000000"/>
          <w:lang w:eastAsia="en-US"/>
        </w:rPr>
        <w:footnoteReference w:id="2"/>
      </w:r>
    </w:p>
    <w:p w:rsidR="000F08B4" w:rsidRDefault="000F08B4" w:rsidP="00B9389A">
      <w:pPr>
        <w:jc w:val="both"/>
        <w:rPr>
          <w:rFonts w:eastAsia="ヒラギノ角ゴ Pro W3"/>
          <w:color w:val="000000"/>
          <w:lang w:eastAsia="en-US"/>
        </w:rPr>
      </w:pPr>
    </w:p>
    <w:p w:rsidR="00C80839" w:rsidRDefault="006C1D57" w:rsidP="00B9389A">
      <w:pPr>
        <w:jc w:val="both"/>
        <w:rPr>
          <w:rFonts w:eastAsia="ヒラギノ角ゴ Pro W3"/>
          <w:color w:val="000000"/>
          <w:lang w:eastAsia="en-US"/>
        </w:rPr>
      </w:pPr>
      <w:r w:rsidRPr="006C1D57">
        <w:rPr>
          <w:rFonts w:eastAsia="ヒラギノ角ゴ Pro W3"/>
          <w:color w:val="000000"/>
          <w:lang w:eastAsia="en-US"/>
        </w:rPr>
        <w:t>It is because of these massive changes</w:t>
      </w:r>
      <w:r w:rsidR="00F1700A">
        <w:rPr>
          <w:rFonts w:eastAsia="ヒラギノ角ゴ Pro W3"/>
          <w:color w:val="000000"/>
          <w:lang w:eastAsia="en-US"/>
        </w:rPr>
        <w:t xml:space="preserve"> and the implications of electricity pricing on our growers</w:t>
      </w:r>
      <w:r>
        <w:rPr>
          <w:rFonts w:eastAsia="ヒラギノ角ゴ Pro W3"/>
          <w:color w:val="000000"/>
          <w:lang w:eastAsia="en-US"/>
        </w:rPr>
        <w:t>, that electricity pricing has become a major policy priority for Cotton Australia over the past 5 years.</w:t>
      </w:r>
    </w:p>
    <w:p w:rsidR="006C1D57" w:rsidRDefault="006C1D57" w:rsidP="00B9389A">
      <w:pPr>
        <w:jc w:val="both"/>
        <w:rPr>
          <w:rFonts w:eastAsia="ヒラギノ角ゴ Pro W3"/>
          <w:color w:val="000000"/>
          <w:lang w:eastAsia="en-US"/>
        </w:rPr>
      </w:pPr>
    </w:p>
    <w:p w:rsidR="006C1D57" w:rsidRDefault="006C1D57" w:rsidP="00B9389A">
      <w:pPr>
        <w:jc w:val="both"/>
        <w:rPr>
          <w:rFonts w:eastAsia="ヒラギノ角ゴ Pro W3"/>
          <w:color w:val="000000"/>
          <w:lang w:eastAsia="en-US"/>
        </w:rPr>
      </w:pPr>
      <w:r>
        <w:rPr>
          <w:rFonts w:eastAsia="ヒラギノ角ゴ Pro W3"/>
          <w:color w:val="000000"/>
          <w:lang w:eastAsia="en-US"/>
        </w:rPr>
        <w:t xml:space="preserve">Cotton Australia has actively engaged in </w:t>
      </w:r>
      <w:r w:rsidR="00F1700A">
        <w:rPr>
          <w:rFonts w:eastAsia="ヒラギノ角ゴ Pro W3"/>
          <w:color w:val="000000"/>
          <w:lang w:eastAsia="en-US"/>
        </w:rPr>
        <w:t xml:space="preserve">the </w:t>
      </w:r>
      <w:r>
        <w:rPr>
          <w:rFonts w:eastAsia="ヒラギノ角ゴ Pro W3"/>
          <w:color w:val="000000"/>
          <w:lang w:eastAsia="en-US"/>
        </w:rPr>
        <w:t>Queensland Competition Authority</w:t>
      </w:r>
      <w:r w:rsidR="008B044E">
        <w:rPr>
          <w:rFonts w:eastAsia="ヒラギノ角ゴ Pro W3"/>
          <w:color w:val="000000"/>
          <w:lang w:eastAsia="en-US"/>
        </w:rPr>
        <w:t xml:space="preserve"> (QCA)</w:t>
      </w:r>
      <w:r>
        <w:rPr>
          <w:rFonts w:eastAsia="ヒラギノ角ゴ Pro W3"/>
          <w:color w:val="000000"/>
          <w:lang w:eastAsia="en-US"/>
        </w:rPr>
        <w:t xml:space="preserve"> Retail Electricity Price Determinations for a number of years, has</w:t>
      </w:r>
      <w:r w:rsidR="00F1700A">
        <w:rPr>
          <w:rFonts w:eastAsia="ヒラギノ角ゴ Pro W3"/>
          <w:color w:val="000000"/>
          <w:lang w:eastAsia="en-US"/>
        </w:rPr>
        <w:t xml:space="preserve"> lodged submissions</w:t>
      </w:r>
      <w:r>
        <w:rPr>
          <w:rFonts w:eastAsia="ヒラギノ角ゴ Pro W3"/>
          <w:color w:val="000000"/>
          <w:lang w:eastAsia="en-US"/>
        </w:rPr>
        <w:t xml:space="preserve"> to the current AER regulatory determination for Essential Energy in NSW, is participating in the current Senate Inquiry into Network Charges, </w:t>
      </w:r>
      <w:r w:rsidR="00F1700A">
        <w:rPr>
          <w:rFonts w:eastAsia="ヒラギノ角ゴ Pro W3"/>
          <w:color w:val="000000"/>
          <w:lang w:eastAsia="en-US"/>
        </w:rPr>
        <w:t xml:space="preserve">lodged submissions </w:t>
      </w:r>
      <w:r>
        <w:rPr>
          <w:rFonts w:eastAsia="ヒラギノ角ゴ Pro W3"/>
          <w:color w:val="000000"/>
          <w:lang w:eastAsia="en-US"/>
        </w:rPr>
        <w:t xml:space="preserve">to the recent Australian Government Energy White Paper and </w:t>
      </w:r>
      <w:r w:rsidR="00F1700A">
        <w:rPr>
          <w:rFonts w:eastAsia="ヒラギノ角ゴ Pro W3"/>
          <w:color w:val="000000"/>
          <w:lang w:eastAsia="en-US"/>
        </w:rPr>
        <w:t xml:space="preserve">participated in </w:t>
      </w:r>
      <w:r>
        <w:rPr>
          <w:rFonts w:eastAsia="ヒラギノ角ゴ Pro W3"/>
          <w:color w:val="000000"/>
          <w:lang w:eastAsia="en-US"/>
        </w:rPr>
        <w:t>a number of electricity related processes.</w:t>
      </w:r>
    </w:p>
    <w:p w:rsidR="00B9389A" w:rsidRDefault="00B9389A" w:rsidP="00B9389A">
      <w:pPr>
        <w:jc w:val="both"/>
        <w:rPr>
          <w:rFonts w:eastAsia="ヒラギノ角ゴ Pro W3"/>
          <w:color w:val="000000"/>
          <w:lang w:eastAsia="en-US"/>
        </w:rPr>
      </w:pPr>
    </w:p>
    <w:p w:rsidR="00B9389A" w:rsidRDefault="00B9389A" w:rsidP="00B9389A">
      <w:pPr>
        <w:jc w:val="both"/>
        <w:rPr>
          <w:rFonts w:eastAsia="ヒラギノ角ゴ Pro W3"/>
          <w:color w:val="000000"/>
          <w:lang w:eastAsia="en-US"/>
        </w:rPr>
      </w:pPr>
      <w:r>
        <w:rPr>
          <w:rFonts w:eastAsia="ヒラギノ角ゴ Pro W3"/>
          <w:color w:val="000000"/>
          <w:lang w:eastAsia="en-US"/>
        </w:rPr>
        <w:t>In regards to the current AER Queensland regulatory determination process, Cotton Australia would like to advise the AER that while all of Queensland’s cotton growers operate in the Ergon Network area, the nature of Queensland electricity pricing means that our growers have a very real interest in the efficiency and final determination that is applied to Energex.</w:t>
      </w:r>
    </w:p>
    <w:p w:rsidR="00B9389A" w:rsidRDefault="00B9389A" w:rsidP="00B9389A">
      <w:pPr>
        <w:jc w:val="both"/>
        <w:rPr>
          <w:rFonts w:eastAsia="ヒラギノ角ゴ Pro W3"/>
          <w:color w:val="000000"/>
          <w:lang w:eastAsia="en-US"/>
        </w:rPr>
      </w:pPr>
    </w:p>
    <w:p w:rsidR="00B9389A" w:rsidRDefault="00B9389A" w:rsidP="00B9389A">
      <w:pPr>
        <w:jc w:val="both"/>
        <w:rPr>
          <w:rFonts w:eastAsia="ヒラギノ角ゴ Pro W3"/>
          <w:color w:val="000000"/>
          <w:lang w:eastAsia="en-US"/>
        </w:rPr>
      </w:pPr>
      <w:r>
        <w:rPr>
          <w:rFonts w:eastAsia="ヒラギノ角ゴ Pro W3"/>
          <w:color w:val="000000"/>
          <w:lang w:eastAsia="en-US"/>
        </w:rPr>
        <w:lastRenderedPageBreak/>
        <w:t xml:space="preserve">As noted on </w:t>
      </w:r>
      <w:proofErr w:type="spellStart"/>
      <w:r>
        <w:rPr>
          <w:rFonts w:eastAsia="ヒラギノ角ゴ Pro W3"/>
          <w:color w:val="000000"/>
          <w:lang w:eastAsia="en-US"/>
        </w:rPr>
        <w:t>pg</w:t>
      </w:r>
      <w:proofErr w:type="spellEnd"/>
      <w:r>
        <w:rPr>
          <w:rFonts w:eastAsia="ヒラギノ角ゴ Pro W3"/>
          <w:color w:val="000000"/>
          <w:lang w:eastAsia="en-US"/>
        </w:rPr>
        <w:t xml:space="preserve"> 9 of the AER Issues paper, the majority of Ergon customers pay the same tariffs as Energex customers, although this does not apply to customers whose usage exceeds 100MW/annum.  </w:t>
      </w:r>
    </w:p>
    <w:p w:rsidR="00B9389A" w:rsidRDefault="00B9389A" w:rsidP="00B9389A">
      <w:pPr>
        <w:jc w:val="both"/>
        <w:rPr>
          <w:rFonts w:eastAsia="ヒラギノ角ゴ Pro W3"/>
          <w:color w:val="000000"/>
          <w:lang w:eastAsia="en-US"/>
        </w:rPr>
      </w:pPr>
    </w:p>
    <w:p w:rsidR="00B9389A" w:rsidRDefault="00B9389A" w:rsidP="00B9389A">
      <w:pPr>
        <w:jc w:val="both"/>
        <w:rPr>
          <w:rFonts w:eastAsia="ヒラギノ角ゴ Pro W3"/>
          <w:color w:val="000000"/>
          <w:lang w:eastAsia="en-US"/>
        </w:rPr>
      </w:pPr>
      <w:r>
        <w:rPr>
          <w:rFonts w:eastAsia="ヒラギノ角ゴ Pro W3"/>
          <w:color w:val="000000"/>
          <w:lang w:eastAsia="en-US"/>
        </w:rPr>
        <w:t xml:space="preserve">Therefore Cotton Australia has an interest in ensuring that both Ergon and Energex are as efficient as possible, and deliver significant reductions in network charges during the coming Determination period.  </w:t>
      </w:r>
    </w:p>
    <w:p w:rsidR="00B9389A" w:rsidRDefault="00B9389A" w:rsidP="00B9389A">
      <w:pPr>
        <w:jc w:val="both"/>
        <w:rPr>
          <w:rFonts w:eastAsia="ヒラギノ角ゴ Pro W3"/>
          <w:color w:val="000000"/>
          <w:lang w:eastAsia="en-US"/>
        </w:rPr>
      </w:pPr>
    </w:p>
    <w:p w:rsidR="00B9389A" w:rsidRDefault="00B9389A" w:rsidP="00B9389A">
      <w:pPr>
        <w:jc w:val="both"/>
        <w:rPr>
          <w:rFonts w:eastAsia="ヒラギノ角ゴ Pro W3"/>
          <w:color w:val="000000"/>
          <w:lang w:eastAsia="en-US"/>
        </w:rPr>
      </w:pPr>
      <w:r>
        <w:rPr>
          <w:rFonts w:eastAsia="ヒラギノ角ゴ Pro W3"/>
          <w:color w:val="000000"/>
          <w:lang w:eastAsia="en-US"/>
        </w:rPr>
        <w:t xml:space="preserve">As pointed out earlier, Cotton Australia through various memberships and alliances has had input </w:t>
      </w:r>
      <w:r w:rsidR="009056CA">
        <w:rPr>
          <w:rFonts w:eastAsia="ヒラギノ角ゴ Pro W3"/>
          <w:color w:val="000000"/>
          <w:lang w:eastAsia="en-US"/>
        </w:rPr>
        <w:t xml:space="preserve">into </w:t>
      </w:r>
      <w:r>
        <w:rPr>
          <w:rFonts w:eastAsia="ヒラギノ角ゴ Pro W3"/>
          <w:color w:val="000000"/>
          <w:lang w:eastAsia="en-US"/>
        </w:rPr>
        <w:t xml:space="preserve">numerous submissions made to this stage of the Determination process. Some of these submissions contain a reasonably high level of </w:t>
      </w:r>
      <w:r w:rsidR="00782E06">
        <w:rPr>
          <w:rFonts w:eastAsia="ヒラギノ角ゴ Pro W3"/>
          <w:color w:val="000000"/>
          <w:lang w:eastAsia="en-US"/>
        </w:rPr>
        <w:t>detail</w:t>
      </w:r>
      <w:r w:rsidR="00F1700A">
        <w:rPr>
          <w:rFonts w:eastAsia="ヒラギノ角ゴ Pro W3"/>
          <w:color w:val="000000"/>
          <w:lang w:eastAsia="en-US"/>
        </w:rPr>
        <w:t>. As such,</w:t>
      </w:r>
      <w:r w:rsidR="009056CA">
        <w:rPr>
          <w:rFonts w:eastAsia="ヒラギノ角ゴ Pro W3"/>
          <w:color w:val="000000"/>
          <w:lang w:eastAsia="en-US"/>
        </w:rPr>
        <w:t xml:space="preserve"> it is not the intention of Cotton Australia to provide </w:t>
      </w:r>
      <w:r w:rsidR="00F1700A">
        <w:rPr>
          <w:rFonts w:eastAsia="ヒラギノ角ゴ Pro W3"/>
          <w:color w:val="000000"/>
          <w:lang w:eastAsia="en-US"/>
        </w:rPr>
        <w:t>detailed commentary</w:t>
      </w:r>
      <w:r w:rsidR="009056CA">
        <w:rPr>
          <w:rFonts w:eastAsia="ヒラギノ角ゴ Pro W3"/>
          <w:color w:val="000000"/>
          <w:lang w:eastAsia="en-US"/>
        </w:rPr>
        <w:t xml:space="preserve"> on both the Ergon and Energex proposals.</w:t>
      </w:r>
      <w:r>
        <w:rPr>
          <w:rFonts w:eastAsia="ヒラギノ角ゴ Pro W3"/>
          <w:color w:val="000000"/>
          <w:lang w:eastAsia="en-US"/>
        </w:rPr>
        <w:t xml:space="preserve"> </w:t>
      </w:r>
    </w:p>
    <w:p w:rsidR="007A22E2" w:rsidRDefault="007A22E2" w:rsidP="00B9389A">
      <w:pPr>
        <w:jc w:val="both"/>
        <w:rPr>
          <w:rFonts w:eastAsia="ヒラギノ角ゴ Pro W3"/>
          <w:color w:val="000000"/>
          <w:lang w:eastAsia="en-US"/>
        </w:rPr>
      </w:pPr>
    </w:p>
    <w:p w:rsidR="007A22E2" w:rsidRDefault="007A22E2" w:rsidP="00B9389A">
      <w:pPr>
        <w:jc w:val="both"/>
        <w:rPr>
          <w:rFonts w:eastAsia="ヒラギノ角ゴ Pro W3"/>
          <w:color w:val="000000"/>
          <w:lang w:eastAsia="en-US"/>
        </w:rPr>
      </w:pPr>
      <w:r>
        <w:rPr>
          <w:rFonts w:eastAsia="ヒラギノ角ゴ Pro W3"/>
          <w:color w:val="000000"/>
          <w:lang w:eastAsia="en-US"/>
        </w:rPr>
        <w:t>Cotton Australia would like to acknowledge the AER on its efforts to-date with this Determination to consult with stakeholders, and in particular would like to congratulate it on the formation and funding of the Consumer Challenge Panel</w:t>
      </w:r>
      <w:r w:rsidR="000F08B4">
        <w:rPr>
          <w:rFonts w:eastAsia="ヒラギノ角ゴ Pro W3"/>
          <w:color w:val="000000"/>
          <w:lang w:eastAsia="en-US"/>
        </w:rPr>
        <w:t xml:space="preserve"> (CCP)</w:t>
      </w:r>
      <w:r>
        <w:rPr>
          <w:rFonts w:eastAsia="ヒラギノ角ゴ Pro W3"/>
          <w:color w:val="000000"/>
          <w:lang w:eastAsia="en-US"/>
        </w:rPr>
        <w:t>.</w:t>
      </w:r>
    </w:p>
    <w:p w:rsidR="000F08B4" w:rsidRDefault="000F08B4" w:rsidP="00B9389A">
      <w:pPr>
        <w:jc w:val="both"/>
        <w:rPr>
          <w:rFonts w:eastAsia="ヒラギノ角ゴ Pro W3"/>
          <w:color w:val="000000"/>
          <w:lang w:eastAsia="en-US"/>
        </w:rPr>
      </w:pPr>
    </w:p>
    <w:p w:rsidR="009101EE" w:rsidRDefault="000F08B4" w:rsidP="00B9389A">
      <w:pPr>
        <w:jc w:val="both"/>
        <w:rPr>
          <w:rFonts w:eastAsia="ヒラギノ角ゴ Pro W3"/>
          <w:color w:val="000000"/>
          <w:lang w:eastAsia="en-US"/>
        </w:rPr>
      </w:pPr>
      <w:r>
        <w:rPr>
          <w:rFonts w:eastAsia="ヒラギノ角ゴ Pro W3"/>
          <w:color w:val="000000"/>
          <w:lang w:eastAsia="en-US"/>
        </w:rPr>
        <w:t xml:space="preserve">The CCP represents a significant step forward. Organisations such as Cotton Australia have limited resources and do not have the time or the technical </w:t>
      </w:r>
      <w:r w:rsidR="009101EE">
        <w:rPr>
          <w:rFonts w:eastAsia="ヒラギノ角ゴ Pro W3"/>
          <w:color w:val="000000"/>
          <w:lang w:eastAsia="en-US"/>
        </w:rPr>
        <w:t>expertise to delve deeply into much of the data that the Networks provide the AER, and certainly cannot compete in terms of the dollars the network companies spend in preparing their submissions. The CCP provides an opportunity to address that imbalance to some degree.</w:t>
      </w:r>
    </w:p>
    <w:p w:rsidR="009101EE" w:rsidRDefault="009101EE" w:rsidP="00B9389A">
      <w:pPr>
        <w:jc w:val="both"/>
        <w:rPr>
          <w:rFonts w:eastAsia="ヒラギノ角ゴ Pro W3"/>
          <w:color w:val="000000"/>
          <w:lang w:eastAsia="en-US"/>
        </w:rPr>
      </w:pPr>
    </w:p>
    <w:p w:rsidR="009101EE" w:rsidRDefault="00E10E6A" w:rsidP="00B9389A">
      <w:pPr>
        <w:jc w:val="both"/>
        <w:rPr>
          <w:rFonts w:eastAsia="ヒラギノ角ゴ Pro W3"/>
          <w:color w:val="000000"/>
          <w:lang w:eastAsia="en-US"/>
        </w:rPr>
      </w:pPr>
      <w:r>
        <w:rPr>
          <w:rFonts w:eastAsia="ヒラギノ角ゴ Pro W3"/>
          <w:color w:val="000000"/>
          <w:lang w:eastAsia="en-US"/>
        </w:rPr>
        <w:t>H</w:t>
      </w:r>
      <w:r w:rsidR="009101EE">
        <w:rPr>
          <w:rFonts w:eastAsia="ヒラギノ角ゴ Pro W3"/>
          <w:color w:val="000000"/>
          <w:lang w:eastAsia="en-US"/>
        </w:rPr>
        <w:t>owever, it is also critically important that the AER is resourced in a manner that allows it to test many of the claims made by the network companies.</w:t>
      </w:r>
    </w:p>
    <w:p w:rsidR="009101EE" w:rsidRDefault="009101EE" w:rsidP="00B9389A">
      <w:pPr>
        <w:jc w:val="both"/>
        <w:rPr>
          <w:rFonts w:eastAsia="ヒラギノ角ゴ Pro W3"/>
          <w:color w:val="000000"/>
          <w:lang w:eastAsia="en-US"/>
        </w:rPr>
      </w:pPr>
    </w:p>
    <w:p w:rsidR="00782E06" w:rsidRDefault="009101EE" w:rsidP="00B9389A">
      <w:pPr>
        <w:jc w:val="both"/>
        <w:rPr>
          <w:rFonts w:eastAsia="ヒラギノ角ゴ Pro W3"/>
          <w:color w:val="000000"/>
          <w:lang w:eastAsia="en-US"/>
        </w:rPr>
      </w:pPr>
      <w:r>
        <w:rPr>
          <w:rFonts w:eastAsia="ヒラギノ角ゴ Pro W3"/>
          <w:color w:val="000000"/>
          <w:lang w:eastAsia="en-US"/>
        </w:rPr>
        <w:t>The history of recent Determinations is that they have all accepted inflated growth in demand figures, and this to a large part has been responsible for high levels of capital expenditure. We, and the community at large, ha</w:t>
      </w:r>
      <w:r w:rsidR="00666F1F">
        <w:rPr>
          <w:rFonts w:eastAsia="ヒラギノ角ゴ Pro W3"/>
          <w:color w:val="000000"/>
          <w:lang w:eastAsia="en-US"/>
        </w:rPr>
        <w:t>ve</w:t>
      </w:r>
      <w:r>
        <w:rPr>
          <w:rFonts w:eastAsia="ヒラギノ角ゴ Pro W3"/>
          <w:color w:val="000000"/>
          <w:lang w:eastAsia="en-US"/>
        </w:rPr>
        <w:t xml:space="preserve"> very justifiable concerns about the “gold-plating” of assets, and we must have confidence that the AER has the technical ability and </w:t>
      </w:r>
      <w:r w:rsidR="00F1700A">
        <w:rPr>
          <w:rFonts w:eastAsia="ヒラギノ角ゴ Pro W3"/>
          <w:color w:val="000000"/>
          <w:lang w:eastAsia="en-US"/>
        </w:rPr>
        <w:t>commitment to</w:t>
      </w:r>
      <w:r>
        <w:rPr>
          <w:rFonts w:eastAsia="ヒラギノ角ゴ Pro W3"/>
          <w:color w:val="000000"/>
          <w:lang w:eastAsia="en-US"/>
        </w:rPr>
        <w:t xml:space="preserve"> properly determine what is prudent and efficient expenditure.</w:t>
      </w:r>
    </w:p>
    <w:p w:rsidR="00666F1F" w:rsidRDefault="00666F1F" w:rsidP="00B9389A">
      <w:pPr>
        <w:jc w:val="both"/>
        <w:rPr>
          <w:rFonts w:eastAsia="ヒラギノ角ゴ Pro W3"/>
          <w:color w:val="000000"/>
          <w:lang w:eastAsia="en-US"/>
        </w:rPr>
      </w:pPr>
    </w:p>
    <w:p w:rsidR="00BD4050" w:rsidRDefault="001E3CA6" w:rsidP="00B9389A">
      <w:pPr>
        <w:jc w:val="both"/>
        <w:rPr>
          <w:rFonts w:eastAsia="ヒラギノ角ゴ Pro W3"/>
          <w:b/>
          <w:color w:val="000000"/>
          <w:lang w:eastAsia="en-US"/>
        </w:rPr>
      </w:pPr>
      <w:r w:rsidRPr="001E3CA6">
        <w:rPr>
          <w:rFonts w:eastAsia="ヒラギノ角ゴ Pro W3"/>
          <w:b/>
          <w:color w:val="000000"/>
          <w:lang w:eastAsia="en-US"/>
        </w:rPr>
        <w:t>Specific Comments</w:t>
      </w:r>
    </w:p>
    <w:p w:rsidR="001E3CA6" w:rsidRDefault="001E3CA6" w:rsidP="00B9389A">
      <w:pPr>
        <w:jc w:val="both"/>
        <w:rPr>
          <w:rFonts w:eastAsia="ヒラギノ角ゴ Pro W3"/>
          <w:b/>
          <w:color w:val="000000"/>
          <w:lang w:eastAsia="en-US"/>
        </w:rPr>
      </w:pPr>
    </w:p>
    <w:p w:rsidR="001E3CA6" w:rsidRDefault="001E3CA6" w:rsidP="00B9389A">
      <w:pPr>
        <w:jc w:val="both"/>
        <w:rPr>
          <w:rFonts w:eastAsia="ヒラギノ角ゴ Pro W3"/>
          <w:b/>
          <w:i/>
          <w:color w:val="000000"/>
          <w:lang w:eastAsia="en-US"/>
        </w:rPr>
      </w:pPr>
      <w:r>
        <w:rPr>
          <w:rFonts w:eastAsia="ヒラギノ角ゴ Pro W3"/>
          <w:b/>
          <w:i/>
          <w:color w:val="000000"/>
          <w:lang w:eastAsia="en-US"/>
        </w:rPr>
        <w:t>Capital Expenditure</w:t>
      </w:r>
    </w:p>
    <w:p w:rsidR="001E3CA6" w:rsidRDefault="001E3CA6" w:rsidP="00B9389A">
      <w:pPr>
        <w:jc w:val="both"/>
        <w:rPr>
          <w:rFonts w:eastAsia="ヒラギノ角ゴ Pro W3"/>
          <w:b/>
          <w:i/>
          <w:color w:val="000000"/>
          <w:lang w:eastAsia="en-US"/>
        </w:rPr>
      </w:pPr>
    </w:p>
    <w:p w:rsidR="001E3CA6" w:rsidRDefault="001E3CA6" w:rsidP="00B9389A">
      <w:pPr>
        <w:jc w:val="both"/>
        <w:rPr>
          <w:rFonts w:eastAsia="ヒラギノ角ゴ Pro W3"/>
          <w:color w:val="000000"/>
          <w:lang w:eastAsia="en-US"/>
        </w:rPr>
      </w:pPr>
      <w:r>
        <w:rPr>
          <w:rFonts w:eastAsia="ヒラギノ角ゴ Pro W3"/>
          <w:color w:val="000000"/>
          <w:lang w:eastAsia="en-US"/>
        </w:rPr>
        <w:t>Cotton Australia notes that both Ergon and Energex are proposing modest reductions in capital expenditure during this regulatory period, 18% and 33% respectively.</w:t>
      </w:r>
    </w:p>
    <w:p w:rsidR="001E3CA6" w:rsidRDefault="001E3CA6" w:rsidP="00B9389A">
      <w:pPr>
        <w:jc w:val="both"/>
        <w:rPr>
          <w:rFonts w:eastAsia="ヒラギノ角ゴ Pro W3"/>
          <w:color w:val="000000"/>
          <w:lang w:eastAsia="en-US"/>
        </w:rPr>
      </w:pPr>
    </w:p>
    <w:p w:rsidR="001E3CA6" w:rsidRDefault="001E3CA6" w:rsidP="00B9389A">
      <w:pPr>
        <w:jc w:val="both"/>
        <w:rPr>
          <w:rFonts w:eastAsia="ヒラギノ角ゴ Pro W3"/>
          <w:color w:val="000000"/>
          <w:lang w:eastAsia="en-US"/>
        </w:rPr>
      </w:pPr>
      <w:r>
        <w:rPr>
          <w:rFonts w:eastAsia="ヒラギノ角ゴ Pro W3"/>
          <w:color w:val="000000"/>
          <w:lang w:eastAsia="en-US"/>
        </w:rPr>
        <w:t xml:space="preserve">However, this must be viewed with regards to the very high levels of </w:t>
      </w:r>
      <w:r w:rsidR="00A74A01">
        <w:rPr>
          <w:rFonts w:eastAsia="ヒラギノ角ゴ Pro W3"/>
          <w:color w:val="000000"/>
          <w:lang w:eastAsia="en-US"/>
        </w:rPr>
        <w:t>CAPEX</w:t>
      </w:r>
      <w:r>
        <w:rPr>
          <w:rFonts w:eastAsia="ヒラギノ角ゴ Pro W3"/>
          <w:color w:val="000000"/>
          <w:lang w:eastAsia="en-US"/>
        </w:rPr>
        <w:t xml:space="preserve"> that have been allowed over the past few Determinations.</w:t>
      </w:r>
    </w:p>
    <w:p w:rsidR="001E3CA6" w:rsidRDefault="001E3CA6" w:rsidP="00B9389A">
      <w:pPr>
        <w:jc w:val="both"/>
        <w:rPr>
          <w:rFonts w:eastAsia="ヒラギノ角ゴ Pro W3"/>
          <w:color w:val="000000"/>
          <w:lang w:eastAsia="en-US"/>
        </w:rPr>
      </w:pPr>
    </w:p>
    <w:p w:rsidR="001E3CA6" w:rsidRDefault="001E3CA6" w:rsidP="00B9389A">
      <w:pPr>
        <w:jc w:val="both"/>
        <w:rPr>
          <w:rFonts w:eastAsia="ヒラギノ角ゴ Pro W3"/>
          <w:color w:val="000000"/>
          <w:lang w:eastAsia="en-US"/>
        </w:rPr>
      </w:pPr>
      <w:r>
        <w:rPr>
          <w:rFonts w:eastAsia="ヒラギノ角ゴ Pro W3"/>
          <w:color w:val="000000"/>
          <w:lang w:eastAsia="en-US"/>
        </w:rPr>
        <w:t xml:space="preserve">Increases in required reliability standards, and unfulfilled optimistic peak demand forecasts fuelled high levels of </w:t>
      </w:r>
      <w:r w:rsidR="00A74A01">
        <w:rPr>
          <w:rFonts w:eastAsia="ヒラギノ角ゴ Pro W3"/>
          <w:color w:val="000000"/>
          <w:lang w:eastAsia="en-US"/>
        </w:rPr>
        <w:t>CAPEX</w:t>
      </w:r>
      <w:r>
        <w:rPr>
          <w:rFonts w:eastAsia="ヒラギノ角ゴ Pro W3"/>
          <w:color w:val="000000"/>
          <w:lang w:eastAsia="en-US"/>
        </w:rPr>
        <w:t xml:space="preserve">. Not only is there a compelling case for significant reductions in </w:t>
      </w:r>
      <w:r w:rsidR="00A74A01">
        <w:rPr>
          <w:rFonts w:eastAsia="ヒラギノ角ゴ Pro W3"/>
          <w:color w:val="000000"/>
          <w:lang w:eastAsia="en-US"/>
        </w:rPr>
        <w:t>CAPEX</w:t>
      </w:r>
      <w:r>
        <w:rPr>
          <w:rFonts w:eastAsia="ヒラギノ角ゴ Pro W3"/>
          <w:color w:val="000000"/>
          <w:lang w:eastAsia="en-US"/>
        </w:rPr>
        <w:t>, but it also must be realised that this massive historical over-expenditure now forms part of the RAB, and contributes significantly to higher prices.</w:t>
      </w:r>
    </w:p>
    <w:p w:rsidR="001E3CA6" w:rsidRDefault="001E3CA6" w:rsidP="00B9389A">
      <w:pPr>
        <w:jc w:val="both"/>
        <w:rPr>
          <w:rFonts w:eastAsia="ヒラギノ角ゴ Pro W3"/>
          <w:color w:val="000000"/>
          <w:lang w:eastAsia="en-US"/>
        </w:rPr>
      </w:pPr>
    </w:p>
    <w:p w:rsidR="001E3CA6" w:rsidRDefault="001E3CA6" w:rsidP="005A65DB">
      <w:pPr>
        <w:jc w:val="both"/>
        <w:rPr>
          <w:rFonts w:eastAsia="ヒラギノ角ゴ Pro W3"/>
          <w:color w:val="000000"/>
          <w:lang w:eastAsia="en-US"/>
        </w:rPr>
      </w:pPr>
      <w:r>
        <w:rPr>
          <w:rFonts w:eastAsia="ヒラギノ角ゴ Pro W3"/>
          <w:color w:val="000000"/>
          <w:lang w:eastAsia="en-US"/>
        </w:rPr>
        <w:t>Cotton Australia acknowledges that in some areas Ergon still has Peak Demand issues, but overall as demonstrated in the following graph</w:t>
      </w:r>
      <w:r w:rsidR="005755DF">
        <w:rPr>
          <w:rFonts w:eastAsia="ヒラギノ角ゴ Pro W3"/>
          <w:color w:val="000000"/>
          <w:lang w:eastAsia="en-US"/>
        </w:rPr>
        <w:t>s</w:t>
      </w:r>
      <w:r>
        <w:rPr>
          <w:rFonts w:eastAsia="ヒラギノ角ゴ Pro W3"/>
          <w:color w:val="000000"/>
          <w:lang w:eastAsia="en-US"/>
        </w:rPr>
        <w:t xml:space="preserve"> system utilisation is falling. </w:t>
      </w:r>
    </w:p>
    <w:p w:rsidR="001E3CA6" w:rsidRDefault="001E3CA6" w:rsidP="005A65DB">
      <w:pPr>
        <w:jc w:val="both"/>
        <w:rPr>
          <w:rFonts w:eastAsia="ヒラギノ角ゴ Pro W3"/>
          <w:color w:val="000000"/>
          <w:lang w:eastAsia="en-US"/>
        </w:rPr>
      </w:pPr>
    </w:p>
    <w:p w:rsidR="001E3CA6" w:rsidRPr="005755DF" w:rsidRDefault="001E3CA6" w:rsidP="005A65DB">
      <w:pPr>
        <w:jc w:val="both"/>
        <w:rPr>
          <w:rFonts w:eastAsia="ヒラギノ角ゴ Pro W3"/>
          <w:b/>
          <w:color w:val="000000"/>
          <w:lang w:eastAsia="en-US"/>
        </w:rPr>
      </w:pPr>
      <w:r>
        <w:rPr>
          <w:rFonts w:eastAsia="ヒラギノ角ゴ Pro W3"/>
          <w:color w:val="000000"/>
          <w:lang w:eastAsia="en-US"/>
        </w:rPr>
        <w:t xml:space="preserve"> </w:t>
      </w:r>
      <w:r w:rsidR="00C94F20">
        <w:rPr>
          <w:rFonts w:eastAsia="ヒラギノ角ゴ Pro W3"/>
          <w:b/>
          <w:color w:val="000000"/>
          <w:lang w:eastAsia="en-US"/>
        </w:rPr>
        <w:t xml:space="preserve">Figures </w:t>
      </w:r>
      <w:r w:rsidR="005755DF">
        <w:rPr>
          <w:rFonts w:eastAsia="ヒラギノ角ゴ Pro W3"/>
          <w:b/>
          <w:color w:val="000000"/>
          <w:lang w:eastAsia="en-US"/>
        </w:rPr>
        <w:t>3 &amp; 4 – System Utilisation</w:t>
      </w:r>
    </w:p>
    <w:p w:rsidR="001E3CA6" w:rsidRDefault="005101C4" w:rsidP="005A65DB">
      <w:pPr>
        <w:jc w:val="both"/>
        <w:rPr>
          <w:rFonts w:eastAsia="ヒラギノ角ゴ Pro W3"/>
          <w:color w:val="000000"/>
          <w:lang w:eastAsia="en-US"/>
        </w:rPr>
      </w:pPr>
      <w:r>
        <w:rPr>
          <w:rFonts w:eastAsia="ヒラギノ角ゴ Pro W3"/>
          <w:noProof/>
          <w:color w:val="000000"/>
        </w:rPr>
        <w:pict w14:anchorId="03046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6" type="#_x0000_t75" style="position:absolute;left:0;text-align:left;margin-left:48.75pt;margin-top:9.55pt;width:338.05pt;height:246.75pt;z-index:251658240;visibility:visible">
            <v:imagedata r:id="rId11" o:title=""/>
          </v:shape>
          <o:OLEObject Type="Embed" ProgID="Excel.Sheet.12" ShapeID="Object 5" DrawAspect="Content" ObjectID="_1484649116" r:id="rId12"/>
        </w:pict>
      </w:r>
    </w:p>
    <w:p w:rsidR="005755DF" w:rsidRDefault="005755DF" w:rsidP="005A65DB">
      <w:pPr>
        <w:jc w:val="both"/>
        <w:rPr>
          <w:rFonts w:eastAsia="ヒラギノ角ゴ Pro W3"/>
          <w:color w:val="000000"/>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Pr="005755DF" w:rsidRDefault="005755DF" w:rsidP="005A65DB">
      <w:pPr>
        <w:jc w:val="both"/>
        <w:rPr>
          <w:rFonts w:eastAsia="ヒラギノ角ゴ Pro W3"/>
          <w:lang w:eastAsia="en-US"/>
        </w:rPr>
      </w:pPr>
    </w:p>
    <w:p w:rsidR="005755DF" w:rsidRDefault="005755DF" w:rsidP="005A65DB">
      <w:pPr>
        <w:jc w:val="both"/>
        <w:rPr>
          <w:rFonts w:eastAsia="ヒラギノ角ゴ Pro W3"/>
          <w:lang w:eastAsia="en-US"/>
        </w:rPr>
      </w:pPr>
    </w:p>
    <w:p w:rsidR="005755DF" w:rsidRDefault="005755DF" w:rsidP="005A65DB">
      <w:pPr>
        <w:jc w:val="both"/>
        <w:rPr>
          <w:rFonts w:eastAsia="ヒラギノ角ゴ Pro W3"/>
          <w:lang w:eastAsia="en-US"/>
        </w:rPr>
      </w:pPr>
    </w:p>
    <w:p w:rsidR="001E3CA6" w:rsidRDefault="005755DF" w:rsidP="005A65DB">
      <w:pPr>
        <w:tabs>
          <w:tab w:val="left" w:pos="1365"/>
        </w:tabs>
        <w:jc w:val="both"/>
        <w:rPr>
          <w:rFonts w:eastAsia="ヒラギノ角ゴ Pro W3"/>
          <w:lang w:eastAsia="en-US"/>
        </w:rPr>
      </w:pPr>
      <w:r>
        <w:rPr>
          <w:rFonts w:eastAsia="ヒラギノ角ゴ Pro W3"/>
          <w:lang w:eastAsia="en-US"/>
        </w:rPr>
        <w:tab/>
      </w:r>
      <w:r w:rsidRPr="005755DF">
        <w:rPr>
          <w:rFonts w:eastAsia="ヒラギノ角ゴ Pro W3"/>
          <w:noProof/>
        </w:rPr>
        <w:drawing>
          <wp:inline distT="0" distB="0" distL="0" distR="0" wp14:anchorId="7463227F" wp14:editId="1A2F4A71">
            <wp:extent cx="4152900" cy="25050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Style w:val="FootnoteReference"/>
          <w:rFonts w:eastAsia="ヒラギノ角ゴ Pro W3"/>
          <w:lang w:eastAsia="en-US"/>
        </w:rPr>
        <w:footnoteReference w:id="3"/>
      </w:r>
    </w:p>
    <w:p w:rsidR="005755DF" w:rsidRDefault="005755DF" w:rsidP="005A65DB">
      <w:pPr>
        <w:tabs>
          <w:tab w:val="left" w:pos="1365"/>
        </w:tabs>
        <w:jc w:val="both"/>
        <w:rPr>
          <w:rFonts w:eastAsia="ヒラギノ角ゴ Pro W3"/>
          <w:lang w:eastAsia="en-US"/>
        </w:rPr>
      </w:pPr>
    </w:p>
    <w:p w:rsidR="005755DF" w:rsidRDefault="005755DF" w:rsidP="005A65DB">
      <w:pPr>
        <w:tabs>
          <w:tab w:val="left" w:pos="1365"/>
        </w:tabs>
        <w:jc w:val="both"/>
        <w:rPr>
          <w:rFonts w:eastAsia="ヒラギノ角ゴ Pro W3"/>
          <w:lang w:eastAsia="en-US"/>
        </w:rPr>
      </w:pPr>
      <w:r>
        <w:rPr>
          <w:rFonts w:eastAsia="ヒラギノ角ゴ Pro W3"/>
          <w:lang w:eastAsia="en-US"/>
        </w:rPr>
        <w:t>So while Ergon may be able to make a case for further augmentation in very specific areas, there is no wholesale need for further augmentation. Where augmentation maybe justified, Cotton Australia strongly believes that AER must test Ergon and Energex claims, and ensure that alternative solutions such as Demand Management programs or local peaking generation options have been fully considered.</w:t>
      </w:r>
    </w:p>
    <w:p w:rsidR="005755DF" w:rsidRDefault="005755DF" w:rsidP="005A65DB">
      <w:pPr>
        <w:tabs>
          <w:tab w:val="left" w:pos="1365"/>
        </w:tabs>
        <w:jc w:val="both"/>
        <w:rPr>
          <w:rFonts w:eastAsia="ヒラギノ角ゴ Pro W3"/>
          <w:lang w:eastAsia="en-US"/>
        </w:rPr>
      </w:pPr>
    </w:p>
    <w:p w:rsidR="005755DF" w:rsidRDefault="005755DF" w:rsidP="005A65DB">
      <w:pPr>
        <w:tabs>
          <w:tab w:val="left" w:pos="1365"/>
        </w:tabs>
        <w:jc w:val="both"/>
        <w:rPr>
          <w:rFonts w:eastAsia="ヒラギノ角ゴ Pro W3"/>
          <w:lang w:eastAsia="en-US"/>
        </w:rPr>
      </w:pPr>
      <w:r>
        <w:rPr>
          <w:rFonts w:eastAsia="ヒラギノ角ゴ Pro W3"/>
          <w:lang w:eastAsia="en-US"/>
        </w:rPr>
        <w:t xml:space="preserve">Cotton Australia also notes that both providers have made claim for considerable expenditure for replacement </w:t>
      </w:r>
      <w:r w:rsidR="00A74A01">
        <w:rPr>
          <w:rFonts w:eastAsia="ヒラギノ角ゴ Pro W3"/>
          <w:lang w:eastAsia="en-US"/>
        </w:rPr>
        <w:t>CAPEX</w:t>
      </w:r>
      <w:r>
        <w:rPr>
          <w:rFonts w:eastAsia="ヒラギノ角ゴ Pro W3"/>
          <w:lang w:eastAsia="en-US"/>
        </w:rPr>
        <w:t>.</w:t>
      </w:r>
    </w:p>
    <w:p w:rsidR="005755DF" w:rsidRDefault="005755DF" w:rsidP="005A65DB">
      <w:pPr>
        <w:tabs>
          <w:tab w:val="left" w:pos="1365"/>
        </w:tabs>
        <w:jc w:val="both"/>
        <w:rPr>
          <w:rFonts w:eastAsia="ヒラギノ角ゴ Pro W3"/>
          <w:lang w:eastAsia="en-US"/>
        </w:rPr>
      </w:pPr>
    </w:p>
    <w:p w:rsidR="005755DF" w:rsidRDefault="005755DF" w:rsidP="005A65DB">
      <w:pPr>
        <w:tabs>
          <w:tab w:val="left" w:pos="1365"/>
        </w:tabs>
        <w:jc w:val="both"/>
        <w:rPr>
          <w:rFonts w:eastAsia="ヒラギノ角ゴ Pro W3"/>
          <w:lang w:eastAsia="en-US"/>
        </w:rPr>
      </w:pPr>
      <w:r>
        <w:rPr>
          <w:rFonts w:eastAsia="ヒラギノ角ゴ Pro W3"/>
          <w:lang w:eastAsia="en-US"/>
        </w:rPr>
        <w:t xml:space="preserve">Over the years there has been a considerable trend upwards in Replacement </w:t>
      </w:r>
      <w:r w:rsidR="00A74A01">
        <w:rPr>
          <w:rFonts w:eastAsia="ヒラギノ角ゴ Pro W3"/>
          <w:lang w:eastAsia="en-US"/>
        </w:rPr>
        <w:t>CAPEX</w:t>
      </w:r>
      <w:r>
        <w:rPr>
          <w:rFonts w:eastAsia="ヒラギノ角ゴ Pro W3"/>
          <w:lang w:eastAsia="en-US"/>
        </w:rPr>
        <w:t xml:space="preserve">, and by analysing the following graph on the age of Energex assets, there is a strong case that it should have peaked as there is now a very consistent trend downwards on the average life of assets. The </w:t>
      </w:r>
      <w:r w:rsidR="00666F1F">
        <w:rPr>
          <w:rFonts w:eastAsia="ヒラギノ角ゴ Pro W3"/>
          <w:lang w:eastAsia="en-US"/>
        </w:rPr>
        <w:t>networks</w:t>
      </w:r>
      <w:r>
        <w:rPr>
          <w:rFonts w:eastAsia="ヒラギノ角ゴ Pro W3"/>
          <w:lang w:eastAsia="en-US"/>
        </w:rPr>
        <w:t xml:space="preserve"> cannot argue that they need to spend more due to an aging assets base.</w:t>
      </w:r>
    </w:p>
    <w:p w:rsidR="00BB22CA" w:rsidRDefault="00BB22CA" w:rsidP="005A65DB">
      <w:pPr>
        <w:tabs>
          <w:tab w:val="left" w:pos="1365"/>
        </w:tabs>
        <w:jc w:val="both"/>
        <w:rPr>
          <w:rFonts w:eastAsia="ヒラギノ角ゴ Pro W3"/>
          <w:lang w:eastAsia="en-US"/>
        </w:rPr>
      </w:pPr>
    </w:p>
    <w:p w:rsidR="00BB22CA" w:rsidRDefault="00BB22CA" w:rsidP="005A65DB">
      <w:pPr>
        <w:tabs>
          <w:tab w:val="left" w:pos="1365"/>
        </w:tabs>
        <w:jc w:val="both"/>
        <w:rPr>
          <w:rFonts w:eastAsia="ヒラギノ角ゴ Pro W3"/>
          <w:lang w:eastAsia="en-US"/>
        </w:rPr>
      </w:pPr>
    </w:p>
    <w:p w:rsidR="005A65DB" w:rsidRDefault="005A65DB" w:rsidP="005A65DB">
      <w:pPr>
        <w:tabs>
          <w:tab w:val="left" w:pos="1365"/>
        </w:tabs>
        <w:jc w:val="both"/>
        <w:rPr>
          <w:rFonts w:eastAsia="ヒラギノ角ゴ Pro W3"/>
          <w:lang w:eastAsia="en-US"/>
        </w:rPr>
      </w:pPr>
    </w:p>
    <w:p w:rsidR="005A65DB" w:rsidRDefault="00C94F20" w:rsidP="005A65DB">
      <w:pPr>
        <w:tabs>
          <w:tab w:val="left" w:pos="1365"/>
        </w:tabs>
        <w:jc w:val="both"/>
        <w:rPr>
          <w:rFonts w:eastAsia="ヒラギノ角ゴ Pro W3"/>
          <w:b/>
          <w:lang w:eastAsia="en-US"/>
        </w:rPr>
      </w:pPr>
      <w:r>
        <w:rPr>
          <w:rFonts w:eastAsia="ヒラギノ角ゴ Pro W3"/>
          <w:b/>
          <w:lang w:eastAsia="en-US"/>
        </w:rPr>
        <w:t>Figure</w:t>
      </w:r>
      <w:r w:rsidR="005A65DB">
        <w:rPr>
          <w:rFonts w:eastAsia="ヒラギノ角ゴ Pro W3"/>
          <w:b/>
          <w:lang w:eastAsia="en-US"/>
        </w:rPr>
        <w:t xml:space="preserve"> 5 – Average Life of Assets </w:t>
      </w:r>
    </w:p>
    <w:p w:rsidR="005A65DB" w:rsidRDefault="005101C4" w:rsidP="005A65DB">
      <w:pPr>
        <w:tabs>
          <w:tab w:val="left" w:pos="1365"/>
        </w:tabs>
        <w:jc w:val="both"/>
        <w:rPr>
          <w:rFonts w:eastAsia="ヒラギノ角ゴ Pro W3"/>
          <w:b/>
          <w:lang w:eastAsia="en-US"/>
        </w:rPr>
      </w:pPr>
      <w:r>
        <w:rPr>
          <w:rFonts w:eastAsia="ヒラギノ角ゴ Pro W3"/>
          <w:b/>
          <w:noProof/>
        </w:rPr>
        <w:pict w14:anchorId="50811228">
          <v:shape id="Object 4" o:spid="_x0000_s1027" type="#_x0000_t75" style="position:absolute;left:0;text-align:left;margin-left:-3pt;margin-top:9.7pt;width:326.5pt;height:257.3pt;z-index:251659264;visibility:visible">
            <v:imagedata r:id="rId14" o:title=""/>
          </v:shape>
          <o:OLEObject Type="Embed" ProgID="Excel.Sheet.12" ShapeID="Object 4" DrawAspect="Content" ObjectID="_1484649117" r:id="rId15"/>
        </w:pict>
      </w:r>
    </w:p>
    <w:p w:rsidR="005A65DB" w:rsidRDefault="005A65DB" w:rsidP="005A65DB">
      <w:pPr>
        <w:tabs>
          <w:tab w:val="left" w:pos="1365"/>
        </w:tabs>
        <w:jc w:val="both"/>
        <w:rPr>
          <w:rFonts w:eastAsia="ヒラギノ角ゴ Pro W3"/>
          <w:b/>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Pr="005A65DB" w:rsidRDefault="005A65DB" w:rsidP="005A65DB">
      <w:pPr>
        <w:rPr>
          <w:rFonts w:eastAsia="ヒラギノ角ゴ Pro W3"/>
          <w:lang w:eastAsia="en-US"/>
        </w:rPr>
      </w:pPr>
    </w:p>
    <w:p w:rsidR="005A65DB" w:rsidRDefault="005A65DB" w:rsidP="005A65DB">
      <w:pPr>
        <w:rPr>
          <w:rFonts w:eastAsia="ヒラギノ角ゴ Pro W3"/>
          <w:lang w:eastAsia="en-US"/>
        </w:rPr>
      </w:pPr>
    </w:p>
    <w:p w:rsidR="005A65DB" w:rsidRDefault="005A65DB" w:rsidP="005A65DB">
      <w:pPr>
        <w:rPr>
          <w:rFonts w:eastAsia="ヒラギノ角ゴ Pro W3"/>
          <w:lang w:eastAsia="en-US"/>
        </w:rPr>
      </w:pPr>
    </w:p>
    <w:p w:rsidR="005A65DB" w:rsidRDefault="005A65DB" w:rsidP="005A65DB">
      <w:pPr>
        <w:tabs>
          <w:tab w:val="left" w:pos="7725"/>
        </w:tabs>
        <w:rPr>
          <w:rFonts w:eastAsia="ヒラギノ角ゴ Pro W3"/>
          <w:lang w:eastAsia="en-US"/>
        </w:rPr>
      </w:pPr>
      <w:r>
        <w:rPr>
          <w:rFonts w:eastAsia="ヒラギノ角ゴ Pro W3"/>
          <w:lang w:eastAsia="en-US"/>
        </w:rPr>
        <w:tab/>
      </w:r>
    </w:p>
    <w:p w:rsidR="005A65DB" w:rsidRDefault="005A65DB" w:rsidP="005A65DB">
      <w:pPr>
        <w:tabs>
          <w:tab w:val="left" w:pos="7725"/>
        </w:tabs>
        <w:rPr>
          <w:rFonts w:eastAsia="ヒラギノ角ゴ Pro W3"/>
          <w:lang w:eastAsia="en-US"/>
        </w:rPr>
      </w:pPr>
      <w:r>
        <w:rPr>
          <w:rStyle w:val="FootnoteReference"/>
          <w:rFonts w:eastAsia="ヒラギノ角ゴ Pro W3"/>
          <w:lang w:eastAsia="en-US"/>
        </w:rPr>
        <w:footnoteReference w:id="4"/>
      </w:r>
    </w:p>
    <w:p w:rsidR="00A74A01" w:rsidRDefault="00A74A01" w:rsidP="00245180">
      <w:pPr>
        <w:tabs>
          <w:tab w:val="left" w:pos="7725"/>
        </w:tabs>
        <w:jc w:val="both"/>
        <w:rPr>
          <w:rFonts w:eastAsia="ヒラギノ角ゴ Pro W3"/>
          <w:b/>
          <w:i/>
          <w:lang w:eastAsia="en-US"/>
        </w:rPr>
      </w:pPr>
    </w:p>
    <w:p w:rsidR="00A74A01" w:rsidRDefault="00A74A01" w:rsidP="00245180">
      <w:pPr>
        <w:tabs>
          <w:tab w:val="left" w:pos="7725"/>
        </w:tabs>
        <w:jc w:val="both"/>
        <w:rPr>
          <w:rFonts w:eastAsia="ヒラギノ角ゴ Pro W3"/>
          <w:b/>
          <w:i/>
          <w:lang w:eastAsia="en-US"/>
        </w:rPr>
      </w:pPr>
    </w:p>
    <w:p w:rsidR="005A65DB" w:rsidRDefault="005A65DB" w:rsidP="00245180">
      <w:pPr>
        <w:tabs>
          <w:tab w:val="left" w:pos="7725"/>
        </w:tabs>
        <w:jc w:val="both"/>
        <w:rPr>
          <w:rFonts w:eastAsia="ヒラギノ角ゴ Pro W3"/>
          <w:b/>
          <w:i/>
          <w:lang w:eastAsia="en-US"/>
        </w:rPr>
      </w:pPr>
      <w:r>
        <w:rPr>
          <w:rFonts w:eastAsia="ヒラギノ角ゴ Pro W3"/>
          <w:b/>
          <w:i/>
          <w:lang w:eastAsia="en-US"/>
        </w:rPr>
        <w:t>Regulatory Asset Base</w:t>
      </w:r>
    </w:p>
    <w:p w:rsidR="005A65DB" w:rsidRDefault="005A65DB" w:rsidP="00245180">
      <w:pPr>
        <w:tabs>
          <w:tab w:val="left" w:pos="7725"/>
        </w:tabs>
        <w:jc w:val="both"/>
        <w:rPr>
          <w:rFonts w:eastAsia="ヒラギノ角ゴ Pro W3"/>
          <w:b/>
          <w:i/>
          <w:lang w:eastAsia="en-US"/>
        </w:rPr>
      </w:pPr>
    </w:p>
    <w:p w:rsidR="005A65DB" w:rsidRDefault="005A65DB" w:rsidP="00245180">
      <w:pPr>
        <w:tabs>
          <w:tab w:val="left" w:pos="7725"/>
        </w:tabs>
        <w:jc w:val="both"/>
        <w:rPr>
          <w:rFonts w:eastAsia="ヒラギノ角ゴ Pro W3"/>
          <w:lang w:eastAsia="en-US"/>
        </w:rPr>
      </w:pPr>
      <w:r>
        <w:rPr>
          <w:rFonts w:eastAsia="ヒラギノ角ゴ Pro W3"/>
          <w:lang w:eastAsia="en-US"/>
        </w:rPr>
        <w:t>While Cotton Australia understands that the RAB is determined by set rules, and the AER must accept the resulting calculation, it is extremely concerned about the constant growth in the RAB, and the consequent</w:t>
      </w:r>
      <w:r w:rsidR="00666F1F">
        <w:rPr>
          <w:rFonts w:eastAsia="ヒラギノ角ゴ Pro W3"/>
          <w:lang w:eastAsia="en-US"/>
        </w:rPr>
        <w:t>ial</w:t>
      </w:r>
      <w:r>
        <w:rPr>
          <w:rFonts w:eastAsia="ヒラギノ角ゴ Pro W3"/>
          <w:lang w:eastAsia="en-US"/>
        </w:rPr>
        <w:t xml:space="preserve"> growth in revenue that is driven through the combination of the RAB and the WACC.</w:t>
      </w:r>
      <w:r w:rsidR="00772306">
        <w:rPr>
          <w:rFonts w:eastAsia="ヒラギノ角ゴ Pro W3"/>
          <w:lang w:eastAsia="en-US"/>
        </w:rPr>
        <w:t xml:space="preserve"> </w:t>
      </w:r>
      <w:r>
        <w:rPr>
          <w:rFonts w:eastAsia="ヒラギノ角ゴ Pro W3"/>
          <w:lang w:eastAsia="en-US"/>
        </w:rPr>
        <w:t>Cotton Australia believes that the AER has a responsibility to comment on the way the RAB is calculated, and provide recommendations for change.</w:t>
      </w:r>
    </w:p>
    <w:p w:rsidR="005A65DB" w:rsidRDefault="005A65DB" w:rsidP="00245180">
      <w:pPr>
        <w:tabs>
          <w:tab w:val="left" w:pos="7725"/>
        </w:tabs>
        <w:jc w:val="both"/>
        <w:rPr>
          <w:rFonts w:eastAsia="ヒラギノ角ゴ Pro W3"/>
          <w:lang w:eastAsia="en-US"/>
        </w:rPr>
      </w:pPr>
    </w:p>
    <w:p w:rsidR="005A65DB" w:rsidRDefault="005A65DB" w:rsidP="00245180">
      <w:pPr>
        <w:tabs>
          <w:tab w:val="left" w:pos="7725"/>
        </w:tabs>
        <w:jc w:val="both"/>
        <w:rPr>
          <w:rFonts w:eastAsia="ヒラギノ角ゴ Pro W3"/>
          <w:lang w:eastAsia="en-US"/>
        </w:rPr>
      </w:pPr>
      <w:r>
        <w:rPr>
          <w:rFonts w:eastAsia="ヒラギノ角ゴ Pro W3"/>
          <w:lang w:eastAsia="en-US"/>
        </w:rPr>
        <w:t>In particular, as stated above, the acceptance of overly optimistic demand forecasts in previous determinations, fed unjustifiable capital expenditure.</w:t>
      </w:r>
      <w:r w:rsidR="00772306">
        <w:rPr>
          <w:rFonts w:eastAsia="ヒラギノ角ゴ Pro W3"/>
          <w:lang w:eastAsia="en-US"/>
        </w:rPr>
        <w:t xml:space="preserve"> </w:t>
      </w:r>
      <w:r>
        <w:rPr>
          <w:rFonts w:eastAsia="ヒラギノ角ゴ Pro W3"/>
          <w:lang w:eastAsia="en-US"/>
        </w:rPr>
        <w:t>Earlier graphs have demonstrated both networks have consistently and significantly falling system utilisation performance. Capital has been spent and not utilised.</w:t>
      </w:r>
    </w:p>
    <w:p w:rsidR="005A65DB" w:rsidRDefault="005A65DB" w:rsidP="00245180">
      <w:pPr>
        <w:tabs>
          <w:tab w:val="left" w:pos="7725"/>
        </w:tabs>
        <w:jc w:val="both"/>
        <w:rPr>
          <w:rFonts w:eastAsia="ヒラギノ角ゴ Pro W3"/>
          <w:lang w:eastAsia="en-US"/>
        </w:rPr>
      </w:pPr>
    </w:p>
    <w:p w:rsidR="005A65DB" w:rsidRDefault="005A65DB" w:rsidP="00245180">
      <w:pPr>
        <w:tabs>
          <w:tab w:val="left" w:pos="7725"/>
        </w:tabs>
        <w:jc w:val="both"/>
        <w:rPr>
          <w:rFonts w:eastAsia="ヒラギノ角ゴ Pro W3"/>
          <w:lang w:eastAsia="en-US"/>
        </w:rPr>
      </w:pPr>
      <w:r>
        <w:rPr>
          <w:rFonts w:eastAsia="ヒラギノ角ゴ Pro W3"/>
          <w:lang w:eastAsia="en-US"/>
        </w:rPr>
        <w:t>It is completely unfair that the consumer should have to bear the risk for this imprudent and inefficient expenditure.</w:t>
      </w:r>
      <w:r w:rsidR="004048F9">
        <w:rPr>
          <w:rFonts w:eastAsia="ヒラギノ角ゴ Pro W3"/>
          <w:lang w:eastAsia="en-US"/>
        </w:rPr>
        <w:t xml:space="preserve"> </w:t>
      </w:r>
      <w:r>
        <w:rPr>
          <w:rFonts w:eastAsia="ヒラギノ角ゴ Pro W3"/>
          <w:lang w:eastAsia="en-US"/>
        </w:rPr>
        <w:t>There is an urgent need for a review of the asset base, with particular emphasis on the treatment of “un-utilised” or “under-utilised” assets.</w:t>
      </w:r>
    </w:p>
    <w:p w:rsidR="004048F9" w:rsidRDefault="004048F9" w:rsidP="00245180">
      <w:pPr>
        <w:tabs>
          <w:tab w:val="left" w:pos="7725"/>
        </w:tabs>
        <w:jc w:val="both"/>
        <w:rPr>
          <w:rFonts w:eastAsia="ヒラギノ角ゴ Pro W3"/>
          <w:lang w:eastAsia="en-US"/>
        </w:rPr>
      </w:pPr>
    </w:p>
    <w:p w:rsidR="004048F9" w:rsidRDefault="004048F9" w:rsidP="00245180">
      <w:pPr>
        <w:tabs>
          <w:tab w:val="left" w:pos="7725"/>
        </w:tabs>
        <w:jc w:val="both"/>
        <w:rPr>
          <w:rFonts w:eastAsia="ヒラギノ角ゴ Pro W3"/>
          <w:lang w:eastAsia="en-US"/>
        </w:rPr>
      </w:pPr>
      <w:r>
        <w:rPr>
          <w:rFonts w:eastAsia="ヒラギノ角ゴ Pro W3"/>
          <w:lang w:eastAsia="en-US"/>
        </w:rPr>
        <w:t xml:space="preserve">Cotton Australia also struggles to understand the justification for allowing an annual adjustment for CPI on the RAB. While the principle would apply across all assets, it appears likely that a long-life assets such as a pole may still have a value assigned to it that is close to its original cost, at the end of its life, because the average CPI rate is </w:t>
      </w:r>
      <w:r w:rsidR="00772306">
        <w:rPr>
          <w:rFonts w:eastAsia="ヒラギノ角ゴ Pro W3"/>
          <w:lang w:eastAsia="en-US"/>
        </w:rPr>
        <w:t>likely</w:t>
      </w:r>
      <w:r>
        <w:rPr>
          <w:rFonts w:eastAsia="ヒラギノ角ゴ Pro W3"/>
          <w:lang w:eastAsia="en-US"/>
        </w:rPr>
        <w:t xml:space="preserve"> to be similar or greater than the annual depreciation rate for such an as</w:t>
      </w:r>
      <w:r w:rsidR="00772306">
        <w:rPr>
          <w:rFonts w:eastAsia="ヒラギノ角ゴ Pro W3"/>
          <w:lang w:eastAsia="en-US"/>
        </w:rPr>
        <w:t>s</w:t>
      </w:r>
      <w:r>
        <w:rPr>
          <w:rFonts w:eastAsia="ヒラギノ角ゴ Pro W3"/>
          <w:lang w:eastAsia="en-US"/>
        </w:rPr>
        <w:t>et.</w:t>
      </w:r>
    </w:p>
    <w:p w:rsidR="00772306" w:rsidRDefault="00772306" w:rsidP="00245180">
      <w:pPr>
        <w:tabs>
          <w:tab w:val="left" w:pos="7725"/>
        </w:tabs>
        <w:jc w:val="both"/>
        <w:rPr>
          <w:rFonts w:eastAsia="ヒラギノ角ゴ Pro W3"/>
          <w:lang w:eastAsia="en-US"/>
        </w:rPr>
      </w:pPr>
    </w:p>
    <w:p w:rsidR="00772306" w:rsidRDefault="00772306" w:rsidP="00245180">
      <w:pPr>
        <w:tabs>
          <w:tab w:val="left" w:pos="7725"/>
        </w:tabs>
        <w:jc w:val="both"/>
        <w:rPr>
          <w:rFonts w:eastAsia="ヒラギノ角ゴ Pro W3"/>
          <w:lang w:eastAsia="en-US"/>
        </w:rPr>
      </w:pPr>
      <w:r>
        <w:rPr>
          <w:rFonts w:eastAsia="ヒラギノ角ゴ Pro W3"/>
          <w:lang w:eastAsia="en-US"/>
        </w:rPr>
        <w:t xml:space="preserve">The extent of the </w:t>
      </w:r>
      <w:r w:rsidR="00F566A7">
        <w:rPr>
          <w:rFonts w:eastAsia="ヒラギノ角ゴ Pro W3"/>
          <w:lang w:eastAsia="en-US"/>
        </w:rPr>
        <w:t xml:space="preserve">growing RAB </w:t>
      </w:r>
      <w:r>
        <w:rPr>
          <w:rFonts w:eastAsia="ヒラギノ角ゴ Pro W3"/>
          <w:lang w:eastAsia="en-US"/>
        </w:rPr>
        <w:t>problem i</w:t>
      </w:r>
      <w:r w:rsidR="00F566A7">
        <w:rPr>
          <w:rFonts w:eastAsia="ヒラギノ角ゴ Pro W3"/>
          <w:lang w:eastAsia="en-US"/>
        </w:rPr>
        <w:t>s</w:t>
      </w:r>
      <w:r>
        <w:rPr>
          <w:rFonts w:eastAsia="ヒラギノ角ゴ Pro W3"/>
          <w:lang w:eastAsia="en-US"/>
        </w:rPr>
        <w:t xml:space="preserve"> well-illustrated in Figures 9 &amp; 10 of the AER Issue paper, reproduced below.</w:t>
      </w:r>
    </w:p>
    <w:p w:rsidR="00772306" w:rsidRDefault="00772306" w:rsidP="00245180">
      <w:pPr>
        <w:tabs>
          <w:tab w:val="left" w:pos="7725"/>
        </w:tabs>
        <w:jc w:val="both"/>
        <w:rPr>
          <w:rFonts w:eastAsia="ヒラギノ角ゴ Pro W3"/>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A74A01" w:rsidRDefault="00A74A01" w:rsidP="00245180">
      <w:pPr>
        <w:tabs>
          <w:tab w:val="left" w:pos="7725"/>
        </w:tabs>
        <w:jc w:val="both"/>
        <w:rPr>
          <w:rFonts w:eastAsia="ヒラギノ角ゴ Pro W3"/>
          <w:b/>
          <w:lang w:eastAsia="en-US"/>
        </w:rPr>
      </w:pPr>
    </w:p>
    <w:p w:rsidR="00772306" w:rsidRPr="00772306" w:rsidRDefault="00C94F20" w:rsidP="00245180">
      <w:pPr>
        <w:tabs>
          <w:tab w:val="left" w:pos="7725"/>
        </w:tabs>
        <w:jc w:val="both"/>
        <w:rPr>
          <w:rFonts w:eastAsia="ヒラギノ角ゴ Pro W3"/>
          <w:b/>
          <w:bCs/>
          <w:lang w:eastAsia="en-US"/>
        </w:rPr>
      </w:pPr>
      <w:r>
        <w:rPr>
          <w:rFonts w:eastAsia="ヒラギノ角ゴ Pro W3"/>
          <w:b/>
          <w:lang w:eastAsia="en-US"/>
        </w:rPr>
        <w:t>Figure</w:t>
      </w:r>
      <w:r w:rsidR="00772306">
        <w:rPr>
          <w:rFonts w:eastAsia="ヒラギノ角ゴ Pro W3"/>
          <w:b/>
          <w:lang w:eastAsia="en-US"/>
        </w:rPr>
        <w:t xml:space="preserve"> 6 - </w:t>
      </w:r>
      <w:r w:rsidR="00772306" w:rsidRPr="00772306">
        <w:rPr>
          <w:rFonts w:eastAsia="ヒラギノ角ゴ Pro W3"/>
          <w:b/>
          <w:bCs/>
          <w:lang w:eastAsia="en-US"/>
        </w:rPr>
        <w:t>Energex – regulatory asset base (RAB) values ($nominal)</w:t>
      </w:r>
    </w:p>
    <w:p w:rsidR="00772306" w:rsidRDefault="00772306" w:rsidP="00245180">
      <w:pPr>
        <w:tabs>
          <w:tab w:val="left" w:pos="7725"/>
        </w:tabs>
        <w:jc w:val="both"/>
        <w:rPr>
          <w:rFonts w:eastAsia="ヒラギノ角ゴ Pro W3"/>
          <w:lang w:eastAsia="en-US"/>
        </w:rPr>
      </w:pPr>
    </w:p>
    <w:p w:rsidR="005A65DB" w:rsidRDefault="00772306" w:rsidP="00245180">
      <w:pPr>
        <w:tabs>
          <w:tab w:val="left" w:pos="7725"/>
        </w:tabs>
        <w:jc w:val="both"/>
        <w:rPr>
          <w:rFonts w:eastAsia="ヒラギノ角ゴ Pro W3"/>
          <w:lang w:eastAsia="en-US"/>
        </w:rPr>
      </w:pPr>
      <w:r w:rsidRPr="003B2A0A">
        <w:rPr>
          <w:rFonts w:ascii="Arial" w:hAnsi="Arial" w:cs="Arial"/>
          <w:noProof/>
        </w:rPr>
        <w:drawing>
          <wp:inline distT="0" distB="0" distL="0" distR="0" wp14:anchorId="7472E07B" wp14:editId="761AC4FE">
            <wp:extent cx="5216253" cy="30956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832" cy="3102497"/>
                    </a:xfrm>
                    <a:prstGeom prst="rect">
                      <a:avLst/>
                    </a:prstGeom>
                    <a:noFill/>
                    <a:ln>
                      <a:noFill/>
                    </a:ln>
                  </pic:spPr>
                </pic:pic>
              </a:graphicData>
            </a:graphic>
          </wp:inline>
        </w:drawing>
      </w:r>
      <w:r>
        <w:rPr>
          <w:rStyle w:val="FootnoteReference"/>
          <w:rFonts w:eastAsia="ヒラギノ角ゴ Pro W3"/>
          <w:lang w:eastAsia="en-US"/>
        </w:rPr>
        <w:footnoteReference w:id="5"/>
      </w:r>
    </w:p>
    <w:p w:rsidR="00772306" w:rsidRDefault="00772306" w:rsidP="00245180">
      <w:pPr>
        <w:tabs>
          <w:tab w:val="left" w:pos="7725"/>
        </w:tabs>
        <w:jc w:val="both"/>
        <w:rPr>
          <w:rFonts w:eastAsia="ヒラギノ角ゴ Pro W3"/>
          <w:lang w:eastAsia="en-US"/>
        </w:rPr>
      </w:pPr>
    </w:p>
    <w:p w:rsidR="00772306" w:rsidRPr="00C86885" w:rsidRDefault="00A74A01" w:rsidP="00A74A01">
      <w:pPr>
        <w:tabs>
          <w:tab w:val="left" w:pos="7725"/>
        </w:tabs>
        <w:jc w:val="both"/>
        <w:rPr>
          <w:rFonts w:eastAsia="ヒラギノ角ゴ Pro W3"/>
        </w:rPr>
      </w:pPr>
      <w:r>
        <w:rPr>
          <w:rFonts w:eastAsia="ヒラギノ角ゴ Pro W3"/>
          <w:b/>
          <w:lang w:eastAsia="en-US"/>
        </w:rPr>
        <w:t>Figure</w:t>
      </w:r>
      <w:r w:rsidR="00772306" w:rsidRPr="00A74A01">
        <w:rPr>
          <w:rFonts w:eastAsia="ヒラギノ角ゴ Pro W3"/>
          <w:b/>
          <w:lang w:eastAsia="en-US"/>
        </w:rPr>
        <w:t xml:space="preserve"> 7 -Ergon Energy – regulatory asset base (RAB) values ($nominal)</w:t>
      </w:r>
    </w:p>
    <w:p w:rsidR="005A65DB" w:rsidRDefault="005A65DB" w:rsidP="00245180">
      <w:pPr>
        <w:tabs>
          <w:tab w:val="left" w:pos="7725"/>
        </w:tabs>
        <w:jc w:val="both"/>
        <w:rPr>
          <w:rFonts w:eastAsia="ヒラギノ角ゴ Pro W3"/>
          <w:lang w:eastAsia="en-US"/>
        </w:rPr>
      </w:pPr>
    </w:p>
    <w:p w:rsidR="005A65DB" w:rsidRDefault="00772306" w:rsidP="00245180">
      <w:pPr>
        <w:tabs>
          <w:tab w:val="left" w:pos="7725"/>
        </w:tabs>
        <w:jc w:val="both"/>
        <w:rPr>
          <w:rFonts w:eastAsia="ヒラギノ角ゴ Pro W3"/>
          <w:lang w:eastAsia="en-US"/>
        </w:rPr>
      </w:pPr>
      <w:r w:rsidRPr="003B2A0A">
        <w:rPr>
          <w:rFonts w:ascii="Arial" w:hAnsi="Arial" w:cs="Arial"/>
          <w:noProof/>
        </w:rPr>
        <w:drawing>
          <wp:inline distT="0" distB="0" distL="0" distR="0" wp14:anchorId="7C043D47" wp14:editId="49AFDA7B">
            <wp:extent cx="5305425" cy="3055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862" cy="3055984"/>
                    </a:xfrm>
                    <a:prstGeom prst="rect">
                      <a:avLst/>
                    </a:prstGeom>
                    <a:noFill/>
                    <a:ln>
                      <a:noFill/>
                    </a:ln>
                  </pic:spPr>
                </pic:pic>
              </a:graphicData>
            </a:graphic>
          </wp:inline>
        </w:drawing>
      </w:r>
    </w:p>
    <w:p w:rsidR="005A65DB" w:rsidRDefault="005A65DB" w:rsidP="00245180">
      <w:pPr>
        <w:tabs>
          <w:tab w:val="left" w:pos="7725"/>
        </w:tabs>
        <w:jc w:val="both"/>
        <w:rPr>
          <w:rFonts w:eastAsia="ヒラギノ角ゴ Pro W3"/>
          <w:lang w:eastAsia="en-US"/>
        </w:rPr>
      </w:pPr>
      <w:r>
        <w:rPr>
          <w:rFonts w:eastAsia="ヒラギノ角ゴ Pro W3"/>
          <w:lang w:eastAsia="en-US"/>
        </w:rPr>
        <w:t xml:space="preserve">    </w:t>
      </w:r>
      <w:r w:rsidR="00772306">
        <w:rPr>
          <w:rStyle w:val="FootnoteReference"/>
          <w:rFonts w:eastAsia="ヒラギノ角ゴ Pro W3"/>
          <w:lang w:eastAsia="en-US"/>
        </w:rPr>
        <w:footnoteReference w:id="6"/>
      </w:r>
    </w:p>
    <w:p w:rsidR="00FF6150" w:rsidRDefault="00FF6150" w:rsidP="00245180">
      <w:pPr>
        <w:tabs>
          <w:tab w:val="left" w:pos="7725"/>
        </w:tabs>
        <w:jc w:val="both"/>
        <w:rPr>
          <w:rFonts w:eastAsia="ヒラギノ角ゴ Pro W3"/>
          <w:lang w:eastAsia="en-US"/>
        </w:rPr>
      </w:pPr>
      <w:r>
        <w:rPr>
          <w:rFonts w:eastAsia="ヒラギノ角ゴ Pro W3"/>
          <w:lang w:eastAsia="en-US"/>
        </w:rPr>
        <w:t>It is clear from the above graphs that unless the growth in the RAB is curtailed, a key component of the revenue calculation will continue to grow, even when capital investments eases. This process provides no comfort to consumers, and is a clear example of perverse outcomes that occur with monopolistic providers.</w:t>
      </w:r>
    </w:p>
    <w:p w:rsidR="00FF6150" w:rsidRDefault="00FF6150" w:rsidP="00245180">
      <w:pPr>
        <w:tabs>
          <w:tab w:val="left" w:pos="7725"/>
        </w:tabs>
        <w:jc w:val="both"/>
        <w:rPr>
          <w:rFonts w:eastAsia="ヒラギノ角ゴ Pro W3"/>
          <w:lang w:eastAsia="en-US"/>
        </w:rPr>
      </w:pPr>
    </w:p>
    <w:p w:rsidR="00772306" w:rsidRDefault="00FF6150" w:rsidP="00245180">
      <w:pPr>
        <w:tabs>
          <w:tab w:val="left" w:pos="7725"/>
        </w:tabs>
        <w:jc w:val="both"/>
        <w:rPr>
          <w:rFonts w:eastAsia="ヒラギノ角ゴ Pro W3"/>
          <w:b/>
          <w:i/>
          <w:lang w:eastAsia="en-US"/>
        </w:rPr>
      </w:pPr>
      <w:r w:rsidRPr="00FF6150">
        <w:rPr>
          <w:rFonts w:eastAsia="ヒラギノ角ゴ Pro W3"/>
          <w:b/>
          <w:i/>
          <w:lang w:eastAsia="en-US"/>
        </w:rPr>
        <w:t xml:space="preserve">Operating Expenditure  </w:t>
      </w:r>
    </w:p>
    <w:p w:rsidR="00245180" w:rsidRDefault="00245180" w:rsidP="00245180">
      <w:pPr>
        <w:tabs>
          <w:tab w:val="left" w:pos="7725"/>
        </w:tabs>
        <w:jc w:val="both"/>
        <w:rPr>
          <w:rFonts w:eastAsia="ヒラギノ角ゴ Pro W3"/>
          <w:b/>
          <w:i/>
          <w:lang w:eastAsia="en-US"/>
        </w:rPr>
      </w:pPr>
    </w:p>
    <w:p w:rsidR="00245180" w:rsidRDefault="00245180" w:rsidP="00245180">
      <w:pPr>
        <w:tabs>
          <w:tab w:val="left" w:pos="7725"/>
        </w:tabs>
        <w:jc w:val="both"/>
        <w:rPr>
          <w:rFonts w:eastAsia="ヒラギノ角ゴ Pro W3"/>
          <w:lang w:eastAsia="en-US"/>
        </w:rPr>
      </w:pPr>
      <w:r>
        <w:rPr>
          <w:rFonts w:eastAsia="ヒラギノ角ゴ Pro W3"/>
          <w:lang w:eastAsia="en-US"/>
        </w:rPr>
        <w:t>Cotton Australia notes that both Energex and Ergon have proposed modest reductions in operational expenditure, however the AER benchmarking process shows that both organisations in general and Ergon in particular perform well below their peers.</w:t>
      </w:r>
    </w:p>
    <w:p w:rsidR="00245180" w:rsidRDefault="00245180" w:rsidP="00245180">
      <w:pPr>
        <w:tabs>
          <w:tab w:val="left" w:pos="7725"/>
        </w:tabs>
        <w:jc w:val="both"/>
        <w:rPr>
          <w:rFonts w:eastAsia="ヒラギノ角ゴ Pro W3"/>
          <w:lang w:eastAsia="en-US"/>
        </w:rPr>
      </w:pPr>
    </w:p>
    <w:p w:rsidR="00245180" w:rsidRDefault="00245180" w:rsidP="00245180">
      <w:pPr>
        <w:tabs>
          <w:tab w:val="left" w:pos="7725"/>
        </w:tabs>
        <w:jc w:val="both"/>
        <w:rPr>
          <w:rFonts w:eastAsia="ヒラギノ角ゴ Pro W3"/>
          <w:lang w:eastAsia="en-US"/>
        </w:rPr>
      </w:pPr>
      <w:r>
        <w:rPr>
          <w:rFonts w:eastAsia="ヒラギノ角ゴ Pro W3"/>
          <w:lang w:eastAsia="en-US"/>
        </w:rPr>
        <w:t>The networks need to be driven to</w:t>
      </w:r>
      <w:r w:rsidR="00C94F20">
        <w:rPr>
          <w:rFonts w:eastAsia="ヒラギノ角ゴ Pro W3"/>
          <w:lang w:eastAsia="en-US"/>
        </w:rPr>
        <w:t xml:space="preserve"> implement a</w:t>
      </w:r>
      <w:r>
        <w:rPr>
          <w:rFonts w:eastAsia="ヒラギノ角ゴ Pro W3"/>
          <w:lang w:eastAsia="en-US"/>
        </w:rPr>
        <w:t xml:space="preserve"> “root and branch” reform of their operating practices and systems.</w:t>
      </w:r>
    </w:p>
    <w:p w:rsidR="00245180" w:rsidRDefault="00245180" w:rsidP="00245180">
      <w:pPr>
        <w:tabs>
          <w:tab w:val="left" w:pos="7725"/>
        </w:tabs>
        <w:jc w:val="both"/>
        <w:rPr>
          <w:rFonts w:eastAsia="ヒラギノ角ゴ Pro W3"/>
          <w:lang w:eastAsia="en-US"/>
        </w:rPr>
      </w:pPr>
    </w:p>
    <w:p w:rsidR="00245180" w:rsidRDefault="00245180" w:rsidP="00245180">
      <w:pPr>
        <w:tabs>
          <w:tab w:val="left" w:pos="7725"/>
        </w:tabs>
        <w:jc w:val="both"/>
        <w:rPr>
          <w:rFonts w:eastAsia="ヒラギノ角ゴ Pro W3"/>
          <w:lang w:eastAsia="en-US"/>
        </w:rPr>
      </w:pPr>
      <w:r>
        <w:rPr>
          <w:rFonts w:eastAsia="ヒラギノ角ゴ Pro W3"/>
          <w:lang w:eastAsia="en-US"/>
        </w:rPr>
        <w:t>Cotton Australia notes the significant reductions in operating expenditure that the AER has proposed in draft Determinations for organisations such as Essential in NSW, and cannot see why similar reductions should not be placed upon Ergon and Energex</w:t>
      </w:r>
      <w:r w:rsidR="001E3890">
        <w:rPr>
          <w:rFonts w:eastAsia="ヒラギノ角ゴ Pro W3"/>
          <w:lang w:eastAsia="en-US"/>
        </w:rPr>
        <w:t>.</w:t>
      </w: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lang w:eastAsia="en-US"/>
        </w:rPr>
      </w:pPr>
      <w:r>
        <w:rPr>
          <w:rFonts w:eastAsia="ヒラギノ角ゴ Pro W3"/>
          <w:lang w:eastAsia="en-US"/>
        </w:rPr>
        <w:t>It is extremely difficult for organisations such as Cotton Australia to point to specific areas of operational costs savings.</w:t>
      </w: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lang w:eastAsia="en-US"/>
        </w:rPr>
      </w:pPr>
      <w:r>
        <w:rPr>
          <w:rFonts w:eastAsia="ヒラギノ角ゴ Pro W3"/>
          <w:lang w:eastAsia="en-US"/>
        </w:rPr>
        <w:t xml:space="preserve">However, a pricing model that does not force efficiencies onto monopolistic organisations will always result in high and inefficient operational costs. It is therefore important that the AER proposes significant reductions, </w:t>
      </w:r>
      <w:r w:rsidR="00F566A7">
        <w:rPr>
          <w:rFonts w:eastAsia="ヒラギノ角ゴ Pro W3"/>
          <w:lang w:eastAsia="en-US"/>
        </w:rPr>
        <w:t xml:space="preserve">which put the network </w:t>
      </w:r>
      <w:r>
        <w:rPr>
          <w:rFonts w:eastAsia="ヒラギノ角ゴ Pro W3"/>
          <w:lang w:eastAsia="en-US"/>
        </w:rPr>
        <w:t>operating costs in line with the best of their peers.</w:t>
      </w: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lang w:eastAsia="en-US"/>
        </w:rPr>
      </w:pPr>
      <w:r>
        <w:rPr>
          <w:rFonts w:eastAsia="ヒラギノ角ゴ Pro W3"/>
          <w:lang w:eastAsia="en-US"/>
        </w:rPr>
        <w:t>It is only when the challenge is laid in front of Ergon and Energex that the breadth of savings that are possible will be achieved.</w:t>
      </w: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b/>
          <w:i/>
          <w:lang w:eastAsia="en-US"/>
        </w:rPr>
      </w:pPr>
      <w:r w:rsidRPr="001E3890">
        <w:rPr>
          <w:rFonts w:eastAsia="ヒラギノ角ゴ Pro W3"/>
          <w:b/>
          <w:i/>
          <w:lang w:eastAsia="en-US"/>
        </w:rPr>
        <w:t>Rate of Return</w:t>
      </w:r>
    </w:p>
    <w:p w:rsidR="001E3890" w:rsidRDefault="001E3890" w:rsidP="00245180">
      <w:pPr>
        <w:tabs>
          <w:tab w:val="left" w:pos="7725"/>
        </w:tabs>
        <w:jc w:val="both"/>
        <w:rPr>
          <w:rFonts w:eastAsia="ヒラギノ角ゴ Pro W3"/>
          <w:b/>
          <w:i/>
          <w:lang w:eastAsia="en-US"/>
        </w:rPr>
      </w:pPr>
    </w:p>
    <w:p w:rsidR="001E3890" w:rsidRDefault="001E3890" w:rsidP="00245180">
      <w:pPr>
        <w:tabs>
          <w:tab w:val="left" w:pos="7725"/>
        </w:tabs>
        <w:jc w:val="both"/>
        <w:rPr>
          <w:rFonts w:eastAsia="ヒラギノ角ゴ Pro W3"/>
          <w:lang w:eastAsia="en-US"/>
        </w:rPr>
      </w:pPr>
      <w:r>
        <w:rPr>
          <w:rFonts w:eastAsia="ヒラギノ角ゴ Pro W3"/>
          <w:lang w:eastAsia="en-US"/>
        </w:rPr>
        <w:t>As mentioned throughout this submission Cotton Australia is acutely aware of the role played by the WACC in determining the total Revenue allowance for network companies.</w:t>
      </w:r>
    </w:p>
    <w:p w:rsidR="001E3890" w:rsidRDefault="001E3890" w:rsidP="00245180">
      <w:pPr>
        <w:tabs>
          <w:tab w:val="left" w:pos="7725"/>
        </w:tabs>
        <w:jc w:val="both"/>
        <w:rPr>
          <w:rFonts w:eastAsia="ヒラギノ角ゴ Pro W3"/>
          <w:lang w:eastAsia="en-US"/>
        </w:rPr>
      </w:pPr>
    </w:p>
    <w:p w:rsidR="001E3890" w:rsidRDefault="001E3890" w:rsidP="00245180">
      <w:pPr>
        <w:tabs>
          <w:tab w:val="left" w:pos="7725"/>
        </w:tabs>
        <w:jc w:val="both"/>
        <w:rPr>
          <w:rFonts w:eastAsia="ヒラギノ角ゴ Pro W3"/>
          <w:lang w:eastAsia="en-US"/>
        </w:rPr>
      </w:pPr>
      <w:r>
        <w:rPr>
          <w:rFonts w:eastAsia="ヒラギノ角ゴ Pro W3"/>
          <w:lang w:eastAsia="en-US"/>
        </w:rPr>
        <w:t>Cotton Australia contends that the WACC applied in the previous Determination was not only patently too high, but its setting at the level of 9.72% provided hundreds of millions of dollars of windfall gain to the network companies</w:t>
      </w:r>
      <w:r w:rsidR="00C94F20">
        <w:rPr>
          <w:rFonts w:eastAsia="ヒラギノ角ゴ Pro W3"/>
          <w:lang w:eastAsia="en-US"/>
        </w:rPr>
        <w:t>. This is due to</w:t>
      </w:r>
      <w:r>
        <w:rPr>
          <w:rFonts w:eastAsia="ヒラギノ角ゴ Pro W3"/>
          <w:lang w:eastAsia="en-US"/>
        </w:rPr>
        <w:t xml:space="preserve"> expected </w:t>
      </w:r>
      <w:r w:rsidR="00C94F20">
        <w:rPr>
          <w:rFonts w:eastAsia="ヒラギノ角ゴ Pro W3"/>
          <w:lang w:eastAsia="en-US"/>
        </w:rPr>
        <w:t xml:space="preserve">high </w:t>
      </w:r>
      <w:r>
        <w:rPr>
          <w:rFonts w:eastAsia="ヒラギノ角ゴ Pro W3"/>
          <w:lang w:eastAsia="en-US"/>
        </w:rPr>
        <w:t xml:space="preserve">interest rates predicted following the GFC </w:t>
      </w:r>
      <w:r w:rsidR="00C94F20">
        <w:rPr>
          <w:rFonts w:eastAsia="ヒラギノ角ゴ Pro W3"/>
          <w:lang w:eastAsia="en-US"/>
        </w:rPr>
        <w:t>failing to</w:t>
      </w:r>
      <w:r>
        <w:rPr>
          <w:rFonts w:eastAsia="ヒラギノ角ゴ Pro W3"/>
          <w:lang w:eastAsia="en-US"/>
        </w:rPr>
        <w:t xml:space="preserve"> eventuate in </w:t>
      </w:r>
      <w:r w:rsidR="00C94F20">
        <w:rPr>
          <w:rFonts w:eastAsia="ヒラギノ角ゴ Pro W3"/>
          <w:lang w:eastAsia="en-US"/>
        </w:rPr>
        <w:t xml:space="preserve">both </w:t>
      </w:r>
      <w:r>
        <w:rPr>
          <w:rFonts w:eastAsia="ヒラギノ角ゴ Pro W3"/>
          <w:lang w:eastAsia="en-US"/>
        </w:rPr>
        <w:t xml:space="preserve">the </w:t>
      </w:r>
      <w:r w:rsidR="00C94F20">
        <w:rPr>
          <w:rFonts w:eastAsia="ヒラギノ角ゴ Pro W3"/>
          <w:lang w:eastAsia="en-US"/>
        </w:rPr>
        <w:t xml:space="preserve">short to </w:t>
      </w:r>
      <w:r>
        <w:rPr>
          <w:rFonts w:eastAsia="ヒラギノ角ゴ Pro W3"/>
          <w:lang w:eastAsia="en-US"/>
        </w:rPr>
        <w:t>medium term.</w:t>
      </w:r>
    </w:p>
    <w:p w:rsidR="002A7B7D" w:rsidRDefault="002A7B7D" w:rsidP="00245180">
      <w:pPr>
        <w:tabs>
          <w:tab w:val="left" w:pos="7725"/>
        </w:tabs>
        <w:jc w:val="both"/>
        <w:rPr>
          <w:rFonts w:eastAsia="ヒラギノ角ゴ Pro W3"/>
          <w:lang w:eastAsia="en-US"/>
        </w:rPr>
      </w:pPr>
    </w:p>
    <w:p w:rsidR="002A7B7D" w:rsidRDefault="002A7B7D" w:rsidP="00245180">
      <w:pPr>
        <w:tabs>
          <w:tab w:val="left" w:pos="7725"/>
        </w:tabs>
        <w:jc w:val="both"/>
        <w:rPr>
          <w:rFonts w:eastAsia="ヒラギノ角ゴ Pro W3"/>
          <w:lang w:eastAsia="en-US"/>
        </w:rPr>
      </w:pPr>
      <w:r>
        <w:rPr>
          <w:rFonts w:eastAsia="ヒラギノ角ゴ Pro W3"/>
          <w:lang w:eastAsia="en-US"/>
        </w:rPr>
        <w:t>Therefore, there is a strong argument that the WACC for this current Determination should be set somewhat lower than what it might otherwise be determined to be, to allow some recovery of this over payment.</w:t>
      </w:r>
    </w:p>
    <w:p w:rsidR="002A7B7D" w:rsidRDefault="002A7B7D" w:rsidP="00245180">
      <w:pPr>
        <w:tabs>
          <w:tab w:val="left" w:pos="7725"/>
        </w:tabs>
        <w:jc w:val="both"/>
        <w:rPr>
          <w:rFonts w:eastAsia="ヒラギノ角ゴ Pro W3"/>
          <w:lang w:eastAsia="en-US"/>
        </w:rPr>
      </w:pPr>
    </w:p>
    <w:p w:rsidR="002A7B7D" w:rsidRDefault="002A7B7D" w:rsidP="00245180">
      <w:pPr>
        <w:tabs>
          <w:tab w:val="left" w:pos="7725"/>
        </w:tabs>
        <w:jc w:val="both"/>
        <w:rPr>
          <w:rFonts w:eastAsia="ヒラギノ角ゴ Pro W3"/>
          <w:lang w:eastAsia="en-US"/>
        </w:rPr>
      </w:pPr>
      <w:r>
        <w:rPr>
          <w:rFonts w:eastAsia="ヒラギノ角ゴ Pro W3"/>
          <w:lang w:eastAsia="en-US"/>
        </w:rPr>
        <w:t>Cotton Australia does not have the in-depth economic expertise to determine a WACC, but makes the following comments for the AER to give regards to:</w:t>
      </w:r>
    </w:p>
    <w:p w:rsidR="002A7B7D" w:rsidRDefault="002A7B7D" w:rsidP="00245180">
      <w:pPr>
        <w:tabs>
          <w:tab w:val="left" w:pos="7725"/>
        </w:tabs>
        <w:jc w:val="both"/>
        <w:rPr>
          <w:rFonts w:eastAsia="ヒラギノ角ゴ Pro W3"/>
          <w:lang w:eastAsia="en-US"/>
        </w:rPr>
      </w:pPr>
    </w:p>
    <w:p w:rsidR="002A7B7D" w:rsidRDefault="002A7B7D" w:rsidP="002A7B7D">
      <w:pPr>
        <w:pStyle w:val="ListParagraph"/>
        <w:numPr>
          <w:ilvl w:val="0"/>
          <w:numId w:val="1"/>
        </w:numPr>
        <w:tabs>
          <w:tab w:val="left" w:pos="7725"/>
        </w:tabs>
        <w:jc w:val="both"/>
        <w:rPr>
          <w:rFonts w:eastAsia="ヒラギノ角ゴ Pro W3"/>
          <w:lang w:eastAsia="en-US"/>
        </w:rPr>
      </w:pPr>
      <w:r>
        <w:rPr>
          <w:rFonts w:eastAsia="ヒラギノ角ゴ Pro W3"/>
          <w:lang w:eastAsia="en-US"/>
        </w:rPr>
        <w:t>Cotton Australia understands that the CCP believes that the draft WACC applied to Essential and other re</w:t>
      </w:r>
      <w:r w:rsidR="00F566A7">
        <w:rPr>
          <w:rFonts w:eastAsia="ヒラギノ角ゴ Pro W3"/>
          <w:lang w:eastAsia="en-US"/>
        </w:rPr>
        <w:t>cen</w:t>
      </w:r>
      <w:r>
        <w:rPr>
          <w:rFonts w:eastAsia="ヒラギノ角ゴ Pro W3"/>
          <w:lang w:eastAsia="en-US"/>
        </w:rPr>
        <w:t>t Determinations is still too high, and a WACC in the 6-7% range would fall within the application of the AER’s WACC setting Guidelines.</w:t>
      </w:r>
    </w:p>
    <w:p w:rsidR="002A7B7D" w:rsidRDefault="002A7B7D" w:rsidP="002A7B7D">
      <w:pPr>
        <w:pStyle w:val="ListParagraph"/>
        <w:numPr>
          <w:ilvl w:val="0"/>
          <w:numId w:val="1"/>
        </w:numPr>
        <w:tabs>
          <w:tab w:val="left" w:pos="7725"/>
        </w:tabs>
        <w:jc w:val="both"/>
        <w:rPr>
          <w:rFonts w:eastAsia="ヒラギノ角ゴ Pro W3"/>
          <w:lang w:eastAsia="en-US"/>
        </w:rPr>
      </w:pPr>
      <w:r>
        <w:rPr>
          <w:rFonts w:eastAsia="ヒラギノ角ゴ Pro W3"/>
          <w:lang w:eastAsia="en-US"/>
        </w:rPr>
        <w:t>Compared to many businesses, the networks are very low risk business, and therefore a lower WACC would be appropriate.</w:t>
      </w:r>
    </w:p>
    <w:p w:rsidR="002A7B7D" w:rsidRPr="002A7B7D" w:rsidRDefault="002A7B7D" w:rsidP="002A7B7D">
      <w:pPr>
        <w:pStyle w:val="ListParagraph"/>
        <w:numPr>
          <w:ilvl w:val="0"/>
          <w:numId w:val="1"/>
        </w:numPr>
        <w:tabs>
          <w:tab w:val="left" w:pos="7725"/>
        </w:tabs>
        <w:jc w:val="both"/>
        <w:rPr>
          <w:rFonts w:eastAsia="ヒラギノ角ゴ Pro W3"/>
          <w:lang w:eastAsia="en-US"/>
        </w:rPr>
      </w:pPr>
      <w:r>
        <w:rPr>
          <w:rFonts w:eastAsia="ヒラギノ角ゴ Pro W3"/>
          <w:lang w:eastAsia="en-US"/>
        </w:rPr>
        <w:t>Shifts in Australian interest rates since the setting of the last Determination would suggest a minimum reduction of three percentage points from the last Determination (</w:t>
      </w:r>
      <w:r w:rsidR="00C94F20">
        <w:rPr>
          <w:rFonts w:eastAsia="ヒラギノ角ゴ Pro W3"/>
          <w:lang w:eastAsia="en-US"/>
        </w:rPr>
        <w:t>see Figure 8</w:t>
      </w:r>
      <w:r>
        <w:rPr>
          <w:rFonts w:eastAsia="ヒラギノ角ゴ Pro W3"/>
          <w:lang w:eastAsia="en-US"/>
        </w:rPr>
        <w:t xml:space="preserve">).    </w:t>
      </w:r>
    </w:p>
    <w:p w:rsidR="001E3890" w:rsidRDefault="001E3890" w:rsidP="00245180">
      <w:pPr>
        <w:tabs>
          <w:tab w:val="left" w:pos="7725"/>
        </w:tabs>
        <w:jc w:val="both"/>
        <w:rPr>
          <w:rFonts w:eastAsia="ヒラギノ角ゴ Pro W3"/>
          <w:lang w:eastAsia="en-US"/>
        </w:rPr>
      </w:pPr>
    </w:p>
    <w:p w:rsidR="002A7B7D" w:rsidRDefault="002A7B7D" w:rsidP="00245180">
      <w:pPr>
        <w:tabs>
          <w:tab w:val="left" w:pos="7725"/>
        </w:tabs>
        <w:jc w:val="both"/>
        <w:rPr>
          <w:rFonts w:eastAsia="ヒラギノ角ゴ Pro W3"/>
          <w:b/>
          <w:lang w:eastAsia="en-US"/>
        </w:rPr>
      </w:pPr>
    </w:p>
    <w:p w:rsidR="00E9586C" w:rsidRDefault="00E9586C" w:rsidP="00245180">
      <w:pPr>
        <w:tabs>
          <w:tab w:val="left" w:pos="7725"/>
        </w:tabs>
        <w:jc w:val="both"/>
        <w:rPr>
          <w:rFonts w:eastAsia="ヒラギノ角ゴ Pro W3"/>
          <w:b/>
          <w:lang w:eastAsia="en-US"/>
        </w:rPr>
      </w:pPr>
    </w:p>
    <w:p w:rsidR="001E3890" w:rsidRDefault="001E3890" w:rsidP="00245180">
      <w:pPr>
        <w:tabs>
          <w:tab w:val="left" w:pos="7725"/>
        </w:tabs>
        <w:jc w:val="both"/>
        <w:rPr>
          <w:rFonts w:eastAsia="ヒラギノ角ゴ Pro W3"/>
          <w:b/>
          <w:lang w:eastAsia="en-US"/>
        </w:rPr>
      </w:pPr>
      <w:r>
        <w:rPr>
          <w:rFonts w:eastAsia="ヒラギノ角ゴ Pro W3"/>
          <w:b/>
          <w:lang w:eastAsia="en-US"/>
        </w:rPr>
        <w:t>Figure 8</w:t>
      </w:r>
      <w:r w:rsidR="002A7B7D">
        <w:rPr>
          <w:rFonts w:eastAsia="ヒラギノ角ゴ Pro W3"/>
          <w:b/>
          <w:lang w:eastAsia="en-US"/>
        </w:rPr>
        <w:t xml:space="preserve"> – Australian cash rate</w:t>
      </w:r>
    </w:p>
    <w:p w:rsidR="001E3890" w:rsidRDefault="001E3890" w:rsidP="00245180">
      <w:pPr>
        <w:tabs>
          <w:tab w:val="left" w:pos="7725"/>
        </w:tabs>
        <w:jc w:val="both"/>
        <w:rPr>
          <w:rFonts w:eastAsia="ヒラギノ角ゴ Pro W3"/>
          <w:b/>
          <w:lang w:eastAsia="en-US"/>
        </w:rPr>
      </w:pPr>
      <w:r>
        <w:rPr>
          <w:noProof/>
        </w:rPr>
        <w:drawing>
          <wp:inline distT="0" distB="0" distL="0" distR="0" wp14:anchorId="0DCD0DB7" wp14:editId="0E93E94B">
            <wp:extent cx="5216599" cy="4229100"/>
            <wp:effectExtent l="0" t="0" r="3175" b="0"/>
            <wp:docPr id="4" name="Picture 4" descr="C:\Users\michaelm\AppData\Local\Temp\Temp1_18bl-cr-gif.zip\18bl-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m\AppData\Local\Temp\Temp1_18bl-cr-gif.zip\18bl-cr.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733"/>
                    <a:stretch/>
                  </pic:blipFill>
                  <pic:spPr bwMode="auto">
                    <a:xfrm>
                      <a:off x="0" y="0"/>
                      <a:ext cx="5222286" cy="4233711"/>
                    </a:xfrm>
                    <a:prstGeom prst="rect">
                      <a:avLst/>
                    </a:prstGeom>
                    <a:noFill/>
                    <a:ln>
                      <a:noFill/>
                    </a:ln>
                    <a:extLst>
                      <a:ext uri="{53640926-AAD7-44D8-BBD7-CCE9431645EC}">
                        <a14:shadowObscured xmlns:a14="http://schemas.microsoft.com/office/drawing/2010/main"/>
                      </a:ext>
                    </a:extLst>
                  </pic:spPr>
                </pic:pic>
              </a:graphicData>
            </a:graphic>
          </wp:inline>
        </w:drawing>
      </w:r>
    </w:p>
    <w:p w:rsidR="001E3890" w:rsidRDefault="002A7B7D" w:rsidP="00245180">
      <w:pPr>
        <w:tabs>
          <w:tab w:val="left" w:pos="7725"/>
        </w:tabs>
        <w:jc w:val="both"/>
        <w:rPr>
          <w:rFonts w:eastAsia="ヒラギノ角ゴ Pro W3"/>
          <w:b/>
          <w:lang w:eastAsia="en-US"/>
        </w:rPr>
      </w:pPr>
      <w:r>
        <w:rPr>
          <w:rStyle w:val="FootnoteReference"/>
          <w:rFonts w:eastAsia="ヒラギノ角ゴ Pro W3"/>
          <w:b/>
          <w:lang w:eastAsia="en-US"/>
        </w:rPr>
        <w:footnoteReference w:id="7"/>
      </w:r>
    </w:p>
    <w:p w:rsidR="00F566A7" w:rsidRDefault="00F566A7" w:rsidP="00245180">
      <w:pPr>
        <w:tabs>
          <w:tab w:val="left" w:pos="7725"/>
        </w:tabs>
        <w:jc w:val="both"/>
        <w:rPr>
          <w:rFonts w:eastAsia="ヒラギノ角ゴ Pro W3"/>
          <w:b/>
          <w:i/>
          <w:lang w:eastAsia="en-US"/>
        </w:rPr>
      </w:pPr>
      <w:r w:rsidRPr="00F566A7">
        <w:rPr>
          <w:rFonts w:eastAsia="ヒラギノ角ゴ Pro W3"/>
          <w:b/>
          <w:i/>
          <w:lang w:eastAsia="en-US"/>
        </w:rPr>
        <w:t>Taxation Allowances</w:t>
      </w:r>
    </w:p>
    <w:p w:rsidR="00F566A7" w:rsidRDefault="00F566A7" w:rsidP="00245180">
      <w:pPr>
        <w:tabs>
          <w:tab w:val="left" w:pos="7725"/>
        </w:tabs>
        <w:jc w:val="both"/>
        <w:rPr>
          <w:rFonts w:eastAsia="ヒラギノ角ゴ Pro W3"/>
          <w:b/>
          <w:i/>
          <w:lang w:eastAsia="en-US"/>
        </w:rPr>
      </w:pPr>
    </w:p>
    <w:p w:rsidR="00F566A7" w:rsidRDefault="00F566A7" w:rsidP="00245180">
      <w:pPr>
        <w:tabs>
          <w:tab w:val="left" w:pos="7725"/>
        </w:tabs>
        <w:jc w:val="both"/>
        <w:rPr>
          <w:rFonts w:eastAsia="ヒラギノ角ゴ Pro W3"/>
          <w:lang w:eastAsia="en-US"/>
        </w:rPr>
      </w:pPr>
      <w:r>
        <w:rPr>
          <w:rFonts w:eastAsia="ヒラギノ角ゴ Pro W3"/>
          <w:lang w:eastAsia="en-US"/>
        </w:rPr>
        <w:t>Cotton Australia calls on the AER to closely examine the way it determines allowances for taxation equivalents and the like.</w:t>
      </w:r>
    </w:p>
    <w:p w:rsidR="00F566A7" w:rsidRDefault="00F566A7" w:rsidP="00245180">
      <w:pPr>
        <w:tabs>
          <w:tab w:val="left" w:pos="7725"/>
        </w:tabs>
        <w:jc w:val="both"/>
        <w:rPr>
          <w:rFonts w:eastAsia="ヒラギノ角ゴ Pro W3"/>
          <w:lang w:eastAsia="en-US"/>
        </w:rPr>
      </w:pPr>
    </w:p>
    <w:p w:rsidR="00F566A7" w:rsidRPr="00F566A7" w:rsidRDefault="00F566A7" w:rsidP="00245180">
      <w:pPr>
        <w:tabs>
          <w:tab w:val="left" w:pos="7725"/>
        </w:tabs>
        <w:jc w:val="both"/>
        <w:rPr>
          <w:rFonts w:eastAsia="ヒラギノ角ゴ Pro W3"/>
          <w:lang w:eastAsia="en-US"/>
        </w:rPr>
      </w:pPr>
      <w:r>
        <w:rPr>
          <w:rFonts w:eastAsia="ヒラギノ角ゴ Pro W3"/>
          <w:lang w:eastAsia="en-US"/>
        </w:rPr>
        <w:t xml:space="preserve">Cotton Australia understands that there is significant evidence that the allowance </w:t>
      </w:r>
      <w:r w:rsidR="00C86885">
        <w:rPr>
          <w:rFonts w:eastAsia="ヒラギノ角ゴ Pro W3"/>
          <w:lang w:eastAsia="en-US"/>
        </w:rPr>
        <w:t>h</w:t>
      </w:r>
      <w:r>
        <w:rPr>
          <w:rFonts w:eastAsia="ヒラギノ角ゴ Pro W3"/>
          <w:lang w:eastAsia="en-US"/>
        </w:rPr>
        <w:t xml:space="preserve">as far exceed actual tax paid by privatised networks. This suggests that their maybe a systemic overestimation. </w:t>
      </w:r>
    </w:p>
    <w:p w:rsidR="00F566A7" w:rsidRDefault="00F566A7" w:rsidP="00245180">
      <w:pPr>
        <w:tabs>
          <w:tab w:val="left" w:pos="7725"/>
        </w:tabs>
        <w:jc w:val="both"/>
        <w:rPr>
          <w:rFonts w:eastAsia="ヒラギノ角ゴ Pro W3"/>
          <w:b/>
          <w:i/>
          <w:lang w:eastAsia="en-US"/>
        </w:rPr>
      </w:pPr>
    </w:p>
    <w:p w:rsidR="000D6644" w:rsidRDefault="000D6644" w:rsidP="00245180">
      <w:pPr>
        <w:tabs>
          <w:tab w:val="left" w:pos="7725"/>
        </w:tabs>
        <w:jc w:val="both"/>
        <w:rPr>
          <w:rFonts w:eastAsia="ヒラギノ角ゴ Pro W3"/>
          <w:b/>
          <w:i/>
          <w:lang w:eastAsia="en-US"/>
        </w:rPr>
      </w:pPr>
      <w:r w:rsidRPr="000D6644">
        <w:rPr>
          <w:rFonts w:eastAsia="ヒラギノ角ゴ Pro W3"/>
          <w:b/>
          <w:i/>
          <w:lang w:eastAsia="en-US"/>
        </w:rPr>
        <w:t>Consumer engagement</w:t>
      </w:r>
    </w:p>
    <w:p w:rsidR="000D6644" w:rsidRDefault="000D6644" w:rsidP="00245180">
      <w:pPr>
        <w:tabs>
          <w:tab w:val="left" w:pos="7725"/>
        </w:tabs>
        <w:jc w:val="both"/>
        <w:rPr>
          <w:rFonts w:eastAsia="ヒラギノ角ゴ Pro W3"/>
          <w:b/>
          <w:i/>
          <w:lang w:eastAsia="en-US"/>
        </w:rPr>
      </w:pPr>
    </w:p>
    <w:p w:rsidR="000D6644" w:rsidRDefault="000D6644" w:rsidP="00245180">
      <w:pPr>
        <w:tabs>
          <w:tab w:val="left" w:pos="7725"/>
        </w:tabs>
        <w:jc w:val="both"/>
        <w:rPr>
          <w:rFonts w:eastAsia="ヒラギノ角ゴ Pro W3"/>
          <w:lang w:eastAsia="en-US"/>
        </w:rPr>
      </w:pPr>
      <w:r>
        <w:rPr>
          <w:rFonts w:eastAsia="ヒラギノ角ゴ Pro W3"/>
          <w:lang w:eastAsia="en-US"/>
        </w:rPr>
        <w:t>Cotton Australia would give Ergon and Energex a pass mark for Consumer Engagement. We believe that have made an effort, but the reality is that given the timeframes</w:t>
      </w:r>
      <w:r w:rsidR="00D45F38">
        <w:rPr>
          <w:rFonts w:eastAsia="ヒラギノ角ゴ Pro W3"/>
          <w:lang w:eastAsia="en-US"/>
        </w:rPr>
        <w:t>, the complexities of their businesses, limited resources in organisations like ours, it is extremely difficult to get a full appreciations of their business.</w:t>
      </w:r>
    </w:p>
    <w:p w:rsidR="00D45F38" w:rsidRDefault="00D45F38" w:rsidP="00245180">
      <w:pPr>
        <w:tabs>
          <w:tab w:val="left" w:pos="7725"/>
        </w:tabs>
        <w:jc w:val="both"/>
        <w:rPr>
          <w:rFonts w:eastAsia="ヒラギノ角ゴ Pro W3"/>
          <w:lang w:eastAsia="en-US"/>
        </w:rPr>
      </w:pPr>
    </w:p>
    <w:p w:rsidR="00D45F38" w:rsidRDefault="00D45F38" w:rsidP="00245180">
      <w:pPr>
        <w:tabs>
          <w:tab w:val="left" w:pos="7725"/>
        </w:tabs>
        <w:jc w:val="both"/>
        <w:rPr>
          <w:rFonts w:eastAsia="ヒラギノ角ゴ Pro W3"/>
          <w:b/>
          <w:i/>
          <w:lang w:eastAsia="en-US"/>
        </w:rPr>
      </w:pPr>
      <w:r>
        <w:rPr>
          <w:rFonts w:eastAsia="ヒラギノ角ゴ Pro W3"/>
          <w:b/>
          <w:i/>
          <w:lang w:eastAsia="en-US"/>
        </w:rPr>
        <w:t>Final comments</w:t>
      </w:r>
    </w:p>
    <w:p w:rsidR="00D45F38" w:rsidRDefault="00D45F38" w:rsidP="00245180">
      <w:pPr>
        <w:tabs>
          <w:tab w:val="left" w:pos="7725"/>
        </w:tabs>
        <w:jc w:val="both"/>
        <w:rPr>
          <w:rFonts w:eastAsia="ヒラギノ角ゴ Pro W3"/>
          <w:b/>
          <w:i/>
          <w:lang w:eastAsia="en-US"/>
        </w:rPr>
      </w:pPr>
    </w:p>
    <w:p w:rsidR="00D45F38" w:rsidRDefault="00D45F38" w:rsidP="00245180">
      <w:pPr>
        <w:tabs>
          <w:tab w:val="left" w:pos="7725"/>
        </w:tabs>
        <w:jc w:val="both"/>
        <w:rPr>
          <w:rFonts w:eastAsia="ヒラギノ角ゴ Pro W3"/>
          <w:lang w:eastAsia="en-US"/>
        </w:rPr>
      </w:pPr>
      <w:r>
        <w:rPr>
          <w:rFonts w:eastAsia="ヒラギノ角ゴ Pro W3"/>
          <w:lang w:eastAsia="en-US"/>
        </w:rPr>
        <w:t>The bottom line is that irrigators and cotton growers, and indeed all users of electricity are sick and tired of paying inflated prices for electricity.</w:t>
      </w:r>
    </w:p>
    <w:p w:rsidR="00D45F38" w:rsidRDefault="00D45F38" w:rsidP="00245180">
      <w:pPr>
        <w:tabs>
          <w:tab w:val="left" w:pos="7725"/>
        </w:tabs>
        <w:jc w:val="both"/>
        <w:rPr>
          <w:rFonts w:eastAsia="ヒラギノ角ゴ Pro W3"/>
          <w:lang w:eastAsia="en-US"/>
        </w:rPr>
      </w:pPr>
    </w:p>
    <w:p w:rsidR="00D45F38" w:rsidRDefault="00D45F38" w:rsidP="00245180">
      <w:pPr>
        <w:tabs>
          <w:tab w:val="left" w:pos="7725"/>
        </w:tabs>
        <w:jc w:val="both"/>
        <w:rPr>
          <w:rFonts w:eastAsia="ヒラギノ角ゴ Pro W3"/>
          <w:lang w:eastAsia="en-US"/>
        </w:rPr>
      </w:pPr>
      <w:r>
        <w:rPr>
          <w:rFonts w:eastAsia="ヒラギノ角ゴ Pro W3"/>
          <w:lang w:eastAsia="en-US"/>
        </w:rPr>
        <w:t>The networks are established business</w:t>
      </w:r>
      <w:r w:rsidR="00F566A7">
        <w:rPr>
          <w:rFonts w:eastAsia="ヒラギノ角ゴ Pro W3"/>
          <w:lang w:eastAsia="en-US"/>
        </w:rPr>
        <w:t>es</w:t>
      </w:r>
      <w:r>
        <w:rPr>
          <w:rFonts w:eastAsia="ヒラギノ角ゴ Pro W3"/>
          <w:lang w:eastAsia="en-US"/>
        </w:rPr>
        <w:t xml:space="preserve">, and while Cotton Australia well understands that cost increases almost never track directly with inflation, the huge </w:t>
      </w:r>
      <w:r w:rsidR="00C94F20">
        <w:rPr>
          <w:rFonts w:eastAsia="ヒラギノ角ゴ Pro W3"/>
          <w:lang w:eastAsia="en-US"/>
        </w:rPr>
        <w:t xml:space="preserve">disparity </w:t>
      </w:r>
      <w:r>
        <w:rPr>
          <w:rFonts w:eastAsia="ヒラギノ角ゴ Pro W3"/>
          <w:lang w:eastAsia="en-US"/>
        </w:rPr>
        <w:t xml:space="preserve">between electricity cost increases since  2000 and inflation point to an absolutely fundamental flaw in </w:t>
      </w:r>
      <w:r w:rsidR="00C94F20">
        <w:rPr>
          <w:rFonts w:eastAsia="ヒラギノ角ゴ Pro W3"/>
          <w:lang w:eastAsia="en-US"/>
        </w:rPr>
        <w:t>pricing of</w:t>
      </w:r>
      <w:r>
        <w:rPr>
          <w:rFonts w:eastAsia="ヒラギノ角ゴ Pro W3"/>
          <w:lang w:eastAsia="en-US"/>
        </w:rPr>
        <w:t xml:space="preserve"> electricity and network services. </w:t>
      </w:r>
    </w:p>
    <w:p w:rsidR="00D45F38" w:rsidRDefault="00D45F38" w:rsidP="00245180">
      <w:pPr>
        <w:tabs>
          <w:tab w:val="left" w:pos="7725"/>
        </w:tabs>
        <w:jc w:val="both"/>
        <w:rPr>
          <w:rFonts w:eastAsia="ヒラギノ角ゴ Pro W3"/>
          <w:lang w:eastAsia="en-US"/>
        </w:rPr>
      </w:pPr>
    </w:p>
    <w:p w:rsidR="00D45F38" w:rsidRDefault="00D45F38" w:rsidP="00245180">
      <w:pPr>
        <w:tabs>
          <w:tab w:val="left" w:pos="7725"/>
        </w:tabs>
        <w:jc w:val="both"/>
        <w:rPr>
          <w:rFonts w:eastAsia="ヒラギノ角ゴ Pro W3"/>
          <w:lang w:eastAsia="en-US"/>
        </w:rPr>
      </w:pPr>
      <w:r>
        <w:rPr>
          <w:rFonts w:eastAsia="ヒラギノ角ゴ Pro W3"/>
          <w:lang w:eastAsia="en-US"/>
        </w:rPr>
        <w:t>It is time for the AER to draw a line in the sand, and force a significant downward reset in electricity network revenues and therefore pricing.</w:t>
      </w:r>
    </w:p>
    <w:p w:rsidR="00D45F38" w:rsidRDefault="00D45F38" w:rsidP="00245180">
      <w:pPr>
        <w:tabs>
          <w:tab w:val="left" w:pos="7725"/>
        </w:tabs>
        <w:jc w:val="both"/>
        <w:rPr>
          <w:rFonts w:eastAsia="ヒラギノ角ゴ Pro W3"/>
          <w:lang w:eastAsia="en-US"/>
        </w:rPr>
      </w:pPr>
    </w:p>
    <w:p w:rsidR="00D45F38" w:rsidRDefault="00D45F38" w:rsidP="00245180">
      <w:pPr>
        <w:tabs>
          <w:tab w:val="left" w:pos="7725"/>
        </w:tabs>
        <w:jc w:val="both"/>
        <w:rPr>
          <w:rFonts w:eastAsia="ヒラギノ角ゴ Pro W3"/>
          <w:lang w:eastAsia="en-US"/>
        </w:rPr>
      </w:pPr>
    </w:p>
    <w:sectPr w:rsidR="00D45F38">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2E48" w:rsidRDefault="00662E48" w:rsidP="0091041E">
      <w:r>
        <w:separator/>
      </w:r>
    </w:p>
  </w:endnote>
  <w:endnote w:type="continuationSeparator" w:id="0">
    <w:p w:rsidR="00662E48" w:rsidRDefault="00662E48" w:rsidP="00910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ヒラギノ角ゴ Pro W3">
    <w:altName w:val="MS Mincho"/>
    <w:charset w:val="80"/>
    <w:family w:val="auto"/>
    <w:pitch w:val="variable"/>
    <w:sig w:usb0="00000001" w:usb1="08070000" w:usb2="07040011"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8" w:rsidRDefault="00D45F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41E" w:rsidRDefault="0091041E" w:rsidP="0091041E">
    <w:pPr>
      <w:pStyle w:val="Footer"/>
      <w:jc w:val="center"/>
      <w:rPr>
        <w:rFonts w:ascii="Arial" w:hAnsi="Arial"/>
        <w:sz w:val="16"/>
        <w:szCs w:val="16"/>
      </w:rPr>
    </w:pPr>
    <w:r w:rsidRPr="002535B1">
      <w:rPr>
        <w:rFonts w:ascii="Arial" w:hAnsi="Arial"/>
        <w:b/>
        <w:sz w:val="16"/>
        <w:szCs w:val="16"/>
      </w:rPr>
      <w:t>COTTON AUSTRALIA LIMITED</w:t>
    </w:r>
    <w:r>
      <w:rPr>
        <w:rFonts w:ascii="Arial" w:hAnsi="Arial"/>
        <w:sz w:val="16"/>
        <w:szCs w:val="16"/>
      </w:rPr>
      <w:t xml:space="preserve"> – A.B.N 24 054 122 879</w:t>
    </w:r>
  </w:p>
  <w:p w:rsidR="0091041E" w:rsidRDefault="0091041E" w:rsidP="0091041E">
    <w:pPr>
      <w:pStyle w:val="Footer"/>
      <w:jc w:val="center"/>
      <w:rPr>
        <w:rFonts w:ascii="Arial" w:hAnsi="Arial"/>
        <w:sz w:val="16"/>
        <w:szCs w:val="16"/>
      </w:rPr>
    </w:pPr>
    <w:r w:rsidRPr="002535B1">
      <w:rPr>
        <w:rFonts w:ascii="Arial" w:hAnsi="Arial"/>
        <w:b/>
        <w:sz w:val="16"/>
        <w:szCs w:val="16"/>
      </w:rPr>
      <w:t>HEAD OFFICE:</w:t>
    </w:r>
    <w:r>
      <w:rPr>
        <w:rFonts w:ascii="Arial" w:hAnsi="Arial"/>
        <w:sz w:val="16"/>
        <w:szCs w:val="16"/>
      </w:rPr>
      <w:t xml:space="preserve">  SUITE 4.01, 247 COWARD ST, MASCOT NSW </w:t>
    </w:r>
    <w:proofErr w:type="gramStart"/>
    <w:r>
      <w:rPr>
        <w:rFonts w:ascii="Arial" w:hAnsi="Arial"/>
        <w:sz w:val="16"/>
        <w:szCs w:val="16"/>
      </w:rPr>
      <w:t>2020  P</w:t>
    </w:r>
    <w:proofErr w:type="gramEnd"/>
    <w:r>
      <w:rPr>
        <w:rFonts w:ascii="Arial" w:hAnsi="Arial"/>
        <w:sz w:val="16"/>
        <w:szCs w:val="16"/>
      </w:rPr>
      <w:t xml:space="preserve"> (02) 9669 5222  F (02) 9669 5511</w:t>
    </w:r>
  </w:p>
  <w:p w:rsidR="0091041E" w:rsidRDefault="0091041E" w:rsidP="0091041E">
    <w:pPr>
      <w:pStyle w:val="Footer"/>
      <w:jc w:val="center"/>
      <w:rPr>
        <w:rFonts w:ascii="Arial" w:hAnsi="Arial"/>
        <w:sz w:val="16"/>
        <w:szCs w:val="16"/>
      </w:rPr>
    </w:pPr>
    <w:r w:rsidRPr="002535B1">
      <w:rPr>
        <w:rFonts w:ascii="Arial" w:hAnsi="Arial"/>
        <w:b/>
        <w:sz w:val="16"/>
        <w:szCs w:val="16"/>
      </w:rPr>
      <w:t>TOOWOOMBA OFFICE:</w:t>
    </w:r>
    <w:r>
      <w:rPr>
        <w:rFonts w:ascii="Arial" w:hAnsi="Arial"/>
        <w:sz w:val="16"/>
        <w:szCs w:val="16"/>
      </w:rPr>
      <w:t xml:space="preserve">  115 CAMPBELL ST, TOOWOOMBA QLD 4350</w:t>
    </w:r>
  </w:p>
  <w:p w:rsidR="0091041E" w:rsidRDefault="0091041E" w:rsidP="0091041E">
    <w:pPr>
      <w:pStyle w:val="Footer"/>
      <w:jc w:val="center"/>
      <w:rPr>
        <w:rFonts w:ascii="Arial" w:hAnsi="Arial"/>
        <w:sz w:val="16"/>
        <w:szCs w:val="16"/>
      </w:rPr>
    </w:pPr>
    <w:r w:rsidRPr="002535B1">
      <w:rPr>
        <w:rFonts w:ascii="Arial" w:hAnsi="Arial"/>
        <w:b/>
        <w:sz w:val="16"/>
        <w:szCs w:val="16"/>
      </w:rPr>
      <w:t>NARRABRI OFFICE:</w:t>
    </w:r>
    <w:r>
      <w:rPr>
        <w:rFonts w:ascii="Arial" w:hAnsi="Arial"/>
        <w:sz w:val="16"/>
        <w:szCs w:val="16"/>
      </w:rPr>
      <w:t xml:space="preserve">  LEVEL 2, 2 LLOYD ST, NARRABRI NSW 2390</w:t>
    </w:r>
  </w:p>
  <w:p w:rsidR="0091041E" w:rsidRPr="002535B1" w:rsidRDefault="0091041E" w:rsidP="0091041E">
    <w:pPr>
      <w:pStyle w:val="Footer"/>
      <w:jc w:val="center"/>
      <w:rPr>
        <w:rFonts w:ascii="Arial" w:hAnsi="Arial"/>
        <w:sz w:val="8"/>
        <w:szCs w:val="8"/>
      </w:rPr>
    </w:pPr>
  </w:p>
  <w:p w:rsidR="0091041E" w:rsidRPr="002535B1" w:rsidRDefault="0091041E" w:rsidP="0091041E">
    <w:pPr>
      <w:pStyle w:val="Footer"/>
      <w:jc w:val="center"/>
      <w:rPr>
        <w:rFonts w:ascii="Arial" w:hAnsi="Arial"/>
        <w:i/>
        <w:sz w:val="16"/>
        <w:szCs w:val="16"/>
      </w:rPr>
    </w:pPr>
    <w:r w:rsidRPr="002535B1">
      <w:rPr>
        <w:rFonts w:ascii="Arial" w:hAnsi="Arial"/>
        <w:i/>
        <w:sz w:val="16"/>
        <w:szCs w:val="16"/>
      </w:rPr>
      <w:t>www.cottonaustralia.com.au</w:t>
    </w:r>
  </w:p>
  <w:p w:rsidR="0091041E" w:rsidRDefault="0091041E" w:rsidP="0091041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8" w:rsidRDefault="00D45F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2E48" w:rsidRDefault="00662E48" w:rsidP="0091041E">
      <w:r>
        <w:separator/>
      </w:r>
    </w:p>
  </w:footnote>
  <w:footnote w:type="continuationSeparator" w:id="0">
    <w:p w:rsidR="00662E48" w:rsidRDefault="00662E48" w:rsidP="0091041E">
      <w:r>
        <w:continuationSeparator/>
      </w:r>
    </w:p>
  </w:footnote>
  <w:footnote w:id="1">
    <w:p w:rsidR="006C1D57" w:rsidRDefault="006C1D57">
      <w:pPr>
        <w:pStyle w:val="FootnoteText"/>
      </w:pPr>
      <w:r>
        <w:rPr>
          <w:rStyle w:val="FootnoteReference"/>
        </w:rPr>
        <w:footnoteRef/>
      </w:r>
      <w:r>
        <w:t xml:space="preserve"> Source Cotton Australia</w:t>
      </w:r>
    </w:p>
  </w:footnote>
  <w:footnote w:id="2">
    <w:p w:rsidR="000F08B4" w:rsidRDefault="000F08B4">
      <w:pPr>
        <w:pStyle w:val="FootnoteText"/>
      </w:pPr>
      <w:r>
        <w:rPr>
          <w:rStyle w:val="FootnoteReference"/>
        </w:rPr>
        <w:footnoteRef/>
      </w:r>
      <w:r>
        <w:t xml:space="preserve"> Source Cotton Australia</w:t>
      </w:r>
    </w:p>
  </w:footnote>
  <w:footnote w:id="3">
    <w:p w:rsidR="005755DF" w:rsidRDefault="005755DF">
      <w:pPr>
        <w:pStyle w:val="FootnoteText"/>
      </w:pPr>
      <w:r>
        <w:rPr>
          <w:rStyle w:val="FootnoteReference"/>
        </w:rPr>
        <w:footnoteRef/>
      </w:r>
      <w:r>
        <w:t xml:space="preserve"> Hugh Grant – AER CCP</w:t>
      </w:r>
    </w:p>
  </w:footnote>
  <w:footnote w:id="4">
    <w:p w:rsidR="005A65DB" w:rsidRDefault="005A65DB">
      <w:pPr>
        <w:pStyle w:val="FootnoteText"/>
      </w:pPr>
      <w:r>
        <w:rPr>
          <w:rStyle w:val="FootnoteReference"/>
        </w:rPr>
        <w:footnoteRef/>
      </w:r>
      <w:r>
        <w:t xml:space="preserve"> Source Hugh Grant – AER CCP</w:t>
      </w:r>
    </w:p>
  </w:footnote>
  <w:footnote w:id="5">
    <w:p w:rsidR="00772306" w:rsidRDefault="00772306">
      <w:pPr>
        <w:pStyle w:val="FootnoteText"/>
      </w:pPr>
      <w:r>
        <w:rPr>
          <w:rStyle w:val="FootnoteReference"/>
        </w:rPr>
        <w:footnoteRef/>
      </w:r>
      <w:r>
        <w:t xml:space="preserve"> AER Issue Paper </w:t>
      </w:r>
      <w:proofErr w:type="spellStart"/>
      <w:r>
        <w:t>Pg</w:t>
      </w:r>
      <w:proofErr w:type="spellEnd"/>
      <w:r>
        <w:t xml:space="preserve"> 19</w:t>
      </w:r>
    </w:p>
  </w:footnote>
  <w:footnote w:id="6">
    <w:p w:rsidR="00772306" w:rsidRDefault="00772306">
      <w:pPr>
        <w:pStyle w:val="FootnoteText"/>
      </w:pPr>
      <w:r>
        <w:rPr>
          <w:rStyle w:val="FootnoteReference"/>
        </w:rPr>
        <w:footnoteRef/>
      </w:r>
      <w:r>
        <w:t xml:space="preserve"> AER Issue Paper – </w:t>
      </w:r>
      <w:proofErr w:type="spellStart"/>
      <w:r>
        <w:t>Pg</w:t>
      </w:r>
      <w:proofErr w:type="spellEnd"/>
      <w:r>
        <w:t xml:space="preserve"> 20</w:t>
      </w:r>
    </w:p>
  </w:footnote>
  <w:footnote w:id="7">
    <w:p w:rsidR="002A7B7D" w:rsidRDefault="002A7B7D">
      <w:pPr>
        <w:pStyle w:val="FootnoteText"/>
      </w:pPr>
      <w:r>
        <w:rPr>
          <w:rStyle w:val="FootnoteReference"/>
        </w:rPr>
        <w:footnoteRef/>
      </w:r>
      <w:r>
        <w:t xml:space="preserve"> </w:t>
      </w:r>
      <w:r w:rsidR="000D6644">
        <w:t>Source Reserve Bank of Australia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8" w:rsidRDefault="00D45F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41E" w:rsidRDefault="0091041E" w:rsidP="0091041E">
    <w:pPr>
      <w:pStyle w:val="Header"/>
      <w:jc w:val="center"/>
    </w:pPr>
    <w:r w:rsidRPr="0091041E">
      <w:rPr>
        <w:rFonts w:ascii="Cambria" w:eastAsia="MS Mincho" w:hAnsi="Cambria"/>
        <w:noProof/>
      </w:rPr>
      <w:drawing>
        <wp:inline distT="0" distB="0" distL="0" distR="0" wp14:anchorId="1062908C" wp14:editId="305005E7">
          <wp:extent cx="1321725" cy="1381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 logo with tagline - blue - high res.jpg"/>
                  <pic:cNvPicPr/>
                </pic:nvPicPr>
                <pic:blipFill>
                  <a:blip r:embed="rId1">
                    <a:extLst>
                      <a:ext uri="{28A0092B-C50C-407E-A947-70E740481C1C}">
                        <a14:useLocalDpi xmlns:a14="http://schemas.microsoft.com/office/drawing/2010/main" val="0"/>
                      </a:ext>
                    </a:extLst>
                  </a:blip>
                  <a:stretch>
                    <a:fillRect/>
                  </a:stretch>
                </pic:blipFill>
                <pic:spPr>
                  <a:xfrm>
                    <a:off x="0" y="0"/>
                    <a:ext cx="1322039" cy="138208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F38" w:rsidRDefault="00D45F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A56844"/>
    <w:multiLevelType w:val="hybridMultilevel"/>
    <w:tmpl w:val="840C4F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839"/>
    <w:rsid w:val="00003BDD"/>
    <w:rsid w:val="000304AB"/>
    <w:rsid w:val="000640A1"/>
    <w:rsid w:val="00084AA0"/>
    <w:rsid w:val="000D6644"/>
    <w:rsid w:val="000F08B4"/>
    <w:rsid w:val="001E3890"/>
    <w:rsid w:val="001E3CA6"/>
    <w:rsid w:val="00241EDB"/>
    <w:rsid w:val="00245180"/>
    <w:rsid w:val="002A7B7D"/>
    <w:rsid w:val="004048F9"/>
    <w:rsid w:val="005101C4"/>
    <w:rsid w:val="005755DF"/>
    <w:rsid w:val="005A65DB"/>
    <w:rsid w:val="005D4B5B"/>
    <w:rsid w:val="00641184"/>
    <w:rsid w:val="00662E48"/>
    <w:rsid w:val="00666F1F"/>
    <w:rsid w:val="0069064A"/>
    <w:rsid w:val="006C1D57"/>
    <w:rsid w:val="00703EC8"/>
    <w:rsid w:val="00754C89"/>
    <w:rsid w:val="00770608"/>
    <w:rsid w:val="00772306"/>
    <w:rsid w:val="00782E06"/>
    <w:rsid w:val="007A22E2"/>
    <w:rsid w:val="008B044E"/>
    <w:rsid w:val="009056CA"/>
    <w:rsid w:val="009101EE"/>
    <w:rsid w:val="0091041E"/>
    <w:rsid w:val="009D4887"/>
    <w:rsid w:val="00A03286"/>
    <w:rsid w:val="00A74A01"/>
    <w:rsid w:val="00B608CD"/>
    <w:rsid w:val="00B9389A"/>
    <w:rsid w:val="00BB22CA"/>
    <w:rsid w:val="00BC3010"/>
    <w:rsid w:val="00BD33D1"/>
    <w:rsid w:val="00BD4050"/>
    <w:rsid w:val="00C80839"/>
    <w:rsid w:val="00C86885"/>
    <w:rsid w:val="00C94F20"/>
    <w:rsid w:val="00CF2CDB"/>
    <w:rsid w:val="00D45F38"/>
    <w:rsid w:val="00E10E6A"/>
    <w:rsid w:val="00E238F4"/>
    <w:rsid w:val="00E9586C"/>
    <w:rsid w:val="00F1700A"/>
    <w:rsid w:val="00F566A7"/>
    <w:rsid w:val="00F95C0B"/>
    <w:rsid w:val="00FF61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513"/>
        <w:tab w:val="right" w:pos="9026"/>
      </w:tabs>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513"/>
        <w:tab w:val="right" w:pos="9026"/>
      </w:tabs>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character" w:styleId="Hyperlink">
    <w:name w:val="Hyperlink"/>
    <w:rsid w:val="00C80839"/>
    <w:rPr>
      <w:color w:val="0000FF"/>
      <w:u w:val="single"/>
    </w:rPr>
  </w:style>
  <w:style w:type="paragraph" w:styleId="FootnoteText">
    <w:name w:val="footnote text"/>
    <w:basedOn w:val="Normal"/>
    <w:link w:val="FootnoteTextChar"/>
    <w:uiPriority w:val="99"/>
    <w:semiHidden/>
    <w:unhideWhenUsed/>
    <w:rsid w:val="009D4887"/>
    <w:rPr>
      <w:sz w:val="20"/>
      <w:szCs w:val="20"/>
    </w:rPr>
  </w:style>
  <w:style w:type="character" w:customStyle="1" w:styleId="FootnoteTextChar">
    <w:name w:val="Footnote Text Char"/>
    <w:basedOn w:val="DefaultParagraphFont"/>
    <w:link w:val="FootnoteText"/>
    <w:uiPriority w:val="99"/>
    <w:semiHidden/>
    <w:rsid w:val="009D488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D4887"/>
    <w:rPr>
      <w:vertAlign w:val="superscript"/>
    </w:rPr>
  </w:style>
  <w:style w:type="paragraph" w:styleId="Caption">
    <w:name w:val="caption"/>
    <w:basedOn w:val="Normal"/>
    <w:next w:val="Normal"/>
    <w:uiPriority w:val="35"/>
    <w:qFormat/>
    <w:rsid w:val="00772306"/>
    <w:pPr>
      <w:keepNext/>
      <w:tabs>
        <w:tab w:val="left" w:pos="1440"/>
      </w:tabs>
      <w:spacing w:before="120" w:after="120" w:line="288" w:lineRule="auto"/>
      <w:ind w:left="1440" w:hanging="1440"/>
      <w:jc w:val="both"/>
    </w:pPr>
    <w:rPr>
      <w:rFonts w:ascii="Gautami" w:hAnsi="Gautami"/>
      <w:b/>
      <w:bCs/>
      <w:sz w:val="20"/>
      <w:szCs w:val="18"/>
      <w:lang w:eastAsia="en-US"/>
    </w:rPr>
  </w:style>
  <w:style w:type="paragraph" w:styleId="ListParagraph">
    <w:name w:val="List Paragraph"/>
    <w:basedOn w:val="Normal"/>
    <w:uiPriority w:val="34"/>
    <w:qFormat/>
    <w:rsid w:val="002A7B7D"/>
    <w:pPr>
      <w:ind w:left="720"/>
      <w:contextualSpacing/>
    </w:pPr>
  </w:style>
  <w:style w:type="character" w:styleId="CommentReference">
    <w:name w:val="annotation reference"/>
    <w:basedOn w:val="DefaultParagraphFont"/>
    <w:uiPriority w:val="99"/>
    <w:semiHidden/>
    <w:unhideWhenUsed/>
    <w:rsid w:val="00703EC8"/>
    <w:rPr>
      <w:sz w:val="16"/>
      <w:szCs w:val="16"/>
    </w:rPr>
  </w:style>
  <w:style w:type="paragraph" w:styleId="CommentText">
    <w:name w:val="annotation text"/>
    <w:basedOn w:val="Normal"/>
    <w:link w:val="CommentTextChar"/>
    <w:uiPriority w:val="99"/>
    <w:semiHidden/>
    <w:unhideWhenUsed/>
    <w:rsid w:val="00703EC8"/>
    <w:rPr>
      <w:sz w:val="20"/>
      <w:szCs w:val="20"/>
    </w:rPr>
  </w:style>
  <w:style w:type="character" w:customStyle="1" w:styleId="CommentTextChar">
    <w:name w:val="Comment Text Char"/>
    <w:basedOn w:val="DefaultParagraphFont"/>
    <w:link w:val="CommentText"/>
    <w:uiPriority w:val="99"/>
    <w:semiHidden/>
    <w:rsid w:val="00703E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3EC8"/>
    <w:rPr>
      <w:b/>
      <w:bCs/>
    </w:rPr>
  </w:style>
  <w:style w:type="character" w:customStyle="1" w:styleId="CommentSubjectChar">
    <w:name w:val="Comment Subject Char"/>
    <w:basedOn w:val="CommentTextChar"/>
    <w:link w:val="CommentSubject"/>
    <w:uiPriority w:val="99"/>
    <w:semiHidden/>
    <w:rsid w:val="00703EC8"/>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3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41E"/>
    <w:pPr>
      <w:tabs>
        <w:tab w:val="center" w:pos="4513"/>
        <w:tab w:val="right" w:pos="9026"/>
      </w:tabs>
    </w:pPr>
  </w:style>
  <w:style w:type="character" w:customStyle="1" w:styleId="HeaderChar">
    <w:name w:val="Header Char"/>
    <w:basedOn w:val="DefaultParagraphFont"/>
    <w:link w:val="Header"/>
    <w:uiPriority w:val="99"/>
    <w:rsid w:val="0091041E"/>
  </w:style>
  <w:style w:type="paragraph" w:styleId="Footer">
    <w:name w:val="footer"/>
    <w:basedOn w:val="Normal"/>
    <w:link w:val="FooterChar"/>
    <w:uiPriority w:val="99"/>
    <w:unhideWhenUsed/>
    <w:rsid w:val="0091041E"/>
    <w:pPr>
      <w:tabs>
        <w:tab w:val="center" w:pos="4513"/>
        <w:tab w:val="right" w:pos="9026"/>
      </w:tabs>
    </w:pPr>
  </w:style>
  <w:style w:type="character" w:customStyle="1" w:styleId="FooterChar">
    <w:name w:val="Footer Char"/>
    <w:basedOn w:val="DefaultParagraphFont"/>
    <w:link w:val="Footer"/>
    <w:uiPriority w:val="99"/>
    <w:rsid w:val="0091041E"/>
  </w:style>
  <w:style w:type="paragraph" w:styleId="BalloonText">
    <w:name w:val="Balloon Text"/>
    <w:basedOn w:val="Normal"/>
    <w:link w:val="BalloonTextChar"/>
    <w:uiPriority w:val="99"/>
    <w:semiHidden/>
    <w:unhideWhenUsed/>
    <w:rsid w:val="0091041E"/>
    <w:rPr>
      <w:rFonts w:ascii="Tahoma" w:hAnsi="Tahoma" w:cs="Tahoma"/>
      <w:sz w:val="16"/>
      <w:szCs w:val="16"/>
    </w:rPr>
  </w:style>
  <w:style w:type="character" w:customStyle="1" w:styleId="BalloonTextChar">
    <w:name w:val="Balloon Text Char"/>
    <w:basedOn w:val="DefaultParagraphFont"/>
    <w:link w:val="BalloonText"/>
    <w:uiPriority w:val="99"/>
    <w:semiHidden/>
    <w:rsid w:val="0091041E"/>
    <w:rPr>
      <w:rFonts w:ascii="Tahoma" w:hAnsi="Tahoma" w:cs="Tahoma"/>
      <w:sz w:val="16"/>
      <w:szCs w:val="16"/>
    </w:rPr>
  </w:style>
  <w:style w:type="character" w:styleId="Hyperlink">
    <w:name w:val="Hyperlink"/>
    <w:rsid w:val="00C80839"/>
    <w:rPr>
      <w:color w:val="0000FF"/>
      <w:u w:val="single"/>
    </w:rPr>
  </w:style>
  <w:style w:type="paragraph" w:styleId="FootnoteText">
    <w:name w:val="footnote text"/>
    <w:basedOn w:val="Normal"/>
    <w:link w:val="FootnoteTextChar"/>
    <w:uiPriority w:val="99"/>
    <w:semiHidden/>
    <w:unhideWhenUsed/>
    <w:rsid w:val="009D4887"/>
    <w:rPr>
      <w:sz w:val="20"/>
      <w:szCs w:val="20"/>
    </w:rPr>
  </w:style>
  <w:style w:type="character" w:customStyle="1" w:styleId="FootnoteTextChar">
    <w:name w:val="Footnote Text Char"/>
    <w:basedOn w:val="DefaultParagraphFont"/>
    <w:link w:val="FootnoteText"/>
    <w:uiPriority w:val="99"/>
    <w:semiHidden/>
    <w:rsid w:val="009D488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D4887"/>
    <w:rPr>
      <w:vertAlign w:val="superscript"/>
    </w:rPr>
  </w:style>
  <w:style w:type="paragraph" w:styleId="Caption">
    <w:name w:val="caption"/>
    <w:basedOn w:val="Normal"/>
    <w:next w:val="Normal"/>
    <w:uiPriority w:val="35"/>
    <w:qFormat/>
    <w:rsid w:val="00772306"/>
    <w:pPr>
      <w:keepNext/>
      <w:tabs>
        <w:tab w:val="left" w:pos="1440"/>
      </w:tabs>
      <w:spacing w:before="120" w:after="120" w:line="288" w:lineRule="auto"/>
      <w:ind w:left="1440" w:hanging="1440"/>
      <w:jc w:val="both"/>
    </w:pPr>
    <w:rPr>
      <w:rFonts w:ascii="Gautami" w:hAnsi="Gautami"/>
      <w:b/>
      <w:bCs/>
      <w:sz w:val="20"/>
      <w:szCs w:val="18"/>
      <w:lang w:eastAsia="en-US"/>
    </w:rPr>
  </w:style>
  <w:style w:type="paragraph" w:styleId="ListParagraph">
    <w:name w:val="List Paragraph"/>
    <w:basedOn w:val="Normal"/>
    <w:uiPriority w:val="34"/>
    <w:qFormat/>
    <w:rsid w:val="002A7B7D"/>
    <w:pPr>
      <w:ind w:left="720"/>
      <w:contextualSpacing/>
    </w:pPr>
  </w:style>
  <w:style w:type="character" w:styleId="CommentReference">
    <w:name w:val="annotation reference"/>
    <w:basedOn w:val="DefaultParagraphFont"/>
    <w:uiPriority w:val="99"/>
    <w:semiHidden/>
    <w:unhideWhenUsed/>
    <w:rsid w:val="00703EC8"/>
    <w:rPr>
      <w:sz w:val="16"/>
      <w:szCs w:val="16"/>
    </w:rPr>
  </w:style>
  <w:style w:type="paragraph" w:styleId="CommentText">
    <w:name w:val="annotation text"/>
    <w:basedOn w:val="Normal"/>
    <w:link w:val="CommentTextChar"/>
    <w:uiPriority w:val="99"/>
    <w:semiHidden/>
    <w:unhideWhenUsed/>
    <w:rsid w:val="00703EC8"/>
    <w:rPr>
      <w:sz w:val="20"/>
      <w:szCs w:val="20"/>
    </w:rPr>
  </w:style>
  <w:style w:type="character" w:customStyle="1" w:styleId="CommentTextChar">
    <w:name w:val="Comment Text Char"/>
    <w:basedOn w:val="DefaultParagraphFont"/>
    <w:link w:val="CommentText"/>
    <w:uiPriority w:val="99"/>
    <w:semiHidden/>
    <w:rsid w:val="00703E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3EC8"/>
    <w:rPr>
      <w:b/>
      <w:bCs/>
    </w:rPr>
  </w:style>
  <w:style w:type="character" w:customStyle="1" w:styleId="CommentSubjectChar">
    <w:name w:val="Comment Subject Char"/>
    <w:basedOn w:val="CommentTextChar"/>
    <w:link w:val="CommentSubject"/>
    <w:uiPriority w:val="99"/>
    <w:semiHidden/>
    <w:rsid w:val="00703EC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547224">
      <w:bodyDiv w:val="1"/>
      <w:marLeft w:val="0"/>
      <w:marRight w:val="0"/>
      <w:marTop w:val="0"/>
      <w:marBottom w:val="0"/>
      <w:divBdr>
        <w:top w:val="none" w:sz="0" w:space="0" w:color="auto"/>
        <w:left w:val="none" w:sz="0" w:space="0" w:color="auto"/>
        <w:bottom w:val="none" w:sz="0" w:space="0" w:color="auto"/>
        <w:right w:val="none" w:sz="0" w:space="0" w:color="auto"/>
      </w:divBdr>
    </w:div>
    <w:div w:id="179405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chaelm@cotton.org.au" TargetMode="External"/><Relationship Id="rId13" Type="http://schemas.openxmlformats.org/officeDocument/2006/relationships/chart" Target="charts/chart2.xml"/><Relationship Id="rId18" Type="http://schemas.openxmlformats.org/officeDocument/2006/relationships/image" Target="media/image6.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c:f>
              <c:strCache>
                <c:ptCount val="1"/>
                <c:pt idx="0">
                  <c:v>T62</c:v>
                </c:pt>
              </c:strCache>
            </c:strRef>
          </c:tx>
          <c:invertIfNegative val="0"/>
          <c:cat>
            <c:strRef>
              <c:f>Sheet1!$A$3:$A$11</c:f>
              <c:strCache>
                <c:ptCount val="9"/>
                <c:pt idx="0">
                  <c:v>2007/08</c:v>
                </c:pt>
                <c:pt idx="1">
                  <c:v>2008/09</c:v>
                </c:pt>
                <c:pt idx="2">
                  <c:v>2009/10</c:v>
                </c:pt>
                <c:pt idx="3">
                  <c:v>2010/11</c:v>
                </c:pt>
                <c:pt idx="4">
                  <c:v>2011/12</c:v>
                </c:pt>
                <c:pt idx="5">
                  <c:v>2012/13</c:v>
                </c:pt>
                <c:pt idx="6">
                  <c:v>2013/14</c:v>
                </c:pt>
                <c:pt idx="7">
                  <c:v>2014/15</c:v>
                </c:pt>
                <c:pt idx="8">
                  <c:v>Cummulative</c:v>
                </c:pt>
              </c:strCache>
            </c:strRef>
          </c:cat>
          <c:val>
            <c:numRef>
              <c:f>Sheet1!$B$3:$B$11</c:f>
              <c:numCache>
                <c:formatCode>0.00%</c:formatCode>
                <c:ptCount val="9"/>
                <c:pt idx="0">
                  <c:v>0.1137</c:v>
                </c:pt>
                <c:pt idx="1">
                  <c:v>9.06E-2</c:v>
                </c:pt>
                <c:pt idx="2">
                  <c:v>0.1182</c:v>
                </c:pt>
                <c:pt idx="3">
                  <c:v>0.13289999999999999</c:v>
                </c:pt>
                <c:pt idx="4">
                  <c:v>6.6000000000000003E-2</c:v>
                </c:pt>
                <c:pt idx="5" formatCode="0%">
                  <c:v>0.1</c:v>
                </c:pt>
                <c:pt idx="6" formatCode="0%">
                  <c:v>0.1</c:v>
                </c:pt>
                <c:pt idx="7" formatCode="0%">
                  <c:v>0.1</c:v>
                </c:pt>
                <c:pt idx="8" formatCode="0%">
                  <c:v>0.82140000000000002</c:v>
                </c:pt>
              </c:numCache>
            </c:numRef>
          </c:val>
        </c:ser>
        <c:ser>
          <c:idx val="1"/>
          <c:order val="1"/>
          <c:tx>
            <c:strRef>
              <c:f>Sheet1!$C$2</c:f>
              <c:strCache>
                <c:ptCount val="1"/>
                <c:pt idx="0">
                  <c:v>T11</c:v>
                </c:pt>
              </c:strCache>
            </c:strRef>
          </c:tx>
          <c:invertIfNegative val="0"/>
          <c:cat>
            <c:strRef>
              <c:f>Sheet1!$A$3:$A$11</c:f>
              <c:strCache>
                <c:ptCount val="9"/>
                <c:pt idx="0">
                  <c:v>2007/08</c:v>
                </c:pt>
                <c:pt idx="1">
                  <c:v>2008/09</c:v>
                </c:pt>
                <c:pt idx="2">
                  <c:v>2009/10</c:v>
                </c:pt>
                <c:pt idx="3">
                  <c:v>2010/11</c:v>
                </c:pt>
                <c:pt idx="4">
                  <c:v>2011/12</c:v>
                </c:pt>
                <c:pt idx="5">
                  <c:v>2012/13</c:v>
                </c:pt>
                <c:pt idx="6">
                  <c:v>2013/14</c:v>
                </c:pt>
                <c:pt idx="7">
                  <c:v>2014/15</c:v>
                </c:pt>
                <c:pt idx="8">
                  <c:v>Cummulative</c:v>
                </c:pt>
              </c:strCache>
            </c:strRef>
          </c:cat>
          <c:val>
            <c:numRef>
              <c:f>Sheet1!$C$3:$C$11</c:f>
              <c:numCache>
                <c:formatCode>0.00%</c:formatCode>
                <c:ptCount val="9"/>
                <c:pt idx="0">
                  <c:v>0.1137</c:v>
                </c:pt>
                <c:pt idx="1">
                  <c:v>9.06E-2</c:v>
                </c:pt>
                <c:pt idx="2">
                  <c:v>0.1182</c:v>
                </c:pt>
                <c:pt idx="3">
                  <c:v>0.13289999999999999</c:v>
                </c:pt>
                <c:pt idx="4">
                  <c:v>6.6000000000000003E-2</c:v>
                </c:pt>
                <c:pt idx="5" formatCode="0%">
                  <c:v>0.1</c:v>
                </c:pt>
                <c:pt idx="6">
                  <c:v>0.22600000000000001</c:v>
                </c:pt>
                <c:pt idx="7" formatCode="0%">
                  <c:v>0.05</c:v>
                </c:pt>
                <c:pt idx="8" formatCode="0%">
                  <c:v>0.89740000000000009</c:v>
                </c:pt>
              </c:numCache>
            </c:numRef>
          </c:val>
        </c:ser>
        <c:ser>
          <c:idx val="2"/>
          <c:order val="2"/>
          <c:tx>
            <c:strRef>
              <c:f>Sheet1!$D$2</c:f>
              <c:strCache>
                <c:ptCount val="1"/>
                <c:pt idx="0">
                  <c:v>CPI</c:v>
                </c:pt>
              </c:strCache>
            </c:strRef>
          </c:tx>
          <c:invertIfNegative val="0"/>
          <c:cat>
            <c:strRef>
              <c:f>Sheet1!$A$3:$A$11</c:f>
              <c:strCache>
                <c:ptCount val="9"/>
                <c:pt idx="0">
                  <c:v>2007/08</c:v>
                </c:pt>
                <c:pt idx="1">
                  <c:v>2008/09</c:v>
                </c:pt>
                <c:pt idx="2">
                  <c:v>2009/10</c:v>
                </c:pt>
                <c:pt idx="3">
                  <c:v>2010/11</c:v>
                </c:pt>
                <c:pt idx="4">
                  <c:v>2011/12</c:v>
                </c:pt>
                <c:pt idx="5">
                  <c:v>2012/13</c:v>
                </c:pt>
                <c:pt idx="6">
                  <c:v>2013/14</c:v>
                </c:pt>
                <c:pt idx="7">
                  <c:v>2014/15</c:v>
                </c:pt>
                <c:pt idx="8">
                  <c:v>Cummulative</c:v>
                </c:pt>
              </c:strCache>
            </c:strRef>
          </c:cat>
          <c:val>
            <c:numRef>
              <c:f>Sheet1!$D$3:$D$11</c:f>
              <c:numCache>
                <c:formatCode>0.00%</c:formatCode>
                <c:ptCount val="9"/>
                <c:pt idx="0">
                  <c:v>4.3999999999999997E-2</c:v>
                </c:pt>
                <c:pt idx="1">
                  <c:v>1.4E-2</c:v>
                </c:pt>
                <c:pt idx="2">
                  <c:v>3.1E-2</c:v>
                </c:pt>
                <c:pt idx="3">
                  <c:v>3.5000000000000003E-2</c:v>
                </c:pt>
                <c:pt idx="4">
                  <c:v>1.2E-2</c:v>
                </c:pt>
                <c:pt idx="5">
                  <c:v>2.4E-2</c:v>
                </c:pt>
                <c:pt idx="6" formatCode="0%">
                  <c:v>0.03</c:v>
                </c:pt>
                <c:pt idx="7">
                  <c:v>2.3E-2</c:v>
                </c:pt>
                <c:pt idx="8" formatCode="0%">
                  <c:v>0.21299999999999999</c:v>
                </c:pt>
              </c:numCache>
            </c:numRef>
          </c:val>
        </c:ser>
        <c:dLbls>
          <c:showLegendKey val="0"/>
          <c:showVal val="0"/>
          <c:showCatName val="0"/>
          <c:showSerName val="0"/>
          <c:showPercent val="0"/>
          <c:showBubbleSize val="0"/>
        </c:dLbls>
        <c:gapWidth val="150"/>
        <c:shape val="box"/>
        <c:axId val="227243904"/>
        <c:axId val="227245440"/>
        <c:axId val="0"/>
      </c:bar3DChart>
      <c:catAx>
        <c:axId val="227243904"/>
        <c:scaling>
          <c:orientation val="minMax"/>
        </c:scaling>
        <c:delete val="0"/>
        <c:axPos val="b"/>
        <c:majorTickMark val="out"/>
        <c:minorTickMark val="none"/>
        <c:tickLblPos val="nextTo"/>
        <c:crossAx val="227245440"/>
        <c:crosses val="autoZero"/>
        <c:auto val="1"/>
        <c:lblAlgn val="ctr"/>
        <c:lblOffset val="100"/>
        <c:noMultiLvlLbl val="0"/>
      </c:catAx>
      <c:valAx>
        <c:axId val="227245440"/>
        <c:scaling>
          <c:orientation val="minMax"/>
        </c:scaling>
        <c:delete val="0"/>
        <c:axPos val="l"/>
        <c:majorGridlines/>
        <c:numFmt formatCode="0%" sourceLinked="0"/>
        <c:majorTickMark val="out"/>
        <c:minorTickMark val="none"/>
        <c:tickLblPos val="nextTo"/>
        <c:crossAx val="22724390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dirty="0" err="1"/>
              <a:t>Ergon</a:t>
            </a:r>
            <a:r>
              <a:rPr lang="en-US" baseline="0" dirty="0"/>
              <a:t> </a:t>
            </a:r>
            <a:r>
              <a:rPr lang="en-US" baseline="0" dirty="0" smtClean="0"/>
              <a:t>: </a:t>
            </a:r>
            <a:r>
              <a:rPr lang="en-US" baseline="0" dirty="0"/>
              <a:t>System </a:t>
            </a:r>
            <a:r>
              <a:rPr lang="en-US" baseline="0" dirty="0" err="1" smtClean="0"/>
              <a:t>Utilisation</a:t>
            </a:r>
            <a:endParaRPr lang="en-US" dirty="0"/>
          </a:p>
        </c:rich>
      </c:tx>
      <c:overlay val="0"/>
    </c:title>
    <c:autoTitleDeleted val="0"/>
    <c:plotArea>
      <c:layout/>
      <c:lineChart>
        <c:grouping val="standard"/>
        <c:varyColors val="0"/>
        <c:ser>
          <c:idx val="0"/>
          <c:order val="0"/>
          <c:tx>
            <c:strRef>
              <c:f>'7. Quality of services'!$C$40</c:f>
              <c:strCache>
                <c:ptCount val="1"/>
                <c:pt idx="0">
                  <c:v>Ergon Utilisation (LHS)</c:v>
                </c:pt>
              </c:strCache>
            </c:strRef>
          </c:tx>
          <c:spPr>
            <a:ln w="25400"/>
          </c:spPr>
          <c:marker>
            <c:symbol val="square"/>
            <c:size val="5"/>
            <c:spPr>
              <a:solidFill>
                <a:schemeClr val="tx2"/>
              </a:solidFill>
              <a:ln>
                <a:solidFill>
                  <a:schemeClr val="tx2"/>
                </a:solidFill>
              </a:ln>
            </c:spPr>
          </c:marker>
          <c:cat>
            <c:numRef>
              <c:f>'7. Quality of services'!$D$39:$K$39</c:f>
              <c:numCache>
                <c:formatCode>General</c:formatCode>
                <c:ptCount val="8"/>
                <c:pt idx="0">
                  <c:v>2006</c:v>
                </c:pt>
                <c:pt idx="1">
                  <c:v>2007</c:v>
                </c:pt>
                <c:pt idx="2">
                  <c:v>2008</c:v>
                </c:pt>
                <c:pt idx="3">
                  <c:v>2009</c:v>
                </c:pt>
                <c:pt idx="4">
                  <c:v>2010</c:v>
                </c:pt>
                <c:pt idx="5">
                  <c:v>2011</c:v>
                </c:pt>
                <c:pt idx="6">
                  <c:v>2012</c:v>
                </c:pt>
                <c:pt idx="7">
                  <c:v>2013</c:v>
                </c:pt>
              </c:numCache>
            </c:numRef>
          </c:cat>
          <c:val>
            <c:numRef>
              <c:f>'7. Quality of services'!$D$40:$K$40</c:f>
              <c:numCache>
                <c:formatCode>0.0%</c:formatCode>
                <c:ptCount val="8"/>
                <c:pt idx="0">
                  <c:v>0.45675635920261798</c:v>
                </c:pt>
                <c:pt idx="1">
                  <c:v>0.467278592563941</c:v>
                </c:pt>
                <c:pt idx="2">
                  <c:v>0.45101952786483601</c:v>
                </c:pt>
                <c:pt idx="3">
                  <c:v>0.47227379931389402</c:v>
                </c:pt>
                <c:pt idx="4">
                  <c:v>0.43974433288992298</c:v>
                </c:pt>
                <c:pt idx="5">
                  <c:v>0.41379736577436199</c:v>
                </c:pt>
                <c:pt idx="6">
                  <c:v>0.40306087670948398</c:v>
                </c:pt>
                <c:pt idx="7">
                  <c:v>0.40361173839728398</c:v>
                </c:pt>
              </c:numCache>
            </c:numRef>
          </c:val>
          <c:smooth val="0"/>
        </c:ser>
        <c:dLbls>
          <c:showLegendKey val="0"/>
          <c:showVal val="0"/>
          <c:showCatName val="0"/>
          <c:showSerName val="0"/>
          <c:showPercent val="0"/>
          <c:showBubbleSize val="0"/>
        </c:dLbls>
        <c:marker val="1"/>
        <c:smooth val="0"/>
        <c:axId val="252572032"/>
        <c:axId val="255203584"/>
      </c:lineChart>
      <c:catAx>
        <c:axId val="252572032"/>
        <c:scaling>
          <c:orientation val="minMax"/>
        </c:scaling>
        <c:delete val="0"/>
        <c:axPos val="b"/>
        <c:numFmt formatCode="General" sourceLinked="1"/>
        <c:majorTickMark val="none"/>
        <c:minorTickMark val="none"/>
        <c:tickLblPos val="nextTo"/>
        <c:crossAx val="255203584"/>
        <c:crosses val="autoZero"/>
        <c:auto val="1"/>
        <c:lblAlgn val="ctr"/>
        <c:lblOffset val="100"/>
        <c:noMultiLvlLbl val="0"/>
      </c:catAx>
      <c:valAx>
        <c:axId val="255203584"/>
        <c:scaling>
          <c:orientation val="minMax"/>
          <c:min val="0.2"/>
        </c:scaling>
        <c:delete val="0"/>
        <c:axPos val="l"/>
        <c:majorGridlines/>
        <c:title>
          <c:tx>
            <c:rich>
              <a:bodyPr rot="-5400000" vert="horz"/>
              <a:lstStyle/>
              <a:p>
                <a:pPr>
                  <a:defRPr sz="1200">
                    <a:solidFill>
                      <a:sysClr val="windowText" lastClr="000000"/>
                    </a:solidFill>
                  </a:defRPr>
                </a:pPr>
                <a:r>
                  <a:rPr lang="en-US" sz="1200">
                    <a:solidFill>
                      <a:sysClr val="windowText" lastClr="000000"/>
                    </a:solidFill>
                  </a:rPr>
                  <a:t>Utilisation (%)</a:t>
                </a:r>
              </a:p>
            </c:rich>
          </c:tx>
          <c:overlay val="0"/>
        </c:title>
        <c:numFmt formatCode="0%" sourceLinked="0"/>
        <c:majorTickMark val="none"/>
        <c:minorTickMark val="none"/>
        <c:tickLblPos val="nextTo"/>
        <c:spPr>
          <a:ln w="9525">
            <a:noFill/>
          </a:ln>
        </c:spPr>
        <c:txPr>
          <a:bodyPr/>
          <a:lstStyle/>
          <a:p>
            <a:pPr>
              <a:defRPr b="0" i="0">
                <a:solidFill>
                  <a:sysClr val="windowText" lastClr="000000"/>
                </a:solidFill>
              </a:defRPr>
            </a:pPr>
            <a:endParaRPr lang="en-US"/>
          </a:p>
        </c:txPr>
        <c:crossAx val="252572032"/>
        <c:crosses val="autoZero"/>
        <c:crossBetween val="between"/>
      </c:valAx>
    </c:plotArea>
    <c:plotVisOnly val="1"/>
    <c:dispBlanksAs val="gap"/>
    <c:showDLblsOverMax val="0"/>
  </c:chart>
  <c:spPr>
    <a:ln>
      <a:solidFill>
        <a:schemeClr val="tx1"/>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0.20428</cdr:x>
      <cdr:y>0.01196</cdr:y>
    </cdr:from>
    <cdr:to>
      <cdr:x>0.8677</cdr:x>
      <cdr:y>0.04783</cdr:y>
    </cdr:to>
    <cdr:sp macro="" textlink="">
      <cdr:nvSpPr>
        <cdr:cNvPr id="2" name="TextBox 1"/>
        <cdr:cNvSpPr txBox="1"/>
      </cdr:nvSpPr>
      <cdr:spPr>
        <a:xfrm xmlns:a="http://schemas.openxmlformats.org/drawingml/2006/main">
          <a:off x="1000125" y="38100"/>
          <a:ext cx="3248025"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0.1537</cdr:x>
      <cdr:y>0.00897</cdr:y>
    </cdr:from>
    <cdr:to>
      <cdr:x>0.90078</cdr:x>
      <cdr:y>0.04484</cdr:y>
    </cdr:to>
    <cdr:sp macro="" textlink="">
      <cdr:nvSpPr>
        <cdr:cNvPr id="3" name="TextBox 2"/>
        <cdr:cNvSpPr txBox="1"/>
      </cdr:nvSpPr>
      <cdr:spPr>
        <a:xfrm xmlns:a="http://schemas.openxmlformats.org/drawingml/2006/main">
          <a:off x="752475" y="28575"/>
          <a:ext cx="3657600" cy="114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73C76B42</Template>
  <TotalTime>0</TotalTime>
  <Pages>12</Pages>
  <Words>2164</Words>
  <Characters>12339</Characters>
  <Application>Microsoft Office Word</Application>
  <DocSecurity>0</DocSecurity>
  <Lines>102</Lines>
  <Paragraphs>28</Paragraphs>
  <ScaleCrop>false</ScaleCrop>
  <Company/>
  <LinksUpToDate>false</LinksUpToDate>
  <CharactersWithSpaces>14475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2015-02-05T02:45:00Z</dcterms:created>
  <dcterms:modified xsi:type="dcterms:W3CDTF">2015-02-05T02:45:00Z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