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083A1" w14:textId="77777777" w:rsidR="00385B37" w:rsidRPr="00515615" w:rsidRDefault="00385B37" w:rsidP="00385B37">
      <w:pPr>
        <w:pStyle w:val="Header"/>
        <w:spacing w:before="120" w:after="120" w:line="240" w:lineRule="auto"/>
        <w:rPr>
          <w:rFonts w:asciiTheme="minorHAnsi" w:hAnsiTheme="minorHAnsi" w:cstheme="minorHAnsi"/>
          <w:b/>
          <w:color w:val="1E398D"/>
          <w:sz w:val="28"/>
          <w:szCs w:val="28"/>
        </w:rPr>
      </w:pPr>
      <w:bookmarkStart w:id="0" w:name="_GoBack"/>
      <w:bookmarkEnd w:id="0"/>
      <w:r w:rsidRPr="00515615">
        <w:rPr>
          <w:rFonts w:asciiTheme="minorHAnsi" w:hAnsiTheme="minorHAnsi" w:cstheme="minorHAnsi"/>
          <w:b/>
          <w:color w:val="1E398D"/>
          <w:sz w:val="28"/>
          <w:szCs w:val="28"/>
        </w:rPr>
        <w:t xml:space="preserve">Confidentiality </w:t>
      </w:r>
      <w:r>
        <w:rPr>
          <w:rFonts w:asciiTheme="minorHAnsi" w:hAnsiTheme="minorHAnsi" w:cstheme="minorHAnsi"/>
          <w:b/>
          <w:color w:val="1E398D"/>
          <w:sz w:val="28"/>
          <w:szCs w:val="28"/>
        </w:rPr>
        <w:t>Template</w:t>
      </w:r>
    </w:p>
    <w:p w14:paraId="108083A2" w14:textId="77777777" w:rsidR="002775FF" w:rsidRDefault="007B053A" w:rsidP="00385B37">
      <w:pPr>
        <w:pStyle w:val="MarginText"/>
        <w:spacing w:before="120" w:after="120"/>
        <w:rPr>
          <w:rFonts w:asciiTheme="minorHAnsi" w:hAnsiTheme="minorHAnsi" w:cstheme="minorHAnsi"/>
          <w:sz w:val="21"/>
          <w:szCs w:val="21"/>
        </w:rPr>
      </w:pPr>
      <w:r w:rsidRPr="005F1795">
        <w:rPr>
          <w:rFonts w:asciiTheme="minorHAnsi" w:hAnsiTheme="minorHAnsi" w:cstheme="minorHAnsi"/>
          <w:b/>
          <w:sz w:val="21"/>
          <w:szCs w:val="21"/>
        </w:rPr>
        <w:t>CitiPower</w:t>
      </w:r>
      <w:r w:rsidRPr="005F1795">
        <w:rPr>
          <w:rFonts w:asciiTheme="minorHAnsi" w:hAnsiTheme="minorHAnsi" w:cstheme="minorHAnsi"/>
          <w:sz w:val="21"/>
          <w:szCs w:val="21"/>
        </w:rPr>
        <w:t xml:space="preserve"> sets out below the completed Confidentiality template in respect of this regulatory proposal in accordance with the AER's </w:t>
      </w:r>
      <w:r w:rsidRPr="005F1795">
        <w:rPr>
          <w:rFonts w:asciiTheme="minorHAnsi" w:hAnsiTheme="minorHAnsi" w:cstheme="minorHAnsi"/>
          <w:i/>
          <w:sz w:val="21"/>
          <w:szCs w:val="21"/>
        </w:rPr>
        <w:t>Better Regulation Confidentiality Guideline</w:t>
      </w:r>
      <w:r w:rsidRPr="005F1795">
        <w:rPr>
          <w:rFonts w:asciiTheme="minorHAnsi" w:hAnsiTheme="minorHAnsi" w:cstheme="minorHAnsi"/>
          <w:sz w:val="21"/>
          <w:szCs w:val="21"/>
        </w:rPr>
        <w:t xml:space="preserve"> dated November 2013 (</w:t>
      </w:r>
      <w:r w:rsidRPr="005F1795">
        <w:rPr>
          <w:rFonts w:asciiTheme="minorHAnsi" w:hAnsiTheme="minorHAnsi" w:cstheme="minorHAnsi"/>
          <w:b/>
          <w:sz w:val="21"/>
          <w:szCs w:val="21"/>
        </w:rPr>
        <w:t>Confidentiality Guideline</w:t>
      </w:r>
      <w:r w:rsidRPr="005F1795">
        <w:rPr>
          <w:rFonts w:asciiTheme="minorHAnsi" w:hAnsiTheme="minorHAnsi" w:cstheme="minorHAnsi"/>
          <w:sz w:val="21"/>
          <w:szCs w:val="21"/>
        </w:rPr>
        <w:t>).</w:t>
      </w:r>
    </w:p>
    <w:p w14:paraId="108083A3" w14:textId="36691BAE" w:rsidR="00887A27" w:rsidRDefault="00515615" w:rsidP="00515615">
      <w:pPr>
        <w:pStyle w:val="TableCaption"/>
        <w:rPr>
          <w:rFonts w:cstheme="minorHAnsi"/>
          <w:sz w:val="21"/>
          <w:szCs w:val="21"/>
        </w:rPr>
      </w:pPr>
      <w:r>
        <w:t>Table 1.</w:t>
      </w:r>
      <w:fldSimple w:instr=" SEQ Table \* ARABIC \s 1 ">
        <w:r w:rsidR="009E1E46">
          <w:rPr>
            <w:noProof/>
          </w:rPr>
          <w:t>1</w:t>
        </w:r>
      </w:fldSimple>
      <w:r>
        <w:tab/>
        <w:t>Confidentiality template</w:t>
      </w:r>
    </w:p>
    <w:tbl>
      <w:tblPr>
        <w:tblW w:w="14742" w:type="dxa"/>
        <w:tblInd w:w="57" w:type="dxa"/>
        <w:tblBorders>
          <w:top w:val="single" w:sz="6" w:space="0" w:color="1E398D"/>
          <w:left w:val="single" w:sz="6" w:space="0" w:color="1E398D"/>
          <w:bottom w:val="single" w:sz="6" w:space="0" w:color="1E398D"/>
          <w:right w:val="single" w:sz="6" w:space="0" w:color="1E398D"/>
          <w:insideH w:val="single" w:sz="6" w:space="0" w:color="1E398D"/>
          <w:insideV w:val="single" w:sz="6" w:space="0" w:color="1E398D"/>
        </w:tblBorders>
        <w:tblCellMar>
          <w:left w:w="57" w:type="dxa"/>
          <w:bottom w:w="57" w:type="dxa"/>
          <w:right w:w="57" w:type="dxa"/>
        </w:tblCellMar>
        <w:tblLook w:val="0460" w:firstRow="1" w:lastRow="1" w:firstColumn="0" w:lastColumn="0" w:noHBand="0" w:noVBand="1"/>
      </w:tblPr>
      <w:tblGrid>
        <w:gridCol w:w="2270"/>
        <w:gridCol w:w="1984"/>
        <w:gridCol w:w="1557"/>
        <w:gridCol w:w="1843"/>
        <w:gridCol w:w="1843"/>
        <w:gridCol w:w="1840"/>
        <w:gridCol w:w="3405"/>
      </w:tblGrid>
      <w:tr w:rsidR="00887A27" w:rsidRPr="002C5B5D" w14:paraId="108083AC" w14:textId="77777777" w:rsidTr="008340AC">
        <w:trPr>
          <w:tblHeader/>
        </w:trPr>
        <w:tc>
          <w:tcPr>
            <w:tcW w:w="770" w:type="pct"/>
            <w:shd w:val="clear" w:color="auto" w:fill="1E398D"/>
          </w:tcPr>
          <w:p w14:paraId="108083A4" w14:textId="77777777" w:rsidR="00887A27" w:rsidRPr="00385B37" w:rsidRDefault="00887A27" w:rsidP="00B35C0D">
            <w:pPr>
              <w:pStyle w:val="TableHeading"/>
              <w:rPr>
                <w:b/>
                <w:sz w:val="16"/>
                <w:szCs w:val="16"/>
              </w:rPr>
            </w:pPr>
            <w:r w:rsidRPr="00385B37">
              <w:rPr>
                <w:b/>
                <w:sz w:val="16"/>
                <w:szCs w:val="16"/>
              </w:rPr>
              <w:t>Title, page and paragraph number of document containing the confidential information</w:t>
            </w:r>
          </w:p>
        </w:tc>
        <w:tc>
          <w:tcPr>
            <w:tcW w:w="673" w:type="pct"/>
            <w:shd w:val="clear" w:color="auto" w:fill="1E398D"/>
          </w:tcPr>
          <w:p w14:paraId="108083A5" w14:textId="77777777" w:rsidR="00887A27" w:rsidRPr="00385B37" w:rsidRDefault="00887A27" w:rsidP="00B35C0D">
            <w:pPr>
              <w:pStyle w:val="TableHeading"/>
              <w:rPr>
                <w:b/>
                <w:sz w:val="16"/>
                <w:szCs w:val="16"/>
              </w:rPr>
            </w:pPr>
            <w:r w:rsidRPr="00385B37">
              <w:rPr>
                <w:b/>
                <w:sz w:val="16"/>
                <w:szCs w:val="16"/>
              </w:rPr>
              <w:t>Description of the confidential information</w:t>
            </w:r>
          </w:p>
        </w:tc>
        <w:tc>
          <w:tcPr>
            <w:tcW w:w="528" w:type="pct"/>
            <w:shd w:val="clear" w:color="auto" w:fill="1E398D"/>
          </w:tcPr>
          <w:p w14:paraId="108083A6" w14:textId="77777777" w:rsidR="00887A27" w:rsidRPr="00385B37" w:rsidRDefault="00887A27" w:rsidP="00B35C0D">
            <w:pPr>
              <w:pStyle w:val="TableHeading"/>
              <w:rPr>
                <w:b/>
                <w:sz w:val="16"/>
                <w:szCs w:val="16"/>
              </w:rPr>
            </w:pPr>
            <w:r w:rsidRPr="00385B37">
              <w:rPr>
                <w:b/>
                <w:sz w:val="16"/>
                <w:szCs w:val="16"/>
              </w:rPr>
              <w:t>Topic the confidential information relates to (e.g. capex, opex, the rate of return etc.)</w:t>
            </w:r>
          </w:p>
        </w:tc>
        <w:tc>
          <w:tcPr>
            <w:tcW w:w="625" w:type="pct"/>
            <w:shd w:val="clear" w:color="auto" w:fill="1E398D"/>
          </w:tcPr>
          <w:p w14:paraId="108083A7" w14:textId="77777777" w:rsidR="00887A27" w:rsidRPr="00385B37" w:rsidRDefault="00887A27" w:rsidP="00B35C0D">
            <w:pPr>
              <w:pStyle w:val="TableHeading"/>
              <w:rPr>
                <w:b/>
                <w:sz w:val="16"/>
                <w:szCs w:val="16"/>
              </w:rPr>
            </w:pPr>
            <w:r w:rsidRPr="00385B37">
              <w:rPr>
                <w:b/>
                <w:sz w:val="16"/>
                <w:szCs w:val="16"/>
              </w:rPr>
              <w:t>Identify the recognised confidentiality category that the confidential information falls within</w:t>
            </w:r>
          </w:p>
        </w:tc>
        <w:tc>
          <w:tcPr>
            <w:tcW w:w="625" w:type="pct"/>
            <w:shd w:val="clear" w:color="auto" w:fill="1E398D"/>
          </w:tcPr>
          <w:p w14:paraId="108083A8" w14:textId="77777777" w:rsidR="00887A27" w:rsidRPr="00385B37" w:rsidRDefault="00887A27" w:rsidP="00B35C0D">
            <w:pPr>
              <w:pStyle w:val="MarginText"/>
              <w:overflowPunct w:val="0"/>
              <w:autoSpaceDE w:val="0"/>
              <w:autoSpaceDN w:val="0"/>
              <w:spacing w:before="60" w:after="60"/>
              <w:jc w:val="left"/>
              <w:textAlignment w:val="baseline"/>
              <w:rPr>
                <w:rFonts w:asciiTheme="minorHAnsi" w:hAnsiTheme="minorHAnsi" w:cstheme="minorHAnsi"/>
                <w:b/>
                <w:sz w:val="16"/>
                <w:szCs w:val="16"/>
              </w:rPr>
            </w:pPr>
            <w:r w:rsidRPr="00385B37">
              <w:rPr>
                <w:rFonts w:asciiTheme="minorHAnsi" w:hAnsiTheme="minorHAnsi" w:cstheme="minorHAnsi"/>
                <w:b/>
                <w:sz w:val="16"/>
                <w:szCs w:val="16"/>
              </w:rPr>
              <w:t>Provide a brief explanation of why the confidential information falls into the selected category</w:t>
            </w:r>
          </w:p>
          <w:p w14:paraId="108083A9" w14:textId="77777777" w:rsidR="00887A27" w:rsidRPr="00385B37" w:rsidRDefault="00887A27" w:rsidP="00B35C0D">
            <w:pPr>
              <w:pStyle w:val="TableHeading"/>
              <w:rPr>
                <w:b/>
                <w:sz w:val="16"/>
                <w:szCs w:val="16"/>
              </w:rPr>
            </w:pPr>
            <w:r w:rsidRPr="00385B37">
              <w:rPr>
                <w:b/>
                <w:sz w:val="16"/>
                <w:szCs w:val="16"/>
              </w:rPr>
              <w:t>If the information falls within 'other' please provide further details on why the information should be treated as confidential</w:t>
            </w:r>
          </w:p>
        </w:tc>
        <w:tc>
          <w:tcPr>
            <w:tcW w:w="624" w:type="pct"/>
            <w:shd w:val="clear" w:color="auto" w:fill="1E398D"/>
          </w:tcPr>
          <w:p w14:paraId="108083AA" w14:textId="77777777" w:rsidR="00887A27" w:rsidRPr="00385B37" w:rsidRDefault="00887A27" w:rsidP="00B35C0D">
            <w:pPr>
              <w:pStyle w:val="TableHeading"/>
              <w:rPr>
                <w:b/>
                <w:sz w:val="16"/>
                <w:szCs w:val="16"/>
              </w:rPr>
            </w:pPr>
            <w:r w:rsidRPr="00385B37">
              <w:rPr>
                <w:b/>
                <w:sz w:val="16"/>
                <w:szCs w:val="16"/>
              </w:rPr>
              <w:t>Specify reasons supporting how and why detriment would be caused from disclosing the confidential information</w:t>
            </w:r>
          </w:p>
        </w:tc>
        <w:tc>
          <w:tcPr>
            <w:tcW w:w="1155" w:type="pct"/>
            <w:shd w:val="clear" w:color="auto" w:fill="1E398D"/>
          </w:tcPr>
          <w:p w14:paraId="108083AB" w14:textId="77777777" w:rsidR="00887A27" w:rsidRPr="00385B37" w:rsidRDefault="00887A27" w:rsidP="00B35C0D">
            <w:pPr>
              <w:pStyle w:val="TableHeading"/>
              <w:rPr>
                <w:b/>
                <w:sz w:val="16"/>
                <w:szCs w:val="16"/>
              </w:rPr>
            </w:pPr>
            <w:r w:rsidRPr="00385B37">
              <w:rPr>
                <w:b/>
                <w:sz w:val="16"/>
                <w:szCs w:val="16"/>
              </w:rPr>
              <w:t>Provide any reasons supporting why the identified detriment is not outweighed by the public benefit (especially public benefits such as the effect on the long term interests of consumers)</w:t>
            </w:r>
          </w:p>
        </w:tc>
      </w:tr>
      <w:tr w:rsidR="0087631D" w:rsidRPr="002C5B5D" w14:paraId="08B3130A" w14:textId="77777777" w:rsidTr="0087631D">
        <w:tc>
          <w:tcPr>
            <w:tcW w:w="5000" w:type="pct"/>
            <w:gridSpan w:val="7"/>
            <w:shd w:val="clear" w:color="auto" w:fill="auto"/>
          </w:tcPr>
          <w:p w14:paraId="7B1FA969" w14:textId="3C776216" w:rsidR="0087631D" w:rsidRPr="00ED32DF" w:rsidRDefault="0087631D" w:rsidP="00B35C0D">
            <w:pPr>
              <w:pStyle w:val="TableText"/>
              <w:rPr>
                <w:b/>
                <w:color w:val="auto"/>
                <w:sz w:val="16"/>
                <w:szCs w:val="16"/>
              </w:rPr>
            </w:pPr>
            <w:r w:rsidRPr="00ED32DF">
              <w:rPr>
                <w:b/>
                <w:color w:val="auto"/>
                <w:sz w:val="16"/>
                <w:szCs w:val="16"/>
              </w:rPr>
              <w:t>Revised regulatory proposal</w:t>
            </w:r>
          </w:p>
        </w:tc>
      </w:tr>
      <w:tr w:rsidR="001843D4" w:rsidRPr="002C5B5D" w14:paraId="3F9BC3D3" w14:textId="77777777" w:rsidTr="008340AC">
        <w:tc>
          <w:tcPr>
            <w:tcW w:w="770" w:type="pct"/>
            <w:shd w:val="clear" w:color="auto" w:fill="auto"/>
          </w:tcPr>
          <w:p w14:paraId="2A4C6361" w14:textId="509EFA62" w:rsidR="001843D4" w:rsidRDefault="00E979FB" w:rsidP="00B35C0D">
            <w:pPr>
              <w:pStyle w:val="MarginText"/>
              <w:overflowPunct w:val="0"/>
              <w:autoSpaceDE w:val="0"/>
              <w:autoSpaceDN w:val="0"/>
              <w:spacing w:before="60" w:after="60"/>
              <w:jc w:val="left"/>
              <w:textAlignment w:val="baseline"/>
              <w:rPr>
                <w:rFonts w:asciiTheme="minorHAnsi" w:hAnsiTheme="minorHAnsi" w:cstheme="minorHAnsi"/>
                <w:sz w:val="16"/>
                <w:szCs w:val="16"/>
              </w:rPr>
            </w:pPr>
            <w:r w:rsidRPr="00ED32DF">
              <w:rPr>
                <w:rFonts w:asciiTheme="minorHAnsi" w:hAnsiTheme="minorHAnsi" w:cstheme="minorHAnsi"/>
                <w:sz w:val="16"/>
                <w:szCs w:val="16"/>
              </w:rPr>
              <w:t>CP CONFIDENTIAL RRP 1.0</w:t>
            </w:r>
            <w:r w:rsidR="001843D4" w:rsidRPr="00ED32DF">
              <w:rPr>
                <w:rFonts w:asciiTheme="minorHAnsi" w:hAnsiTheme="minorHAnsi" w:cstheme="minorHAnsi"/>
                <w:sz w:val="16"/>
                <w:szCs w:val="16"/>
              </w:rPr>
              <w:t>– CitiPower Revised Regulatory Proposal 2016-2020</w:t>
            </w:r>
            <w:r w:rsidR="007B23B1">
              <w:rPr>
                <w:rFonts w:asciiTheme="minorHAnsi" w:hAnsiTheme="minorHAnsi" w:cstheme="minorHAnsi"/>
                <w:sz w:val="16"/>
                <w:szCs w:val="16"/>
              </w:rPr>
              <w:t>, January 2016</w:t>
            </w:r>
          </w:p>
          <w:p w14:paraId="2DCF9AB9" w14:textId="63C49641" w:rsidR="007A2A95" w:rsidRPr="00ED32DF" w:rsidRDefault="007A2A95" w:rsidP="00B35C0D">
            <w:pPr>
              <w:pStyle w:val="MarginText"/>
              <w:overflowPunct w:val="0"/>
              <w:autoSpaceDE w:val="0"/>
              <w:autoSpaceDN w:val="0"/>
              <w:spacing w:before="60" w:after="60"/>
              <w:jc w:val="left"/>
              <w:textAlignment w:val="baseline"/>
              <w:rPr>
                <w:rFonts w:asciiTheme="minorHAnsi" w:hAnsiTheme="minorHAnsi" w:cstheme="minorHAnsi"/>
                <w:sz w:val="16"/>
                <w:szCs w:val="16"/>
              </w:rPr>
            </w:pPr>
            <w:r>
              <w:rPr>
                <w:rFonts w:asciiTheme="minorHAnsi" w:hAnsiTheme="minorHAnsi" w:cstheme="minorHAnsi"/>
                <w:sz w:val="16"/>
                <w:szCs w:val="16"/>
              </w:rPr>
              <w:t xml:space="preserve">pp. </w:t>
            </w:r>
            <w:r w:rsidRPr="007A2A95">
              <w:rPr>
                <w:rFonts w:asciiTheme="minorHAnsi" w:hAnsiTheme="minorHAnsi" w:cstheme="minorHAnsi"/>
                <w:sz w:val="16"/>
                <w:szCs w:val="16"/>
              </w:rPr>
              <w:t>14, 50, 137–138, 161–163, 176–179, 187–188</w:t>
            </w:r>
          </w:p>
          <w:p w14:paraId="3328BC68" w14:textId="3B65D4E5" w:rsidR="001843D4" w:rsidRPr="00ED32DF" w:rsidRDefault="001843D4" w:rsidP="00B35C0D">
            <w:pPr>
              <w:pStyle w:val="MarginText"/>
              <w:overflowPunct w:val="0"/>
              <w:autoSpaceDE w:val="0"/>
              <w:autoSpaceDN w:val="0"/>
              <w:spacing w:before="60" w:after="60"/>
              <w:jc w:val="left"/>
              <w:textAlignment w:val="baseline"/>
              <w:rPr>
                <w:rFonts w:asciiTheme="minorHAnsi" w:hAnsiTheme="minorHAnsi" w:cstheme="minorHAnsi"/>
                <w:sz w:val="16"/>
                <w:szCs w:val="16"/>
              </w:rPr>
            </w:pPr>
            <w:r w:rsidRPr="00ED32DF">
              <w:rPr>
                <w:rFonts w:asciiTheme="minorHAnsi" w:hAnsiTheme="minorHAnsi" w:cstheme="minorHAnsi"/>
                <w:sz w:val="16"/>
                <w:szCs w:val="16"/>
              </w:rPr>
              <w:t xml:space="preserve">Chapter 1 Executive summary, Chapter 3 The NEO preferable decision &amp; </w:t>
            </w:r>
            <w:r w:rsidR="007B23B1" w:rsidRPr="00ED32DF">
              <w:rPr>
                <w:rFonts w:asciiTheme="minorHAnsi" w:hAnsiTheme="minorHAnsi" w:cstheme="minorHAnsi"/>
                <w:sz w:val="16"/>
                <w:szCs w:val="16"/>
              </w:rPr>
              <w:t xml:space="preserve">Chapter </w:t>
            </w:r>
            <w:r w:rsidRPr="00ED32DF">
              <w:rPr>
                <w:rFonts w:asciiTheme="minorHAnsi" w:hAnsiTheme="minorHAnsi" w:cstheme="minorHAnsi"/>
                <w:sz w:val="16"/>
                <w:szCs w:val="16"/>
              </w:rPr>
              <w:t>6 Operating expenditure</w:t>
            </w:r>
          </w:p>
        </w:tc>
        <w:tc>
          <w:tcPr>
            <w:tcW w:w="673" w:type="pct"/>
            <w:shd w:val="clear" w:color="auto" w:fill="auto"/>
          </w:tcPr>
          <w:p w14:paraId="3CD0B840" w14:textId="0800D0A5" w:rsidR="001843D4" w:rsidRPr="00ED32DF" w:rsidRDefault="001C7D58" w:rsidP="001C7D58">
            <w:pPr>
              <w:pStyle w:val="MarginText"/>
              <w:overflowPunct w:val="0"/>
              <w:autoSpaceDE w:val="0"/>
              <w:autoSpaceDN w:val="0"/>
              <w:spacing w:before="60" w:after="60"/>
              <w:jc w:val="left"/>
              <w:textAlignment w:val="baseline"/>
              <w:rPr>
                <w:rFonts w:asciiTheme="minorHAnsi" w:hAnsiTheme="minorHAnsi" w:cstheme="minorHAnsi"/>
                <w:sz w:val="16"/>
                <w:szCs w:val="16"/>
              </w:rPr>
            </w:pPr>
            <w:r w:rsidRPr="00ED32DF">
              <w:rPr>
                <w:rFonts w:asciiTheme="minorHAnsi" w:hAnsiTheme="minorHAnsi" w:cstheme="minorHAnsi"/>
                <w:sz w:val="16"/>
                <w:szCs w:val="16"/>
              </w:rPr>
              <w:t>Details of l</w:t>
            </w:r>
            <w:r w:rsidR="001843D4" w:rsidRPr="00ED32DF">
              <w:rPr>
                <w:rFonts w:asciiTheme="minorHAnsi" w:hAnsiTheme="minorHAnsi" w:cstheme="minorHAnsi"/>
                <w:sz w:val="16"/>
                <w:szCs w:val="16"/>
              </w:rPr>
              <w:t>ease renewal</w:t>
            </w:r>
            <w:r w:rsidRPr="00ED32DF">
              <w:rPr>
                <w:rFonts w:asciiTheme="minorHAnsi" w:hAnsiTheme="minorHAnsi" w:cstheme="minorHAnsi"/>
                <w:sz w:val="16"/>
                <w:szCs w:val="16"/>
              </w:rPr>
              <w:t>s</w:t>
            </w:r>
          </w:p>
        </w:tc>
        <w:tc>
          <w:tcPr>
            <w:tcW w:w="528" w:type="pct"/>
            <w:shd w:val="clear" w:color="auto" w:fill="auto"/>
          </w:tcPr>
          <w:p w14:paraId="2E393A41" w14:textId="2CB0947A" w:rsidR="001843D4" w:rsidRPr="00ED32DF" w:rsidRDefault="001843D4" w:rsidP="00B35C0D">
            <w:pPr>
              <w:pStyle w:val="TableText"/>
              <w:rPr>
                <w:color w:val="auto"/>
                <w:sz w:val="16"/>
                <w:szCs w:val="16"/>
              </w:rPr>
            </w:pPr>
            <w:r w:rsidRPr="00ED32DF">
              <w:rPr>
                <w:color w:val="auto"/>
                <w:szCs w:val="18"/>
              </w:rPr>
              <w:t>Operating expenditure</w:t>
            </w:r>
          </w:p>
        </w:tc>
        <w:tc>
          <w:tcPr>
            <w:tcW w:w="625" w:type="pct"/>
          </w:tcPr>
          <w:p w14:paraId="647CA2A2" w14:textId="0D3CE93C" w:rsidR="001843D4" w:rsidRPr="00ED32DF" w:rsidRDefault="001843D4" w:rsidP="00B35C0D">
            <w:pPr>
              <w:pStyle w:val="MarginText"/>
              <w:overflowPunct w:val="0"/>
              <w:autoSpaceDE w:val="0"/>
              <w:autoSpaceDN w:val="0"/>
              <w:spacing w:before="60" w:after="60"/>
              <w:jc w:val="left"/>
              <w:textAlignment w:val="baseline"/>
              <w:rPr>
                <w:rFonts w:asciiTheme="minorHAnsi" w:hAnsiTheme="minorHAnsi" w:cstheme="minorHAnsi"/>
                <w:sz w:val="16"/>
                <w:szCs w:val="16"/>
              </w:rPr>
            </w:pPr>
            <w:r w:rsidRPr="00ED32DF">
              <w:rPr>
                <w:rFonts w:asciiTheme="minorHAnsi" w:hAnsiTheme="minorHAnsi" w:cstheme="minorHAnsi"/>
                <w:sz w:val="18"/>
                <w:szCs w:val="18"/>
              </w:rPr>
              <w:t>Market sensitive cost inputs, strategic information</w:t>
            </w:r>
          </w:p>
        </w:tc>
        <w:tc>
          <w:tcPr>
            <w:tcW w:w="625" w:type="pct"/>
          </w:tcPr>
          <w:p w14:paraId="1C780495" w14:textId="60333097" w:rsidR="001843D4" w:rsidRPr="00ED32DF" w:rsidRDefault="001C7D58" w:rsidP="001C7D58">
            <w:pPr>
              <w:pStyle w:val="TableText"/>
              <w:rPr>
                <w:color w:val="auto"/>
                <w:sz w:val="16"/>
                <w:szCs w:val="16"/>
              </w:rPr>
            </w:pPr>
            <w:r w:rsidRPr="00ED32DF">
              <w:rPr>
                <w:color w:val="auto"/>
                <w:szCs w:val="18"/>
              </w:rPr>
              <w:t>Disclose of details relating to l</w:t>
            </w:r>
            <w:r w:rsidR="00E979FB" w:rsidRPr="00ED32DF">
              <w:rPr>
                <w:color w:val="auto"/>
                <w:szCs w:val="18"/>
              </w:rPr>
              <w:t xml:space="preserve">ease </w:t>
            </w:r>
            <w:r w:rsidRPr="00ED32DF">
              <w:rPr>
                <w:color w:val="auto"/>
                <w:szCs w:val="18"/>
              </w:rPr>
              <w:t>renewals</w:t>
            </w:r>
            <w:r w:rsidR="001843D4" w:rsidRPr="00ED32DF">
              <w:rPr>
                <w:color w:val="auto"/>
                <w:szCs w:val="18"/>
              </w:rPr>
              <w:t xml:space="preserve"> may impact current/future lease negotiations</w:t>
            </w:r>
          </w:p>
        </w:tc>
        <w:tc>
          <w:tcPr>
            <w:tcW w:w="624" w:type="pct"/>
            <w:shd w:val="clear" w:color="auto" w:fill="auto"/>
          </w:tcPr>
          <w:p w14:paraId="435498E7" w14:textId="214CBFE1" w:rsidR="001843D4" w:rsidRPr="00ED32DF" w:rsidRDefault="001C7D58" w:rsidP="001C7D58">
            <w:pPr>
              <w:pStyle w:val="TableText"/>
              <w:rPr>
                <w:color w:val="auto"/>
                <w:sz w:val="16"/>
                <w:szCs w:val="16"/>
              </w:rPr>
            </w:pPr>
            <w:r w:rsidRPr="00ED32DF">
              <w:rPr>
                <w:color w:val="auto"/>
                <w:szCs w:val="18"/>
              </w:rPr>
              <w:t xml:space="preserve">Details of lease renewals </w:t>
            </w:r>
            <w:r w:rsidR="001843D4" w:rsidRPr="00ED32DF">
              <w:rPr>
                <w:color w:val="auto"/>
                <w:szCs w:val="18"/>
              </w:rPr>
              <w:t>may impact current/future lease negotiations</w:t>
            </w:r>
          </w:p>
        </w:tc>
        <w:tc>
          <w:tcPr>
            <w:tcW w:w="1155" w:type="pct"/>
            <w:shd w:val="clear" w:color="auto" w:fill="auto"/>
          </w:tcPr>
          <w:p w14:paraId="1F7AA86B" w14:textId="53319AB7" w:rsidR="001843D4" w:rsidRPr="00ED32DF" w:rsidRDefault="001843D4" w:rsidP="00B35C0D">
            <w:pPr>
              <w:pStyle w:val="TableText"/>
              <w:rPr>
                <w:color w:val="auto"/>
                <w:sz w:val="16"/>
                <w:szCs w:val="16"/>
              </w:rPr>
            </w:pPr>
            <w:r w:rsidRPr="00ED32DF">
              <w:rPr>
                <w:color w:val="auto"/>
                <w:szCs w:val="18"/>
              </w:rPr>
              <w:t>May lead to higher lease payments than otherwise available</w:t>
            </w:r>
          </w:p>
        </w:tc>
      </w:tr>
      <w:tr w:rsidR="001843D4" w:rsidRPr="002C5B5D" w14:paraId="5D2A9AAD" w14:textId="77777777" w:rsidTr="001843D4">
        <w:tc>
          <w:tcPr>
            <w:tcW w:w="5000" w:type="pct"/>
            <w:gridSpan w:val="7"/>
            <w:shd w:val="clear" w:color="auto" w:fill="auto"/>
          </w:tcPr>
          <w:p w14:paraId="068FFEB2" w14:textId="3084379E" w:rsidR="001843D4" w:rsidRPr="00ED32DF" w:rsidRDefault="001843D4" w:rsidP="00B35C0D">
            <w:pPr>
              <w:pStyle w:val="TableText"/>
              <w:rPr>
                <w:color w:val="auto"/>
                <w:szCs w:val="18"/>
              </w:rPr>
            </w:pPr>
            <w:r w:rsidRPr="00ED32DF">
              <w:rPr>
                <w:b/>
                <w:color w:val="auto"/>
                <w:szCs w:val="18"/>
              </w:rPr>
              <w:t>Attachments</w:t>
            </w:r>
          </w:p>
        </w:tc>
      </w:tr>
      <w:tr w:rsidR="001843D4" w:rsidRPr="002C5B5D" w14:paraId="68F38DA0" w14:textId="77777777" w:rsidTr="008340AC">
        <w:tc>
          <w:tcPr>
            <w:tcW w:w="770" w:type="pct"/>
            <w:shd w:val="clear" w:color="auto" w:fill="auto"/>
          </w:tcPr>
          <w:p w14:paraId="547FFA7C" w14:textId="58914179" w:rsidR="001843D4" w:rsidRPr="00ED32DF" w:rsidRDefault="001843D4"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 xml:space="preserve">CP CONFIDENTIAL RRP ATT 4.24 - Memorandum of </w:t>
            </w:r>
            <w:r w:rsidRPr="00ED32DF">
              <w:rPr>
                <w:rFonts w:asciiTheme="minorHAnsi" w:hAnsiTheme="minorHAnsi" w:cstheme="minorHAnsi"/>
                <w:sz w:val="18"/>
                <w:szCs w:val="18"/>
              </w:rPr>
              <w:lastRenderedPageBreak/>
              <w:t>understanding between CitiPower, Powercor and the CEPU, attaching the ETU powerline enterprise agreement 2013–2016 (undated)</w:t>
            </w:r>
          </w:p>
        </w:tc>
        <w:tc>
          <w:tcPr>
            <w:tcW w:w="673" w:type="pct"/>
            <w:shd w:val="clear" w:color="auto" w:fill="auto"/>
          </w:tcPr>
          <w:p w14:paraId="4CB938A5" w14:textId="5789AFF3" w:rsidR="001843D4" w:rsidRPr="00ED32DF" w:rsidRDefault="001843D4"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lastRenderedPageBreak/>
              <w:t xml:space="preserve">The Memorandum of undertsanding between </w:t>
            </w:r>
            <w:r w:rsidRPr="00ED32DF">
              <w:rPr>
                <w:rFonts w:asciiTheme="minorHAnsi" w:hAnsiTheme="minorHAnsi" w:cstheme="minorHAnsi"/>
                <w:sz w:val="18"/>
                <w:szCs w:val="18"/>
              </w:rPr>
              <w:lastRenderedPageBreak/>
              <w:t xml:space="preserve">Powercor/CitiPower and the CEPU sets out the terms and conditions upon which third party labour can be engaged by CitiPower and Powercor to work on the network. </w:t>
            </w:r>
          </w:p>
        </w:tc>
        <w:tc>
          <w:tcPr>
            <w:tcW w:w="528" w:type="pct"/>
            <w:shd w:val="clear" w:color="auto" w:fill="auto"/>
          </w:tcPr>
          <w:p w14:paraId="78BEE45C" w14:textId="582FD3D2" w:rsidR="001843D4" w:rsidRPr="00ED32DF" w:rsidRDefault="001843D4" w:rsidP="00B35C0D">
            <w:pPr>
              <w:pStyle w:val="TableText"/>
              <w:rPr>
                <w:color w:val="auto"/>
                <w:szCs w:val="18"/>
              </w:rPr>
            </w:pPr>
            <w:r w:rsidRPr="00ED32DF">
              <w:rPr>
                <w:color w:val="auto"/>
                <w:szCs w:val="18"/>
              </w:rPr>
              <w:lastRenderedPageBreak/>
              <w:t>Real price growth</w:t>
            </w:r>
          </w:p>
        </w:tc>
        <w:tc>
          <w:tcPr>
            <w:tcW w:w="625" w:type="pct"/>
          </w:tcPr>
          <w:p w14:paraId="4E4B9621" w14:textId="3DDDF143" w:rsidR="001843D4" w:rsidRPr="00ED32DF" w:rsidRDefault="001843D4"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 xml:space="preserve">Market sensitive cost inputs and market </w:t>
            </w:r>
            <w:r w:rsidRPr="00ED32DF">
              <w:rPr>
                <w:rFonts w:asciiTheme="minorHAnsi" w:hAnsiTheme="minorHAnsi" w:cstheme="minorHAnsi"/>
                <w:sz w:val="18"/>
                <w:szCs w:val="18"/>
              </w:rPr>
              <w:lastRenderedPageBreak/>
              <w:t>intelligence</w:t>
            </w:r>
          </w:p>
        </w:tc>
        <w:tc>
          <w:tcPr>
            <w:tcW w:w="625" w:type="pct"/>
          </w:tcPr>
          <w:p w14:paraId="44CB61CE" w14:textId="067D663E" w:rsidR="001843D4" w:rsidRPr="00ED32DF" w:rsidRDefault="001843D4" w:rsidP="00B35C0D">
            <w:pPr>
              <w:pStyle w:val="TableText"/>
              <w:rPr>
                <w:color w:val="auto"/>
                <w:szCs w:val="18"/>
              </w:rPr>
            </w:pPr>
            <w:r w:rsidRPr="00ED32DF">
              <w:rPr>
                <w:color w:val="auto"/>
                <w:szCs w:val="18"/>
              </w:rPr>
              <w:lastRenderedPageBreak/>
              <w:t xml:space="preserve">Information about the terms and conditions </w:t>
            </w:r>
            <w:r w:rsidRPr="00ED32DF">
              <w:rPr>
                <w:color w:val="auto"/>
                <w:szCs w:val="18"/>
              </w:rPr>
              <w:lastRenderedPageBreak/>
              <w:t>under which third party service providers supply labour to CitiPower and Powercor that is not in the public domain and may be harmful to the service provider if disclosed.</w:t>
            </w:r>
          </w:p>
        </w:tc>
        <w:tc>
          <w:tcPr>
            <w:tcW w:w="624" w:type="pct"/>
            <w:shd w:val="clear" w:color="auto" w:fill="auto"/>
          </w:tcPr>
          <w:p w14:paraId="4973F24E" w14:textId="13C81644" w:rsidR="001843D4" w:rsidRPr="00ED32DF" w:rsidRDefault="001843D4" w:rsidP="00B35C0D">
            <w:pPr>
              <w:pStyle w:val="TableText"/>
              <w:rPr>
                <w:color w:val="auto"/>
                <w:szCs w:val="18"/>
              </w:rPr>
            </w:pPr>
            <w:r w:rsidRPr="00ED32DF">
              <w:rPr>
                <w:color w:val="auto"/>
                <w:szCs w:val="18"/>
              </w:rPr>
              <w:lastRenderedPageBreak/>
              <w:t xml:space="preserve">Information relating to service providers’ unit </w:t>
            </w:r>
            <w:r w:rsidRPr="00ED32DF">
              <w:rPr>
                <w:color w:val="auto"/>
                <w:szCs w:val="18"/>
              </w:rPr>
              <w:lastRenderedPageBreak/>
              <w:t>rates may be damaging to the service providers’ competitiveness or reputation.</w:t>
            </w:r>
          </w:p>
        </w:tc>
        <w:tc>
          <w:tcPr>
            <w:tcW w:w="1155" w:type="pct"/>
            <w:shd w:val="clear" w:color="auto" w:fill="auto"/>
          </w:tcPr>
          <w:p w14:paraId="00236558" w14:textId="7E0AFBF3" w:rsidR="001843D4" w:rsidRPr="00ED32DF" w:rsidRDefault="001843D4" w:rsidP="00B35C0D">
            <w:pPr>
              <w:pStyle w:val="TableText"/>
              <w:rPr>
                <w:color w:val="auto"/>
                <w:szCs w:val="18"/>
              </w:rPr>
            </w:pPr>
            <w:r w:rsidRPr="00ED32DF">
              <w:rPr>
                <w:color w:val="auto"/>
                <w:szCs w:val="18"/>
              </w:rPr>
              <w:lastRenderedPageBreak/>
              <w:t xml:space="preserve">Access to information does not add benefit to public or customers. We have disclosed </w:t>
            </w:r>
            <w:r w:rsidRPr="00ED32DF">
              <w:rPr>
                <w:color w:val="auto"/>
                <w:szCs w:val="18"/>
              </w:rPr>
              <w:lastRenderedPageBreak/>
              <w:t xml:space="preserve">the wage growth rates are the same as those in the Powercor/ CitiPower CEPU EBA which the information relevant to our Revised Regulatory Proposal. </w:t>
            </w:r>
          </w:p>
        </w:tc>
      </w:tr>
      <w:tr w:rsidR="001843D4" w:rsidRPr="002C5B5D" w14:paraId="3BE5995F" w14:textId="77777777" w:rsidTr="008340AC">
        <w:tc>
          <w:tcPr>
            <w:tcW w:w="770" w:type="pct"/>
            <w:shd w:val="clear" w:color="auto" w:fill="auto"/>
          </w:tcPr>
          <w:p w14:paraId="23637621" w14:textId="79ADC4B1" w:rsidR="001843D4" w:rsidRPr="00ED32DF" w:rsidRDefault="001843D4" w:rsidP="007B23B1">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lastRenderedPageBreak/>
              <w:t>CP CONFIDENTIAL RRP ATT 6.1</w:t>
            </w:r>
            <w:r w:rsidR="007B23B1">
              <w:rPr>
                <w:rFonts w:asciiTheme="minorHAnsi" w:hAnsiTheme="minorHAnsi" w:cstheme="minorHAnsi"/>
                <w:sz w:val="18"/>
                <w:szCs w:val="18"/>
              </w:rPr>
              <w:t>6</w:t>
            </w:r>
            <w:r w:rsidRPr="00ED32DF">
              <w:rPr>
                <w:rFonts w:asciiTheme="minorHAnsi" w:hAnsiTheme="minorHAnsi" w:cstheme="minorHAnsi"/>
                <w:sz w:val="18"/>
                <w:szCs w:val="18"/>
              </w:rPr>
              <w:t xml:space="preserve"> - CitiPower, Lease renewals, pp. 1–22</w:t>
            </w:r>
          </w:p>
        </w:tc>
        <w:tc>
          <w:tcPr>
            <w:tcW w:w="673" w:type="pct"/>
            <w:shd w:val="clear" w:color="auto" w:fill="auto"/>
          </w:tcPr>
          <w:p w14:paraId="39B7888F" w14:textId="3270B1BC" w:rsidR="001843D4" w:rsidRPr="00ED32DF" w:rsidRDefault="001843D4"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Options analysis for lease renewals</w:t>
            </w:r>
          </w:p>
        </w:tc>
        <w:tc>
          <w:tcPr>
            <w:tcW w:w="528" w:type="pct"/>
            <w:shd w:val="clear" w:color="auto" w:fill="auto"/>
          </w:tcPr>
          <w:p w14:paraId="50FEB51C" w14:textId="285F4367" w:rsidR="001843D4" w:rsidRPr="00ED32DF" w:rsidRDefault="001843D4" w:rsidP="00B35C0D">
            <w:pPr>
              <w:pStyle w:val="TableText"/>
              <w:rPr>
                <w:color w:val="auto"/>
                <w:szCs w:val="18"/>
              </w:rPr>
            </w:pPr>
            <w:r w:rsidRPr="00ED32DF">
              <w:rPr>
                <w:color w:val="auto"/>
                <w:szCs w:val="18"/>
              </w:rPr>
              <w:t>Operating expenditure</w:t>
            </w:r>
          </w:p>
        </w:tc>
        <w:tc>
          <w:tcPr>
            <w:tcW w:w="625" w:type="pct"/>
          </w:tcPr>
          <w:p w14:paraId="5676C0DF" w14:textId="69A9928B" w:rsidR="001843D4" w:rsidRPr="00ED32DF" w:rsidRDefault="001843D4"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Market sensitive cost inputs, strategic information</w:t>
            </w:r>
          </w:p>
        </w:tc>
        <w:tc>
          <w:tcPr>
            <w:tcW w:w="625" w:type="pct"/>
          </w:tcPr>
          <w:p w14:paraId="24D212B7" w14:textId="2967CD51" w:rsidR="001843D4" w:rsidRPr="00ED32DF" w:rsidRDefault="001843D4" w:rsidP="00B35C0D">
            <w:pPr>
              <w:pStyle w:val="TableText"/>
              <w:rPr>
                <w:color w:val="auto"/>
                <w:szCs w:val="18"/>
              </w:rPr>
            </w:pPr>
            <w:r w:rsidRPr="00ED32DF">
              <w:rPr>
                <w:color w:val="auto"/>
                <w:szCs w:val="18"/>
              </w:rPr>
              <w:t>Options analysis may impact current/future lease negotiations</w:t>
            </w:r>
          </w:p>
        </w:tc>
        <w:tc>
          <w:tcPr>
            <w:tcW w:w="624" w:type="pct"/>
            <w:shd w:val="clear" w:color="auto" w:fill="auto"/>
          </w:tcPr>
          <w:p w14:paraId="2A24B8F2" w14:textId="0E3C68B5" w:rsidR="001843D4" w:rsidRPr="00ED32DF" w:rsidRDefault="001843D4" w:rsidP="00B35C0D">
            <w:pPr>
              <w:pStyle w:val="TableText"/>
              <w:rPr>
                <w:color w:val="auto"/>
                <w:szCs w:val="18"/>
              </w:rPr>
            </w:pPr>
            <w:r w:rsidRPr="00ED32DF">
              <w:rPr>
                <w:color w:val="auto"/>
                <w:szCs w:val="18"/>
              </w:rPr>
              <w:t>Options analysis may impact current/future lease negotiations</w:t>
            </w:r>
          </w:p>
        </w:tc>
        <w:tc>
          <w:tcPr>
            <w:tcW w:w="1155" w:type="pct"/>
            <w:shd w:val="clear" w:color="auto" w:fill="auto"/>
          </w:tcPr>
          <w:p w14:paraId="5DD7D3CF" w14:textId="3E8997C9" w:rsidR="001843D4" w:rsidRPr="00ED32DF" w:rsidRDefault="001843D4" w:rsidP="00B35C0D">
            <w:pPr>
              <w:pStyle w:val="TableText"/>
              <w:rPr>
                <w:color w:val="auto"/>
                <w:szCs w:val="18"/>
              </w:rPr>
            </w:pPr>
            <w:r w:rsidRPr="00ED32DF">
              <w:rPr>
                <w:color w:val="auto"/>
                <w:szCs w:val="18"/>
              </w:rPr>
              <w:t>May lead to higher lease payments than otherwise available</w:t>
            </w:r>
          </w:p>
        </w:tc>
      </w:tr>
      <w:tr w:rsidR="001843D4" w:rsidRPr="002C5B5D" w14:paraId="49847930" w14:textId="77777777" w:rsidTr="008340AC">
        <w:tc>
          <w:tcPr>
            <w:tcW w:w="770" w:type="pct"/>
            <w:shd w:val="clear" w:color="auto" w:fill="auto"/>
          </w:tcPr>
          <w:p w14:paraId="6C1C3BFC" w14:textId="6743246F" w:rsidR="001843D4" w:rsidRPr="00ED32DF" w:rsidRDefault="001843D4" w:rsidP="007B23B1">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CP CONFIDENTIAL RRP ATT 6.1</w:t>
            </w:r>
            <w:r w:rsidR="007B23B1">
              <w:rPr>
                <w:rFonts w:asciiTheme="minorHAnsi" w:hAnsiTheme="minorHAnsi" w:cstheme="minorHAnsi"/>
                <w:sz w:val="18"/>
                <w:szCs w:val="18"/>
              </w:rPr>
              <w:t>7</w:t>
            </w:r>
            <w:r w:rsidRPr="00ED32DF">
              <w:rPr>
                <w:rFonts w:asciiTheme="minorHAnsi" w:hAnsiTheme="minorHAnsi" w:cstheme="minorHAnsi"/>
                <w:sz w:val="18"/>
                <w:szCs w:val="18"/>
              </w:rPr>
              <w:t xml:space="preserve"> - Heads of agreement for lease (draft), pp. 1–7</w:t>
            </w:r>
          </w:p>
        </w:tc>
        <w:tc>
          <w:tcPr>
            <w:tcW w:w="673" w:type="pct"/>
            <w:shd w:val="clear" w:color="auto" w:fill="auto"/>
          </w:tcPr>
          <w:p w14:paraId="123611DC" w14:textId="2ED7F63B" w:rsidR="001843D4" w:rsidRPr="00ED32DF" w:rsidRDefault="001843D4"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Draft heads of agreement for lease between CitiPower and the vendor</w:t>
            </w:r>
          </w:p>
        </w:tc>
        <w:tc>
          <w:tcPr>
            <w:tcW w:w="528" w:type="pct"/>
            <w:shd w:val="clear" w:color="auto" w:fill="auto"/>
          </w:tcPr>
          <w:p w14:paraId="3F57DA32" w14:textId="2E0DF26D" w:rsidR="001843D4" w:rsidRPr="00ED32DF" w:rsidRDefault="001843D4" w:rsidP="00B35C0D">
            <w:pPr>
              <w:pStyle w:val="TableText"/>
              <w:rPr>
                <w:color w:val="auto"/>
                <w:szCs w:val="18"/>
              </w:rPr>
            </w:pPr>
            <w:r w:rsidRPr="00ED32DF">
              <w:rPr>
                <w:color w:val="auto"/>
                <w:szCs w:val="18"/>
              </w:rPr>
              <w:t>Operating expenditure</w:t>
            </w:r>
          </w:p>
        </w:tc>
        <w:tc>
          <w:tcPr>
            <w:tcW w:w="625" w:type="pct"/>
          </w:tcPr>
          <w:p w14:paraId="285A8FA0" w14:textId="681A13E4" w:rsidR="001843D4" w:rsidRPr="00ED32DF" w:rsidRDefault="001843D4"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Market sensitive cost inputs, strategic information, personal information</w:t>
            </w:r>
          </w:p>
        </w:tc>
        <w:tc>
          <w:tcPr>
            <w:tcW w:w="625" w:type="pct"/>
          </w:tcPr>
          <w:p w14:paraId="4B79F8EE" w14:textId="77777777" w:rsidR="001843D4" w:rsidRPr="00ED32DF" w:rsidRDefault="001843D4" w:rsidP="003178AF">
            <w:pPr>
              <w:pStyle w:val="TableText"/>
              <w:rPr>
                <w:color w:val="auto"/>
                <w:szCs w:val="18"/>
              </w:rPr>
            </w:pPr>
            <w:r w:rsidRPr="00ED32DF">
              <w:rPr>
                <w:color w:val="auto"/>
                <w:szCs w:val="18"/>
              </w:rPr>
              <w:t>Lease terms may impact current/future lease negotiations with other vendors.</w:t>
            </w:r>
          </w:p>
          <w:p w14:paraId="3544B056" w14:textId="214F99E8" w:rsidR="001843D4" w:rsidRPr="00ED32DF" w:rsidRDefault="001843D4" w:rsidP="00B35C0D">
            <w:pPr>
              <w:pStyle w:val="TableText"/>
              <w:rPr>
                <w:color w:val="auto"/>
                <w:szCs w:val="18"/>
              </w:rPr>
            </w:pPr>
            <w:r w:rsidRPr="00ED32DF">
              <w:rPr>
                <w:color w:val="auto"/>
                <w:szCs w:val="18"/>
              </w:rPr>
              <w:t>Heads of agreement also includes personal information regarding the vendor.</w:t>
            </w:r>
          </w:p>
        </w:tc>
        <w:tc>
          <w:tcPr>
            <w:tcW w:w="624" w:type="pct"/>
            <w:shd w:val="clear" w:color="auto" w:fill="auto"/>
          </w:tcPr>
          <w:p w14:paraId="272DAA76" w14:textId="05D00BC9" w:rsidR="001843D4" w:rsidRPr="00ED32DF" w:rsidRDefault="001843D4" w:rsidP="00B35C0D">
            <w:pPr>
              <w:pStyle w:val="TableText"/>
              <w:rPr>
                <w:color w:val="auto"/>
                <w:szCs w:val="18"/>
              </w:rPr>
            </w:pPr>
            <w:r w:rsidRPr="00ED32DF">
              <w:rPr>
                <w:color w:val="auto"/>
                <w:szCs w:val="18"/>
              </w:rPr>
              <w:t>Lease terms may impact current/future lease negotiations with other vendors</w:t>
            </w:r>
          </w:p>
        </w:tc>
        <w:tc>
          <w:tcPr>
            <w:tcW w:w="1155" w:type="pct"/>
            <w:shd w:val="clear" w:color="auto" w:fill="auto"/>
          </w:tcPr>
          <w:p w14:paraId="1DF134D4" w14:textId="1960E1D5" w:rsidR="001843D4" w:rsidRPr="00ED32DF" w:rsidRDefault="001843D4" w:rsidP="00B35C0D">
            <w:pPr>
              <w:pStyle w:val="TableText"/>
              <w:rPr>
                <w:color w:val="auto"/>
                <w:szCs w:val="18"/>
              </w:rPr>
            </w:pPr>
            <w:r w:rsidRPr="00ED32DF">
              <w:rPr>
                <w:color w:val="auto"/>
                <w:szCs w:val="18"/>
              </w:rPr>
              <w:t>May lead to higher lease payments than otherwise available</w:t>
            </w:r>
          </w:p>
        </w:tc>
      </w:tr>
      <w:tr w:rsidR="001843D4" w:rsidRPr="002C5B5D" w14:paraId="47565D7E" w14:textId="77777777" w:rsidTr="008340AC">
        <w:tc>
          <w:tcPr>
            <w:tcW w:w="770" w:type="pct"/>
            <w:shd w:val="clear" w:color="auto" w:fill="auto"/>
          </w:tcPr>
          <w:p w14:paraId="78AB97A2" w14:textId="58DAF1A4" w:rsidR="001843D4" w:rsidRPr="00ED32DF" w:rsidRDefault="001843D4" w:rsidP="007B23B1">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lastRenderedPageBreak/>
              <w:t>CP CONFIDENTIAL RRP ATT 6.3</w:t>
            </w:r>
            <w:r w:rsidR="007B23B1">
              <w:rPr>
                <w:rFonts w:asciiTheme="minorHAnsi" w:hAnsiTheme="minorHAnsi" w:cstheme="minorHAnsi"/>
                <w:sz w:val="18"/>
                <w:szCs w:val="18"/>
              </w:rPr>
              <w:t>5</w:t>
            </w:r>
            <w:r w:rsidRPr="00ED32DF">
              <w:rPr>
                <w:rFonts w:asciiTheme="minorHAnsi" w:hAnsiTheme="minorHAnsi" w:cstheme="minorHAnsi"/>
                <w:sz w:val="18"/>
                <w:szCs w:val="18"/>
              </w:rPr>
              <w:t xml:space="preserve"> - CitiPower, Lease renewals (initial lease), pp. 1–5</w:t>
            </w:r>
          </w:p>
        </w:tc>
        <w:tc>
          <w:tcPr>
            <w:tcW w:w="673" w:type="pct"/>
            <w:shd w:val="clear" w:color="auto" w:fill="auto"/>
          </w:tcPr>
          <w:p w14:paraId="69E51371" w14:textId="6E3AF8C0" w:rsidR="001843D4" w:rsidRPr="00ED32DF" w:rsidRDefault="001843D4"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Initial lease between CitiPower and the vendor</w:t>
            </w:r>
          </w:p>
        </w:tc>
        <w:tc>
          <w:tcPr>
            <w:tcW w:w="528" w:type="pct"/>
            <w:shd w:val="clear" w:color="auto" w:fill="auto"/>
          </w:tcPr>
          <w:p w14:paraId="1427BDFB" w14:textId="6765D748" w:rsidR="001843D4" w:rsidRPr="00ED32DF" w:rsidRDefault="001843D4" w:rsidP="00B35C0D">
            <w:pPr>
              <w:pStyle w:val="TableText"/>
              <w:rPr>
                <w:color w:val="auto"/>
                <w:szCs w:val="18"/>
              </w:rPr>
            </w:pPr>
            <w:r w:rsidRPr="00ED32DF">
              <w:rPr>
                <w:color w:val="auto"/>
                <w:szCs w:val="18"/>
              </w:rPr>
              <w:t>Operating expenditure</w:t>
            </w:r>
          </w:p>
        </w:tc>
        <w:tc>
          <w:tcPr>
            <w:tcW w:w="625" w:type="pct"/>
          </w:tcPr>
          <w:p w14:paraId="53AFF730" w14:textId="4900D6D2" w:rsidR="001843D4" w:rsidRPr="00ED32DF" w:rsidRDefault="001843D4"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Market sensitive cost inputs, strategic information</w:t>
            </w:r>
          </w:p>
        </w:tc>
        <w:tc>
          <w:tcPr>
            <w:tcW w:w="625" w:type="pct"/>
          </w:tcPr>
          <w:p w14:paraId="20AABE56" w14:textId="403E252F" w:rsidR="001843D4" w:rsidRPr="00ED32DF" w:rsidRDefault="001843D4" w:rsidP="00B35C0D">
            <w:pPr>
              <w:pStyle w:val="TableText"/>
              <w:rPr>
                <w:color w:val="auto"/>
                <w:szCs w:val="18"/>
              </w:rPr>
            </w:pPr>
            <w:r w:rsidRPr="00ED32DF">
              <w:rPr>
                <w:color w:val="auto"/>
                <w:szCs w:val="18"/>
              </w:rPr>
              <w:t>Lease terms identify the relevant property which may impact current/future lease negotiations with other vendors</w:t>
            </w:r>
          </w:p>
        </w:tc>
        <w:tc>
          <w:tcPr>
            <w:tcW w:w="624" w:type="pct"/>
            <w:shd w:val="clear" w:color="auto" w:fill="auto"/>
          </w:tcPr>
          <w:p w14:paraId="5154B12C" w14:textId="2B254F52" w:rsidR="001843D4" w:rsidRPr="00ED32DF" w:rsidRDefault="001843D4" w:rsidP="00B35C0D">
            <w:pPr>
              <w:pStyle w:val="TableText"/>
              <w:rPr>
                <w:color w:val="auto"/>
                <w:szCs w:val="18"/>
              </w:rPr>
            </w:pPr>
            <w:r w:rsidRPr="00ED32DF">
              <w:rPr>
                <w:color w:val="auto"/>
                <w:szCs w:val="18"/>
              </w:rPr>
              <w:t>Lease terms identify the relevant property which may impact current/future lease negotiations with other vendors</w:t>
            </w:r>
          </w:p>
        </w:tc>
        <w:tc>
          <w:tcPr>
            <w:tcW w:w="1155" w:type="pct"/>
            <w:shd w:val="clear" w:color="auto" w:fill="auto"/>
          </w:tcPr>
          <w:p w14:paraId="391DCD36" w14:textId="5160CF0F" w:rsidR="001843D4" w:rsidRPr="00ED32DF" w:rsidRDefault="001843D4" w:rsidP="00B35C0D">
            <w:pPr>
              <w:pStyle w:val="TableText"/>
              <w:rPr>
                <w:color w:val="auto"/>
                <w:szCs w:val="18"/>
              </w:rPr>
            </w:pPr>
            <w:r w:rsidRPr="00ED32DF">
              <w:rPr>
                <w:color w:val="auto"/>
                <w:szCs w:val="18"/>
              </w:rPr>
              <w:t>May lead to higher lease payments than otherwise available</w:t>
            </w:r>
          </w:p>
        </w:tc>
      </w:tr>
      <w:tr w:rsidR="001843D4" w:rsidRPr="002C5B5D" w14:paraId="05601502" w14:textId="77777777" w:rsidTr="008340AC">
        <w:tc>
          <w:tcPr>
            <w:tcW w:w="770" w:type="pct"/>
            <w:shd w:val="clear" w:color="auto" w:fill="auto"/>
          </w:tcPr>
          <w:p w14:paraId="033ADA74" w14:textId="3E91F734" w:rsidR="001843D4" w:rsidRPr="00ED32DF" w:rsidRDefault="001843D4" w:rsidP="007B23B1">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CP CONFIDENTIAL RRP ATT 6.3</w:t>
            </w:r>
            <w:r w:rsidR="007B23B1">
              <w:rPr>
                <w:rFonts w:asciiTheme="minorHAnsi" w:hAnsiTheme="minorHAnsi" w:cstheme="minorHAnsi"/>
                <w:sz w:val="18"/>
                <w:szCs w:val="18"/>
              </w:rPr>
              <w:t>6</w:t>
            </w:r>
            <w:r w:rsidRPr="00ED32DF">
              <w:rPr>
                <w:rFonts w:asciiTheme="minorHAnsi" w:hAnsiTheme="minorHAnsi" w:cstheme="minorHAnsi"/>
                <w:sz w:val="18"/>
                <w:szCs w:val="18"/>
              </w:rPr>
              <w:t xml:space="preserve"> - CitiPower, Lease renewals (short-term), pp. 1–7</w:t>
            </w:r>
          </w:p>
        </w:tc>
        <w:tc>
          <w:tcPr>
            <w:tcW w:w="673" w:type="pct"/>
            <w:shd w:val="clear" w:color="auto" w:fill="auto"/>
          </w:tcPr>
          <w:p w14:paraId="03DB4CF1" w14:textId="7EA92753" w:rsidR="001843D4" w:rsidRPr="00ED32DF" w:rsidRDefault="001843D4"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Short-term lease extension between CitiPower and the vendor</w:t>
            </w:r>
          </w:p>
        </w:tc>
        <w:tc>
          <w:tcPr>
            <w:tcW w:w="528" w:type="pct"/>
            <w:shd w:val="clear" w:color="auto" w:fill="auto"/>
          </w:tcPr>
          <w:p w14:paraId="0F2360E5" w14:textId="3A569044" w:rsidR="001843D4" w:rsidRPr="00ED32DF" w:rsidRDefault="001843D4" w:rsidP="00B35C0D">
            <w:pPr>
              <w:pStyle w:val="TableText"/>
              <w:rPr>
                <w:color w:val="auto"/>
                <w:szCs w:val="18"/>
              </w:rPr>
            </w:pPr>
            <w:r w:rsidRPr="00ED32DF">
              <w:rPr>
                <w:color w:val="auto"/>
                <w:szCs w:val="18"/>
              </w:rPr>
              <w:t>Operating expenditure</w:t>
            </w:r>
          </w:p>
        </w:tc>
        <w:tc>
          <w:tcPr>
            <w:tcW w:w="625" w:type="pct"/>
          </w:tcPr>
          <w:p w14:paraId="5B48E32A" w14:textId="25E956F3" w:rsidR="001843D4" w:rsidRPr="00ED32DF" w:rsidRDefault="001843D4"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Market sensitive cost inputs, strategic information</w:t>
            </w:r>
          </w:p>
        </w:tc>
        <w:tc>
          <w:tcPr>
            <w:tcW w:w="625" w:type="pct"/>
          </w:tcPr>
          <w:p w14:paraId="163F9A65" w14:textId="03B95E61" w:rsidR="001843D4" w:rsidRPr="00ED32DF" w:rsidRDefault="001843D4" w:rsidP="00B35C0D">
            <w:pPr>
              <w:pStyle w:val="TableText"/>
              <w:rPr>
                <w:color w:val="auto"/>
                <w:szCs w:val="18"/>
              </w:rPr>
            </w:pPr>
            <w:r w:rsidRPr="00ED32DF">
              <w:rPr>
                <w:color w:val="auto"/>
                <w:szCs w:val="18"/>
              </w:rPr>
              <w:t>Lease terms identify the relevant property which may impact current/future lease negotiations with other vendors</w:t>
            </w:r>
          </w:p>
        </w:tc>
        <w:tc>
          <w:tcPr>
            <w:tcW w:w="624" w:type="pct"/>
            <w:shd w:val="clear" w:color="auto" w:fill="auto"/>
          </w:tcPr>
          <w:p w14:paraId="2112D7AE" w14:textId="79666841" w:rsidR="001843D4" w:rsidRPr="00ED32DF" w:rsidRDefault="001843D4" w:rsidP="00B35C0D">
            <w:pPr>
              <w:pStyle w:val="TableText"/>
              <w:rPr>
                <w:color w:val="auto"/>
                <w:szCs w:val="18"/>
              </w:rPr>
            </w:pPr>
            <w:r w:rsidRPr="00ED32DF">
              <w:rPr>
                <w:color w:val="auto"/>
                <w:szCs w:val="18"/>
              </w:rPr>
              <w:t>Lease terms identify the relevant property which may impact current/future lease negotiations with other vendors</w:t>
            </w:r>
          </w:p>
        </w:tc>
        <w:tc>
          <w:tcPr>
            <w:tcW w:w="1155" w:type="pct"/>
            <w:shd w:val="clear" w:color="auto" w:fill="auto"/>
          </w:tcPr>
          <w:p w14:paraId="6AE8F085" w14:textId="68BA8E94" w:rsidR="001843D4" w:rsidRPr="00ED32DF" w:rsidRDefault="001843D4" w:rsidP="00B35C0D">
            <w:pPr>
              <w:pStyle w:val="TableText"/>
              <w:rPr>
                <w:color w:val="auto"/>
                <w:szCs w:val="18"/>
              </w:rPr>
            </w:pPr>
            <w:r w:rsidRPr="00ED32DF">
              <w:rPr>
                <w:color w:val="auto"/>
                <w:szCs w:val="18"/>
              </w:rPr>
              <w:t>May lead to higher lease payments than otherwise available</w:t>
            </w:r>
          </w:p>
        </w:tc>
      </w:tr>
      <w:tr w:rsidR="001843D4" w:rsidRPr="002C5B5D" w14:paraId="01D602D3" w14:textId="77777777" w:rsidTr="008340AC">
        <w:tc>
          <w:tcPr>
            <w:tcW w:w="770" w:type="pct"/>
            <w:shd w:val="clear" w:color="auto" w:fill="auto"/>
          </w:tcPr>
          <w:p w14:paraId="480E9A77" w14:textId="307A6926" w:rsidR="001843D4" w:rsidRPr="00ED32DF" w:rsidRDefault="001843D4" w:rsidP="007B23B1">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CP CONFIDENTIAL RRP ATT 6.3</w:t>
            </w:r>
            <w:r w:rsidR="007B23B1">
              <w:rPr>
                <w:rFonts w:asciiTheme="minorHAnsi" w:hAnsiTheme="minorHAnsi" w:cstheme="minorHAnsi"/>
                <w:sz w:val="18"/>
                <w:szCs w:val="18"/>
              </w:rPr>
              <w:t>7</w:t>
            </w:r>
            <w:r w:rsidRPr="00ED32DF">
              <w:rPr>
                <w:rFonts w:asciiTheme="minorHAnsi" w:hAnsiTheme="minorHAnsi" w:cstheme="minorHAnsi"/>
                <w:sz w:val="18"/>
                <w:szCs w:val="18"/>
              </w:rPr>
              <w:t xml:space="preserve"> - CitiPower, Lease renewals (short-term extension), p. 1</w:t>
            </w:r>
          </w:p>
        </w:tc>
        <w:tc>
          <w:tcPr>
            <w:tcW w:w="673" w:type="pct"/>
            <w:shd w:val="clear" w:color="auto" w:fill="auto"/>
          </w:tcPr>
          <w:p w14:paraId="7348B080" w14:textId="1730502F" w:rsidR="001843D4" w:rsidRPr="00ED32DF" w:rsidRDefault="001843D4"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Short-term lease extension between CitiPower and the vendor</w:t>
            </w:r>
          </w:p>
        </w:tc>
        <w:tc>
          <w:tcPr>
            <w:tcW w:w="528" w:type="pct"/>
            <w:shd w:val="clear" w:color="auto" w:fill="auto"/>
          </w:tcPr>
          <w:p w14:paraId="46A82692" w14:textId="3380C868" w:rsidR="001843D4" w:rsidRPr="00ED32DF" w:rsidRDefault="001843D4" w:rsidP="00B35C0D">
            <w:pPr>
              <w:pStyle w:val="TableText"/>
              <w:rPr>
                <w:color w:val="auto"/>
                <w:szCs w:val="18"/>
              </w:rPr>
            </w:pPr>
            <w:r w:rsidRPr="00ED32DF">
              <w:rPr>
                <w:color w:val="auto"/>
                <w:szCs w:val="18"/>
              </w:rPr>
              <w:t>Operating expenditure</w:t>
            </w:r>
          </w:p>
        </w:tc>
        <w:tc>
          <w:tcPr>
            <w:tcW w:w="625" w:type="pct"/>
          </w:tcPr>
          <w:p w14:paraId="3BDC837C" w14:textId="6E95137F" w:rsidR="001843D4" w:rsidRPr="00ED32DF" w:rsidRDefault="001843D4"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Market sensitive cost inputs, strategic information</w:t>
            </w:r>
          </w:p>
        </w:tc>
        <w:tc>
          <w:tcPr>
            <w:tcW w:w="625" w:type="pct"/>
          </w:tcPr>
          <w:p w14:paraId="15ACFAB9" w14:textId="6819E78B" w:rsidR="001843D4" w:rsidRPr="00ED32DF" w:rsidRDefault="001843D4" w:rsidP="00B35C0D">
            <w:pPr>
              <w:pStyle w:val="TableText"/>
              <w:rPr>
                <w:color w:val="auto"/>
                <w:szCs w:val="18"/>
              </w:rPr>
            </w:pPr>
            <w:r w:rsidRPr="00ED32DF">
              <w:rPr>
                <w:color w:val="auto"/>
                <w:szCs w:val="18"/>
              </w:rPr>
              <w:t>Lease terms identify the relevant property which may impact current/future lease negotiations with other vendors</w:t>
            </w:r>
          </w:p>
        </w:tc>
        <w:tc>
          <w:tcPr>
            <w:tcW w:w="624" w:type="pct"/>
            <w:shd w:val="clear" w:color="auto" w:fill="auto"/>
          </w:tcPr>
          <w:p w14:paraId="63209CF0" w14:textId="77777777" w:rsidR="001843D4" w:rsidRDefault="001843D4" w:rsidP="00B35C0D">
            <w:pPr>
              <w:pStyle w:val="TableText"/>
              <w:rPr>
                <w:color w:val="auto"/>
                <w:szCs w:val="18"/>
              </w:rPr>
            </w:pPr>
            <w:r w:rsidRPr="00ED32DF">
              <w:rPr>
                <w:color w:val="auto"/>
                <w:szCs w:val="18"/>
              </w:rPr>
              <w:t>Lease terms identify the relevant property which may impact current/future lease negotiations with other vendors</w:t>
            </w:r>
          </w:p>
          <w:p w14:paraId="281B5A68" w14:textId="44D4BBCD" w:rsidR="007B23B1" w:rsidRPr="00ED32DF" w:rsidRDefault="007B23B1" w:rsidP="00B35C0D">
            <w:pPr>
              <w:pStyle w:val="TableText"/>
              <w:rPr>
                <w:color w:val="auto"/>
                <w:szCs w:val="18"/>
              </w:rPr>
            </w:pPr>
          </w:p>
        </w:tc>
        <w:tc>
          <w:tcPr>
            <w:tcW w:w="1155" w:type="pct"/>
            <w:shd w:val="clear" w:color="auto" w:fill="auto"/>
          </w:tcPr>
          <w:p w14:paraId="3C682165" w14:textId="30358E6D" w:rsidR="001843D4" w:rsidRPr="00ED32DF" w:rsidRDefault="001843D4" w:rsidP="00B35C0D">
            <w:pPr>
              <w:pStyle w:val="TableText"/>
              <w:rPr>
                <w:color w:val="auto"/>
                <w:szCs w:val="18"/>
              </w:rPr>
            </w:pPr>
            <w:r w:rsidRPr="00ED32DF">
              <w:rPr>
                <w:color w:val="auto"/>
                <w:szCs w:val="18"/>
              </w:rPr>
              <w:t>May lead to higher lease payments than otherwise available</w:t>
            </w:r>
          </w:p>
        </w:tc>
      </w:tr>
      <w:tr w:rsidR="00E80892" w:rsidRPr="002C5B5D" w14:paraId="33A62AA5" w14:textId="77777777" w:rsidTr="008340AC">
        <w:tc>
          <w:tcPr>
            <w:tcW w:w="770" w:type="pct"/>
            <w:shd w:val="clear" w:color="auto" w:fill="auto"/>
          </w:tcPr>
          <w:p w14:paraId="6B3BC7D1" w14:textId="2FCFFA52"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lastRenderedPageBreak/>
              <w:t>CP CONFIDENTIAL RRP ATT 10.11 - Black, Jensen, and Scholes,The Capital Asset Pricing Model, Some empirical tests, in Studies in the Theory of Capital Markets, Michael C. Jensen, ed., New York: Praeger, 1972</w:t>
            </w:r>
          </w:p>
        </w:tc>
        <w:tc>
          <w:tcPr>
            <w:tcW w:w="673" w:type="pct"/>
            <w:shd w:val="clear" w:color="auto" w:fill="auto"/>
          </w:tcPr>
          <w:p w14:paraId="6F6D8EF7" w14:textId="35A07A71"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Reference material cited in the revised regulatory proposal and/or expert reports submitted with the revised regulatory proposal and provided to the AER to assist it in making a new distribution determination</w:t>
            </w:r>
          </w:p>
        </w:tc>
        <w:tc>
          <w:tcPr>
            <w:tcW w:w="528" w:type="pct"/>
            <w:shd w:val="clear" w:color="auto" w:fill="auto"/>
          </w:tcPr>
          <w:p w14:paraId="5912851A" w14:textId="688618CA" w:rsidR="00E80892" w:rsidRPr="00ED32DF" w:rsidRDefault="00E80892" w:rsidP="00B35C0D">
            <w:pPr>
              <w:pStyle w:val="TableText"/>
              <w:rPr>
                <w:color w:val="auto"/>
                <w:szCs w:val="18"/>
              </w:rPr>
            </w:pPr>
            <w:r w:rsidRPr="00ED32DF">
              <w:rPr>
                <w:color w:val="auto"/>
                <w:szCs w:val="18"/>
              </w:rPr>
              <w:t>Rate of return</w:t>
            </w:r>
          </w:p>
        </w:tc>
        <w:tc>
          <w:tcPr>
            <w:tcW w:w="625" w:type="pct"/>
          </w:tcPr>
          <w:p w14:paraId="36891B86" w14:textId="7B71F21E"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Other</w:t>
            </w:r>
          </w:p>
        </w:tc>
        <w:tc>
          <w:tcPr>
            <w:tcW w:w="625" w:type="pct"/>
          </w:tcPr>
          <w:p w14:paraId="44F1BECB" w14:textId="5D6268F3" w:rsidR="00E80892" w:rsidRPr="00ED32DF" w:rsidRDefault="00E80892" w:rsidP="00B35C0D">
            <w:pPr>
              <w:pStyle w:val="TableText"/>
              <w:rPr>
                <w:color w:val="auto"/>
                <w:szCs w:val="18"/>
              </w:rPr>
            </w:pPr>
            <w:r w:rsidRPr="00ED32DF">
              <w:rPr>
                <w:color w:val="auto"/>
                <w:szCs w:val="18"/>
              </w:rPr>
              <w:t xml:space="preserve">We do not own the copyright in the material.  To publish it we would be required to obtain permission from the copyright owner, which would likely involve lengthy commercial negotiations and the payment of a licence fee. </w:t>
            </w:r>
          </w:p>
        </w:tc>
        <w:tc>
          <w:tcPr>
            <w:tcW w:w="624" w:type="pct"/>
            <w:shd w:val="clear" w:color="auto" w:fill="auto"/>
          </w:tcPr>
          <w:p w14:paraId="093146CB" w14:textId="23611C74" w:rsidR="00E80892" w:rsidRPr="00ED32DF" w:rsidRDefault="00E80892" w:rsidP="00B35C0D">
            <w:pPr>
              <w:pStyle w:val="TableText"/>
              <w:rPr>
                <w:color w:val="auto"/>
                <w:szCs w:val="18"/>
              </w:rPr>
            </w:pPr>
            <w:r w:rsidRPr="00ED32DF">
              <w:rPr>
                <w:color w:val="auto"/>
                <w:szCs w:val="18"/>
              </w:rPr>
              <w:t>Publishing the material would result in a breach of the Copyright Act 1968 (Cth).</w:t>
            </w:r>
          </w:p>
        </w:tc>
        <w:tc>
          <w:tcPr>
            <w:tcW w:w="1155" w:type="pct"/>
            <w:shd w:val="clear" w:color="auto" w:fill="auto"/>
          </w:tcPr>
          <w:p w14:paraId="42759371" w14:textId="5F8D5060" w:rsidR="00E80892" w:rsidRPr="00ED32DF" w:rsidRDefault="00E80892" w:rsidP="00B35C0D">
            <w:pPr>
              <w:pStyle w:val="TableText"/>
              <w:rPr>
                <w:color w:val="auto"/>
                <w:szCs w:val="18"/>
              </w:rPr>
            </w:pPr>
            <w:r w:rsidRPr="00ED32DF">
              <w:rPr>
                <w:color w:val="auto"/>
                <w:szCs w:val="18"/>
              </w:rPr>
              <w:t>We are not aware of any material public benefit arising from publication of the material, as opposed to it being treated as confidential. The material may be obtained by stakeholders through appropriate channels (e.g. from the copyright owner).</w:t>
            </w:r>
          </w:p>
        </w:tc>
      </w:tr>
      <w:tr w:rsidR="00E80892" w:rsidRPr="002C5B5D" w14:paraId="01B072C6" w14:textId="77777777" w:rsidTr="008340AC">
        <w:tc>
          <w:tcPr>
            <w:tcW w:w="770" w:type="pct"/>
            <w:shd w:val="clear" w:color="auto" w:fill="auto"/>
          </w:tcPr>
          <w:p w14:paraId="42FAF8B1" w14:textId="088FD2DC"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CP CONFIDENTIAL RRP ATT 10.12 - Friend and Blume, Measurement of Portfolio Performance under Uncertainty, American Economic Review, 60, 1970</w:t>
            </w:r>
          </w:p>
        </w:tc>
        <w:tc>
          <w:tcPr>
            <w:tcW w:w="673" w:type="pct"/>
            <w:shd w:val="clear" w:color="auto" w:fill="auto"/>
          </w:tcPr>
          <w:p w14:paraId="31236FE6" w14:textId="0C403465"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 xml:space="preserve">Reference material cited in the revised regulatory proposal and/or expert reports submitted with the revised regulatory proposal and provided to the AER to assist it in making a new distribution </w:t>
            </w:r>
            <w:r w:rsidRPr="00ED32DF">
              <w:rPr>
                <w:rFonts w:asciiTheme="minorHAnsi" w:hAnsiTheme="minorHAnsi" w:cstheme="minorHAnsi"/>
                <w:sz w:val="18"/>
                <w:szCs w:val="18"/>
              </w:rPr>
              <w:lastRenderedPageBreak/>
              <w:t>determination</w:t>
            </w:r>
          </w:p>
        </w:tc>
        <w:tc>
          <w:tcPr>
            <w:tcW w:w="528" w:type="pct"/>
            <w:shd w:val="clear" w:color="auto" w:fill="auto"/>
          </w:tcPr>
          <w:p w14:paraId="37889CFA" w14:textId="1626ABA2" w:rsidR="00E80892" w:rsidRPr="00ED32DF" w:rsidRDefault="00E80892" w:rsidP="00B35C0D">
            <w:pPr>
              <w:pStyle w:val="TableText"/>
              <w:rPr>
                <w:color w:val="auto"/>
                <w:szCs w:val="18"/>
              </w:rPr>
            </w:pPr>
            <w:r w:rsidRPr="00ED32DF">
              <w:rPr>
                <w:color w:val="auto"/>
                <w:szCs w:val="18"/>
              </w:rPr>
              <w:lastRenderedPageBreak/>
              <w:t>Rate of return</w:t>
            </w:r>
          </w:p>
        </w:tc>
        <w:tc>
          <w:tcPr>
            <w:tcW w:w="625" w:type="pct"/>
          </w:tcPr>
          <w:p w14:paraId="0EFAF52B" w14:textId="64932E61"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Other</w:t>
            </w:r>
          </w:p>
        </w:tc>
        <w:tc>
          <w:tcPr>
            <w:tcW w:w="625" w:type="pct"/>
          </w:tcPr>
          <w:p w14:paraId="4C9C3E00" w14:textId="7D6738D8" w:rsidR="00E80892" w:rsidRPr="00ED32DF" w:rsidRDefault="00E80892" w:rsidP="00B35C0D">
            <w:pPr>
              <w:pStyle w:val="TableText"/>
              <w:rPr>
                <w:color w:val="auto"/>
                <w:szCs w:val="18"/>
              </w:rPr>
            </w:pPr>
            <w:r w:rsidRPr="00ED32DF">
              <w:rPr>
                <w:color w:val="auto"/>
                <w:szCs w:val="18"/>
              </w:rPr>
              <w:t xml:space="preserve">We do not own the copyright in the material.  To publish it we would be required to obtain permission from the copyright owner, which would likely involve lengthy commercial </w:t>
            </w:r>
            <w:r w:rsidRPr="00ED32DF">
              <w:rPr>
                <w:color w:val="auto"/>
                <w:szCs w:val="18"/>
              </w:rPr>
              <w:lastRenderedPageBreak/>
              <w:t>negotiations and the payment of a licence fee.</w:t>
            </w:r>
          </w:p>
        </w:tc>
        <w:tc>
          <w:tcPr>
            <w:tcW w:w="624" w:type="pct"/>
            <w:shd w:val="clear" w:color="auto" w:fill="auto"/>
          </w:tcPr>
          <w:p w14:paraId="21035580" w14:textId="7BFCAF1A" w:rsidR="00E80892" w:rsidRPr="00ED32DF" w:rsidRDefault="00E80892" w:rsidP="00B35C0D">
            <w:pPr>
              <w:pStyle w:val="TableText"/>
              <w:rPr>
                <w:color w:val="auto"/>
                <w:szCs w:val="18"/>
              </w:rPr>
            </w:pPr>
            <w:r w:rsidRPr="00ED32DF">
              <w:rPr>
                <w:color w:val="auto"/>
                <w:szCs w:val="18"/>
              </w:rPr>
              <w:lastRenderedPageBreak/>
              <w:t>Publishing the material would result in a breach of the Copyright Act 1968 (Cth).</w:t>
            </w:r>
          </w:p>
        </w:tc>
        <w:tc>
          <w:tcPr>
            <w:tcW w:w="1155" w:type="pct"/>
            <w:shd w:val="clear" w:color="auto" w:fill="auto"/>
          </w:tcPr>
          <w:p w14:paraId="17F3DEA1" w14:textId="27D66338" w:rsidR="00E80892" w:rsidRPr="00ED32DF" w:rsidRDefault="00E80892" w:rsidP="00B35C0D">
            <w:pPr>
              <w:pStyle w:val="TableText"/>
              <w:rPr>
                <w:color w:val="auto"/>
                <w:szCs w:val="18"/>
              </w:rPr>
            </w:pPr>
            <w:r w:rsidRPr="00ED32DF">
              <w:rPr>
                <w:color w:val="auto"/>
                <w:szCs w:val="18"/>
              </w:rPr>
              <w:t>We are not aware of any material public benefit arising from publication of the material, as opposed to it being treated as confidential. The material may be obtained by stakeholders through appropriate channels (e.g. from the copyright owner).</w:t>
            </w:r>
          </w:p>
        </w:tc>
      </w:tr>
      <w:tr w:rsidR="00E80892" w:rsidRPr="002C5B5D" w14:paraId="1C6FDD9D" w14:textId="77777777" w:rsidTr="008340AC">
        <w:tc>
          <w:tcPr>
            <w:tcW w:w="770" w:type="pct"/>
            <w:shd w:val="clear" w:color="auto" w:fill="auto"/>
          </w:tcPr>
          <w:p w14:paraId="2E95BE0A" w14:textId="1FDE6CD4"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lastRenderedPageBreak/>
              <w:t>CP CONFIDENTIAL RRP ATT 10.13 - Fama and MacBeth, Risk, return, and equilibrium, Empirical tests, Journal of Political Economy, 81, 1973</w:t>
            </w:r>
          </w:p>
        </w:tc>
        <w:tc>
          <w:tcPr>
            <w:tcW w:w="673" w:type="pct"/>
            <w:shd w:val="clear" w:color="auto" w:fill="auto"/>
          </w:tcPr>
          <w:p w14:paraId="41A85116" w14:textId="037E685B"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Reference material cited in the revised regulatory proposal and/or expert reports submitted with the revised regulatory proposal and provided to the AER to assist it in making a new distribution determination</w:t>
            </w:r>
          </w:p>
        </w:tc>
        <w:tc>
          <w:tcPr>
            <w:tcW w:w="528" w:type="pct"/>
            <w:shd w:val="clear" w:color="auto" w:fill="auto"/>
          </w:tcPr>
          <w:p w14:paraId="713B8F75" w14:textId="237616BE" w:rsidR="00E80892" w:rsidRPr="00ED32DF" w:rsidRDefault="00E80892" w:rsidP="00B35C0D">
            <w:pPr>
              <w:pStyle w:val="TableText"/>
              <w:rPr>
                <w:color w:val="auto"/>
                <w:szCs w:val="18"/>
              </w:rPr>
            </w:pPr>
            <w:r w:rsidRPr="00ED32DF">
              <w:rPr>
                <w:color w:val="auto"/>
                <w:szCs w:val="18"/>
              </w:rPr>
              <w:t>Rate of return</w:t>
            </w:r>
          </w:p>
        </w:tc>
        <w:tc>
          <w:tcPr>
            <w:tcW w:w="625" w:type="pct"/>
          </w:tcPr>
          <w:p w14:paraId="14FB6CE0" w14:textId="04534CE5"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Other</w:t>
            </w:r>
          </w:p>
        </w:tc>
        <w:tc>
          <w:tcPr>
            <w:tcW w:w="625" w:type="pct"/>
          </w:tcPr>
          <w:p w14:paraId="0C8C7A1C" w14:textId="0AB9A6D1" w:rsidR="00E80892" w:rsidRPr="00ED32DF" w:rsidRDefault="00E80892" w:rsidP="00B35C0D">
            <w:pPr>
              <w:pStyle w:val="TableText"/>
              <w:rPr>
                <w:color w:val="auto"/>
                <w:szCs w:val="18"/>
              </w:rPr>
            </w:pPr>
            <w:r w:rsidRPr="00ED32DF">
              <w:rPr>
                <w:color w:val="auto"/>
                <w:szCs w:val="18"/>
              </w:rPr>
              <w:t>We do not own the copyright in the material.  To publish it we would be required to obtain permission from the copyright owner, which would likely involve lengthy commercial negotiations and the payment of a licence fee.</w:t>
            </w:r>
          </w:p>
        </w:tc>
        <w:tc>
          <w:tcPr>
            <w:tcW w:w="624" w:type="pct"/>
            <w:shd w:val="clear" w:color="auto" w:fill="auto"/>
          </w:tcPr>
          <w:p w14:paraId="04354883" w14:textId="0F414731" w:rsidR="00E80892" w:rsidRPr="00ED32DF" w:rsidRDefault="00E80892" w:rsidP="00B35C0D">
            <w:pPr>
              <w:pStyle w:val="TableText"/>
              <w:rPr>
                <w:color w:val="auto"/>
                <w:szCs w:val="18"/>
              </w:rPr>
            </w:pPr>
            <w:r w:rsidRPr="00ED32DF">
              <w:rPr>
                <w:color w:val="auto"/>
                <w:szCs w:val="18"/>
              </w:rPr>
              <w:t>Publishing the material would result in a breach of the Copyright Act 1968 (Cth).</w:t>
            </w:r>
          </w:p>
        </w:tc>
        <w:tc>
          <w:tcPr>
            <w:tcW w:w="1155" w:type="pct"/>
            <w:shd w:val="clear" w:color="auto" w:fill="auto"/>
          </w:tcPr>
          <w:p w14:paraId="0B2B6FE2" w14:textId="5654DD2B" w:rsidR="00E80892" w:rsidRPr="00ED32DF" w:rsidRDefault="00E80892" w:rsidP="00B35C0D">
            <w:pPr>
              <w:pStyle w:val="TableText"/>
              <w:rPr>
                <w:color w:val="auto"/>
                <w:szCs w:val="18"/>
              </w:rPr>
            </w:pPr>
            <w:r w:rsidRPr="00ED32DF">
              <w:rPr>
                <w:color w:val="auto"/>
                <w:szCs w:val="18"/>
              </w:rPr>
              <w:t>We are not aware of any material public benefit arising from publication of the material, as opposed to it being treated as confidential. The material may be obtained by stakeholders through appropriate channels (e.g. from the copyright owner).</w:t>
            </w:r>
          </w:p>
        </w:tc>
      </w:tr>
      <w:tr w:rsidR="00E80892" w:rsidRPr="002C5B5D" w14:paraId="28E7929A" w14:textId="77777777" w:rsidTr="008340AC">
        <w:tc>
          <w:tcPr>
            <w:tcW w:w="770" w:type="pct"/>
            <w:shd w:val="clear" w:color="auto" w:fill="auto"/>
          </w:tcPr>
          <w:p w14:paraId="36F60382" w14:textId="6586C7F6"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 xml:space="preserve">CP CONFIDENTIAL RRP ATT 10.14 - Rosenberg, Reid, and Lanstein, Persuasive evidence of market inefficiency, Journal of Portfolio Management 11, </w:t>
            </w:r>
            <w:r w:rsidRPr="00ED32DF">
              <w:rPr>
                <w:rFonts w:asciiTheme="minorHAnsi" w:hAnsiTheme="minorHAnsi" w:cstheme="minorHAnsi"/>
                <w:sz w:val="18"/>
                <w:szCs w:val="18"/>
              </w:rPr>
              <w:lastRenderedPageBreak/>
              <w:t>1985</w:t>
            </w:r>
          </w:p>
        </w:tc>
        <w:tc>
          <w:tcPr>
            <w:tcW w:w="673" w:type="pct"/>
            <w:shd w:val="clear" w:color="auto" w:fill="auto"/>
          </w:tcPr>
          <w:p w14:paraId="16F162B4" w14:textId="23EA4390"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lastRenderedPageBreak/>
              <w:t xml:space="preserve">Reference material cited in the revised regulatory proposal and/or expert reports submitted with the revised regulatory proposal and provided to </w:t>
            </w:r>
            <w:r w:rsidRPr="00ED32DF">
              <w:rPr>
                <w:rFonts w:asciiTheme="minorHAnsi" w:hAnsiTheme="minorHAnsi" w:cstheme="minorHAnsi"/>
                <w:sz w:val="18"/>
                <w:szCs w:val="18"/>
              </w:rPr>
              <w:lastRenderedPageBreak/>
              <w:t>the AER to assist it in making a new distribution determination</w:t>
            </w:r>
          </w:p>
        </w:tc>
        <w:tc>
          <w:tcPr>
            <w:tcW w:w="528" w:type="pct"/>
            <w:shd w:val="clear" w:color="auto" w:fill="auto"/>
          </w:tcPr>
          <w:p w14:paraId="45644A03" w14:textId="6D2EB5A4" w:rsidR="00E80892" w:rsidRPr="00ED32DF" w:rsidRDefault="00E80892" w:rsidP="00B35C0D">
            <w:pPr>
              <w:pStyle w:val="TableText"/>
              <w:rPr>
                <w:color w:val="auto"/>
                <w:szCs w:val="18"/>
              </w:rPr>
            </w:pPr>
            <w:r w:rsidRPr="00ED32DF">
              <w:rPr>
                <w:color w:val="auto"/>
                <w:szCs w:val="18"/>
              </w:rPr>
              <w:lastRenderedPageBreak/>
              <w:t>Rate of return</w:t>
            </w:r>
          </w:p>
        </w:tc>
        <w:tc>
          <w:tcPr>
            <w:tcW w:w="625" w:type="pct"/>
          </w:tcPr>
          <w:p w14:paraId="33783EE4" w14:textId="33FB359D"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Other</w:t>
            </w:r>
          </w:p>
        </w:tc>
        <w:tc>
          <w:tcPr>
            <w:tcW w:w="625" w:type="pct"/>
          </w:tcPr>
          <w:p w14:paraId="27117697" w14:textId="47448434" w:rsidR="00E80892" w:rsidRPr="00ED32DF" w:rsidRDefault="00E80892" w:rsidP="00B35C0D">
            <w:pPr>
              <w:pStyle w:val="TableText"/>
              <w:rPr>
                <w:color w:val="auto"/>
                <w:szCs w:val="18"/>
              </w:rPr>
            </w:pPr>
            <w:r w:rsidRPr="00ED32DF">
              <w:rPr>
                <w:color w:val="auto"/>
                <w:szCs w:val="18"/>
              </w:rPr>
              <w:t xml:space="preserve">We do not own the copyright in the material.  To publish it we would be required to obtain permission </w:t>
            </w:r>
            <w:r w:rsidRPr="00ED32DF">
              <w:rPr>
                <w:color w:val="auto"/>
                <w:szCs w:val="18"/>
              </w:rPr>
              <w:lastRenderedPageBreak/>
              <w:t>from the copyright owner, which would likely involve lengthy commercial negotiations and the payment of a licence fee.</w:t>
            </w:r>
          </w:p>
        </w:tc>
        <w:tc>
          <w:tcPr>
            <w:tcW w:w="624" w:type="pct"/>
            <w:shd w:val="clear" w:color="auto" w:fill="auto"/>
          </w:tcPr>
          <w:p w14:paraId="63FF3673" w14:textId="2A909343" w:rsidR="00E80892" w:rsidRPr="00ED32DF" w:rsidRDefault="00E80892" w:rsidP="00B35C0D">
            <w:pPr>
              <w:pStyle w:val="TableText"/>
              <w:rPr>
                <w:color w:val="auto"/>
                <w:szCs w:val="18"/>
              </w:rPr>
            </w:pPr>
            <w:r w:rsidRPr="00ED32DF">
              <w:rPr>
                <w:color w:val="auto"/>
                <w:szCs w:val="18"/>
              </w:rPr>
              <w:lastRenderedPageBreak/>
              <w:t>Publishing the material would result in a breach of the Copyright Act 1968 (Cth).</w:t>
            </w:r>
          </w:p>
        </w:tc>
        <w:tc>
          <w:tcPr>
            <w:tcW w:w="1155" w:type="pct"/>
            <w:shd w:val="clear" w:color="auto" w:fill="auto"/>
          </w:tcPr>
          <w:p w14:paraId="50D8D170" w14:textId="076E390D" w:rsidR="00E80892" w:rsidRPr="00ED32DF" w:rsidRDefault="00E80892" w:rsidP="00B35C0D">
            <w:pPr>
              <w:pStyle w:val="TableText"/>
              <w:rPr>
                <w:color w:val="auto"/>
                <w:szCs w:val="18"/>
              </w:rPr>
            </w:pPr>
            <w:r w:rsidRPr="00ED32DF">
              <w:rPr>
                <w:color w:val="auto"/>
                <w:szCs w:val="18"/>
              </w:rPr>
              <w:t xml:space="preserve">We are not aware of any material public benefit arising from publication of the material, as opposed to it being treated as confidential. The material may be obtained by stakeholders through appropriate </w:t>
            </w:r>
            <w:r w:rsidRPr="00ED32DF">
              <w:rPr>
                <w:color w:val="auto"/>
                <w:szCs w:val="18"/>
              </w:rPr>
              <w:lastRenderedPageBreak/>
              <w:t>channels (e.g. from the copyright owner).</w:t>
            </w:r>
          </w:p>
        </w:tc>
      </w:tr>
      <w:tr w:rsidR="00E80892" w:rsidRPr="002C5B5D" w14:paraId="5D9F278E" w14:textId="77777777" w:rsidTr="008340AC">
        <w:tc>
          <w:tcPr>
            <w:tcW w:w="770" w:type="pct"/>
            <w:shd w:val="clear" w:color="auto" w:fill="auto"/>
          </w:tcPr>
          <w:p w14:paraId="154A54F5" w14:textId="4993F155"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lastRenderedPageBreak/>
              <w:t>CP CONFIDENTIAL RRP ATT 10.15 - Fama and French, The cross-section of expected stock returns, Journal of Finance 47, 1992</w:t>
            </w:r>
          </w:p>
        </w:tc>
        <w:tc>
          <w:tcPr>
            <w:tcW w:w="673" w:type="pct"/>
            <w:shd w:val="clear" w:color="auto" w:fill="auto"/>
          </w:tcPr>
          <w:p w14:paraId="5FAA0089" w14:textId="57B07073"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Reference material cited in the revised regulatory proposal and/or expert reports submitted with the revised regulatory proposal and provided to the AER to assist it in making a new distribution determination</w:t>
            </w:r>
          </w:p>
        </w:tc>
        <w:tc>
          <w:tcPr>
            <w:tcW w:w="528" w:type="pct"/>
            <w:shd w:val="clear" w:color="auto" w:fill="auto"/>
          </w:tcPr>
          <w:p w14:paraId="17E37731" w14:textId="26D6D26E" w:rsidR="00E80892" w:rsidRPr="00ED32DF" w:rsidRDefault="00E80892" w:rsidP="00B35C0D">
            <w:pPr>
              <w:pStyle w:val="TableText"/>
              <w:rPr>
                <w:color w:val="auto"/>
                <w:szCs w:val="18"/>
              </w:rPr>
            </w:pPr>
            <w:r w:rsidRPr="00ED32DF">
              <w:rPr>
                <w:color w:val="auto"/>
                <w:szCs w:val="18"/>
              </w:rPr>
              <w:t>Rate of return</w:t>
            </w:r>
          </w:p>
        </w:tc>
        <w:tc>
          <w:tcPr>
            <w:tcW w:w="625" w:type="pct"/>
          </w:tcPr>
          <w:p w14:paraId="0C604A1A" w14:textId="1A5399F5"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Other</w:t>
            </w:r>
          </w:p>
        </w:tc>
        <w:tc>
          <w:tcPr>
            <w:tcW w:w="625" w:type="pct"/>
          </w:tcPr>
          <w:p w14:paraId="75318920" w14:textId="77777777" w:rsidR="00E80892" w:rsidRDefault="00E80892" w:rsidP="00B35C0D">
            <w:pPr>
              <w:pStyle w:val="TableText"/>
              <w:rPr>
                <w:color w:val="auto"/>
                <w:szCs w:val="18"/>
              </w:rPr>
            </w:pPr>
            <w:r w:rsidRPr="00ED32DF">
              <w:rPr>
                <w:color w:val="auto"/>
                <w:szCs w:val="18"/>
              </w:rPr>
              <w:t>We do not own the copyright in the material.  To publish it we would be required to obtain permission from the copyright owner, which would likely involve lengthy commercial negotiations and the payment of a licence fee.</w:t>
            </w:r>
          </w:p>
          <w:p w14:paraId="65077CDE" w14:textId="1446173C" w:rsidR="007B23B1" w:rsidRPr="00ED32DF" w:rsidRDefault="007B23B1" w:rsidP="00B35C0D">
            <w:pPr>
              <w:pStyle w:val="TableText"/>
              <w:rPr>
                <w:color w:val="auto"/>
                <w:szCs w:val="18"/>
              </w:rPr>
            </w:pPr>
          </w:p>
        </w:tc>
        <w:tc>
          <w:tcPr>
            <w:tcW w:w="624" w:type="pct"/>
            <w:shd w:val="clear" w:color="auto" w:fill="auto"/>
          </w:tcPr>
          <w:p w14:paraId="6B4E3E0B" w14:textId="5FF61A5C" w:rsidR="00E80892" w:rsidRPr="00ED32DF" w:rsidRDefault="00E80892" w:rsidP="00B35C0D">
            <w:pPr>
              <w:pStyle w:val="TableText"/>
              <w:rPr>
                <w:color w:val="auto"/>
                <w:szCs w:val="18"/>
              </w:rPr>
            </w:pPr>
            <w:r w:rsidRPr="00ED32DF">
              <w:rPr>
                <w:color w:val="auto"/>
                <w:szCs w:val="18"/>
              </w:rPr>
              <w:t>Publishing the material would result in a breach of the Copyright Act 1968 (Cth).</w:t>
            </w:r>
          </w:p>
        </w:tc>
        <w:tc>
          <w:tcPr>
            <w:tcW w:w="1155" w:type="pct"/>
            <w:shd w:val="clear" w:color="auto" w:fill="auto"/>
          </w:tcPr>
          <w:p w14:paraId="33AF0D54" w14:textId="7F5E12C9" w:rsidR="00E80892" w:rsidRPr="00ED32DF" w:rsidRDefault="00E80892" w:rsidP="00B35C0D">
            <w:pPr>
              <w:pStyle w:val="TableText"/>
              <w:rPr>
                <w:color w:val="auto"/>
                <w:szCs w:val="18"/>
              </w:rPr>
            </w:pPr>
            <w:r w:rsidRPr="00ED32DF">
              <w:rPr>
                <w:color w:val="auto"/>
                <w:szCs w:val="18"/>
              </w:rPr>
              <w:t>We are not aware of any material public benefit arising from publication of the material, as opposed to it being treated as confidential. The material may be obtained by stakeholders through appropriate channels (e.g. from the copyright owner).</w:t>
            </w:r>
          </w:p>
        </w:tc>
      </w:tr>
      <w:tr w:rsidR="00E80892" w:rsidRPr="002C5B5D" w14:paraId="42A63162" w14:textId="77777777" w:rsidTr="008340AC">
        <w:tc>
          <w:tcPr>
            <w:tcW w:w="770" w:type="pct"/>
            <w:shd w:val="clear" w:color="auto" w:fill="auto"/>
          </w:tcPr>
          <w:p w14:paraId="0836591D" w14:textId="7C0043BB"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lastRenderedPageBreak/>
              <w:t>CP CONFIDENTIAL RRP ATT 10.16 - Brealey, Myers, and Allen, Principles of Corporate Finance, 10th ed., McGraw-Hill Irwin, New York, NY, USA, 2011</w:t>
            </w:r>
          </w:p>
        </w:tc>
        <w:tc>
          <w:tcPr>
            <w:tcW w:w="673" w:type="pct"/>
            <w:shd w:val="clear" w:color="auto" w:fill="auto"/>
          </w:tcPr>
          <w:p w14:paraId="280560F0" w14:textId="414F0F2A"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Reference material cited in the revised regulatory proposal and/or expert reports submitted with the revised regulatory proposal and provided to the AER to assist it in making a new distribution determination</w:t>
            </w:r>
          </w:p>
        </w:tc>
        <w:tc>
          <w:tcPr>
            <w:tcW w:w="528" w:type="pct"/>
            <w:shd w:val="clear" w:color="auto" w:fill="auto"/>
          </w:tcPr>
          <w:p w14:paraId="7164A1E3" w14:textId="11058717" w:rsidR="00E80892" w:rsidRPr="00ED32DF" w:rsidRDefault="00E80892" w:rsidP="00B35C0D">
            <w:pPr>
              <w:pStyle w:val="TableText"/>
              <w:rPr>
                <w:color w:val="auto"/>
                <w:szCs w:val="18"/>
              </w:rPr>
            </w:pPr>
            <w:r w:rsidRPr="00ED32DF">
              <w:rPr>
                <w:color w:val="auto"/>
                <w:szCs w:val="18"/>
              </w:rPr>
              <w:t>Rate of return</w:t>
            </w:r>
          </w:p>
        </w:tc>
        <w:tc>
          <w:tcPr>
            <w:tcW w:w="625" w:type="pct"/>
          </w:tcPr>
          <w:p w14:paraId="3CA38557" w14:textId="1C1C461D"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Other</w:t>
            </w:r>
          </w:p>
        </w:tc>
        <w:tc>
          <w:tcPr>
            <w:tcW w:w="625" w:type="pct"/>
          </w:tcPr>
          <w:p w14:paraId="683F2874" w14:textId="03BA8854" w:rsidR="00E80892" w:rsidRPr="00ED32DF" w:rsidRDefault="00E80892" w:rsidP="00B35C0D">
            <w:pPr>
              <w:pStyle w:val="TableText"/>
              <w:rPr>
                <w:color w:val="auto"/>
                <w:szCs w:val="18"/>
              </w:rPr>
            </w:pPr>
            <w:r w:rsidRPr="00ED32DF">
              <w:rPr>
                <w:color w:val="auto"/>
                <w:szCs w:val="18"/>
              </w:rPr>
              <w:t>We do not own the copyright in the material.  To publish it we would be required to obtain permission from the copyright owner, which would likely involve lengthy commercial negotiations and the payment of a licence fee.</w:t>
            </w:r>
          </w:p>
        </w:tc>
        <w:tc>
          <w:tcPr>
            <w:tcW w:w="624" w:type="pct"/>
            <w:shd w:val="clear" w:color="auto" w:fill="auto"/>
          </w:tcPr>
          <w:p w14:paraId="59FFDFC7" w14:textId="260C9E10" w:rsidR="00E80892" w:rsidRPr="00ED32DF" w:rsidRDefault="00E80892" w:rsidP="00B35C0D">
            <w:pPr>
              <w:pStyle w:val="TableText"/>
              <w:rPr>
                <w:color w:val="auto"/>
                <w:szCs w:val="18"/>
              </w:rPr>
            </w:pPr>
            <w:r w:rsidRPr="00ED32DF">
              <w:rPr>
                <w:color w:val="auto"/>
                <w:szCs w:val="18"/>
              </w:rPr>
              <w:t>Publishing the material would result in a breach of the Copyright Act 1968 (Cth).</w:t>
            </w:r>
          </w:p>
        </w:tc>
        <w:tc>
          <w:tcPr>
            <w:tcW w:w="1155" w:type="pct"/>
            <w:shd w:val="clear" w:color="auto" w:fill="auto"/>
          </w:tcPr>
          <w:p w14:paraId="4838B5E0" w14:textId="4D189158" w:rsidR="00E80892" w:rsidRPr="00ED32DF" w:rsidRDefault="00E80892" w:rsidP="00B35C0D">
            <w:pPr>
              <w:pStyle w:val="TableText"/>
              <w:rPr>
                <w:color w:val="auto"/>
                <w:szCs w:val="18"/>
              </w:rPr>
            </w:pPr>
            <w:r w:rsidRPr="00ED32DF">
              <w:rPr>
                <w:color w:val="auto"/>
                <w:szCs w:val="18"/>
              </w:rPr>
              <w:t>We are not aware of any material public benefit arising from publication of the material, as opposed to it being treated as confidential. The material may be obtained by stakeholders through appropriate channels (e.g. from the copyright owner).</w:t>
            </w:r>
          </w:p>
        </w:tc>
      </w:tr>
      <w:tr w:rsidR="00E80892" w:rsidRPr="002C5B5D" w14:paraId="7DD2FABA" w14:textId="77777777" w:rsidTr="008340AC">
        <w:tc>
          <w:tcPr>
            <w:tcW w:w="770" w:type="pct"/>
            <w:shd w:val="clear" w:color="auto" w:fill="auto"/>
          </w:tcPr>
          <w:p w14:paraId="17045E77" w14:textId="2CCE6957"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CP CONFIDENTIAL RRP ATT 10.17 - Brailsford, Gaunt and O’Brien, Size and book-to-market factors in Australia, Australian Journal of Management, 2012</w:t>
            </w:r>
          </w:p>
        </w:tc>
        <w:tc>
          <w:tcPr>
            <w:tcW w:w="673" w:type="pct"/>
            <w:shd w:val="clear" w:color="auto" w:fill="auto"/>
          </w:tcPr>
          <w:p w14:paraId="1DA8BAB2" w14:textId="2E89CFA0"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 xml:space="preserve">Reference material cited in the revised regulatory proposal and/or expert reports submitted with the revised regulatory proposal and provided to the AER to assist it in making a new distribution </w:t>
            </w:r>
            <w:r w:rsidRPr="00ED32DF">
              <w:rPr>
                <w:rFonts w:asciiTheme="minorHAnsi" w:hAnsiTheme="minorHAnsi" w:cstheme="minorHAnsi"/>
                <w:sz w:val="18"/>
                <w:szCs w:val="18"/>
              </w:rPr>
              <w:lastRenderedPageBreak/>
              <w:t>determination</w:t>
            </w:r>
          </w:p>
        </w:tc>
        <w:tc>
          <w:tcPr>
            <w:tcW w:w="528" w:type="pct"/>
            <w:shd w:val="clear" w:color="auto" w:fill="auto"/>
          </w:tcPr>
          <w:p w14:paraId="6D0F12BB" w14:textId="77EF08E9" w:rsidR="00E80892" w:rsidRPr="00ED32DF" w:rsidRDefault="00E80892" w:rsidP="00B35C0D">
            <w:pPr>
              <w:pStyle w:val="TableText"/>
              <w:rPr>
                <w:color w:val="auto"/>
                <w:szCs w:val="18"/>
              </w:rPr>
            </w:pPr>
            <w:r w:rsidRPr="00ED32DF">
              <w:rPr>
                <w:color w:val="auto"/>
                <w:szCs w:val="18"/>
              </w:rPr>
              <w:lastRenderedPageBreak/>
              <w:t>Rate of return</w:t>
            </w:r>
          </w:p>
        </w:tc>
        <w:tc>
          <w:tcPr>
            <w:tcW w:w="625" w:type="pct"/>
          </w:tcPr>
          <w:p w14:paraId="764E887D" w14:textId="2835C00B"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Other</w:t>
            </w:r>
          </w:p>
        </w:tc>
        <w:tc>
          <w:tcPr>
            <w:tcW w:w="625" w:type="pct"/>
          </w:tcPr>
          <w:p w14:paraId="3DD72DA7" w14:textId="311520F7" w:rsidR="00E80892" w:rsidRPr="00ED32DF" w:rsidRDefault="00E80892" w:rsidP="00B35C0D">
            <w:pPr>
              <w:pStyle w:val="TableText"/>
              <w:rPr>
                <w:color w:val="auto"/>
                <w:szCs w:val="18"/>
              </w:rPr>
            </w:pPr>
            <w:r w:rsidRPr="00ED32DF">
              <w:rPr>
                <w:color w:val="auto"/>
                <w:szCs w:val="18"/>
              </w:rPr>
              <w:t xml:space="preserve">We do not own the copyright in the material.  To publish it we would be required to obtain permission from the copyright owner, which would likely involve lengthy commercial </w:t>
            </w:r>
            <w:r w:rsidRPr="00ED32DF">
              <w:rPr>
                <w:color w:val="auto"/>
                <w:szCs w:val="18"/>
              </w:rPr>
              <w:lastRenderedPageBreak/>
              <w:t>negotiations and the payment of a licence fee.</w:t>
            </w:r>
          </w:p>
        </w:tc>
        <w:tc>
          <w:tcPr>
            <w:tcW w:w="624" w:type="pct"/>
            <w:shd w:val="clear" w:color="auto" w:fill="auto"/>
          </w:tcPr>
          <w:p w14:paraId="02FF3E75" w14:textId="129E7BB3" w:rsidR="00E80892" w:rsidRPr="00ED32DF" w:rsidRDefault="00E80892" w:rsidP="00B35C0D">
            <w:pPr>
              <w:pStyle w:val="TableText"/>
              <w:rPr>
                <w:color w:val="auto"/>
                <w:szCs w:val="18"/>
              </w:rPr>
            </w:pPr>
            <w:r w:rsidRPr="00ED32DF">
              <w:rPr>
                <w:color w:val="auto"/>
                <w:szCs w:val="18"/>
              </w:rPr>
              <w:lastRenderedPageBreak/>
              <w:t>Publishing the material would result in a breach of the Copyright Act 1968 (Cth).</w:t>
            </w:r>
          </w:p>
        </w:tc>
        <w:tc>
          <w:tcPr>
            <w:tcW w:w="1155" w:type="pct"/>
            <w:shd w:val="clear" w:color="auto" w:fill="auto"/>
          </w:tcPr>
          <w:p w14:paraId="150BB95E" w14:textId="64FC3EF1" w:rsidR="00E80892" w:rsidRPr="00ED32DF" w:rsidRDefault="00E80892" w:rsidP="00B35C0D">
            <w:pPr>
              <w:pStyle w:val="TableText"/>
              <w:rPr>
                <w:color w:val="auto"/>
                <w:szCs w:val="18"/>
              </w:rPr>
            </w:pPr>
            <w:r w:rsidRPr="00ED32DF">
              <w:rPr>
                <w:color w:val="auto"/>
                <w:szCs w:val="18"/>
              </w:rPr>
              <w:t>We are not aware of any material public benefit arising from publication of the material, as opposed to it being treated as confidential. The material may be obtained by stakeholders through appropriate channels (e.g. from the copyright owner).</w:t>
            </w:r>
          </w:p>
        </w:tc>
      </w:tr>
      <w:tr w:rsidR="00E80892" w:rsidRPr="002C5B5D" w14:paraId="7912B4C0" w14:textId="77777777" w:rsidTr="008340AC">
        <w:tc>
          <w:tcPr>
            <w:tcW w:w="770" w:type="pct"/>
            <w:shd w:val="clear" w:color="auto" w:fill="auto"/>
          </w:tcPr>
          <w:p w14:paraId="719E683B" w14:textId="263E4805"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lastRenderedPageBreak/>
              <w:t>CP CONFIDENTIAL RRP ATT 10.30 - Sharpe, Capital asset prices: A theory of market equilibrium under conditions of risk, Journal of Finance, 19, 1964</w:t>
            </w:r>
          </w:p>
        </w:tc>
        <w:tc>
          <w:tcPr>
            <w:tcW w:w="673" w:type="pct"/>
            <w:shd w:val="clear" w:color="auto" w:fill="auto"/>
          </w:tcPr>
          <w:p w14:paraId="651192D2" w14:textId="0A41EA63"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Reference material cited in the revised regulatory proposal and/or expert reports submitted with the revised regulatory proposal and provided to the AER to assist it in making a new distribution determination</w:t>
            </w:r>
          </w:p>
        </w:tc>
        <w:tc>
          <w:tcPr>
            <w:tcW w:w="528" w:type="pct"/>
            <w:shd w:val="clear" w:color="auto" w:fill="auto"/>
          </w:tcPr>
          <w:p w14:paraId="6E3A7800" w14:textId="1DC988AC" w:rsidR="00E80892" w:rsidRPr="00ED32DF" w:rsidRDefault="00E80892" w:rsidP="00B35C0D">
            <w:pPr>
              <w:pStyle w:val="TableText"/>
              <w:rPr>
                <w:color w:val="auto"/>
                <w:szCs w:val="18"/>
              </w:rPr>
            </w:pPr>
            <w:r w:rsidRPr="00ED32DF">
              <w:rPr>
                <w:color w:val="auto"/>
                <w:szCs w:val="18"/>
              </w:rPr>
              <w:t>Rate of return</w:t>
            </w:r>
          </w:p>
        </w:tc>
        <w:tc>
          <w:tcPr>
            <w:tcW w:w="625" w:type="pct"/>
          </w:tcPr>
          <w:p w14:paraId="541A7F8D" w14:textId="578CE482"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Other</w:t>
            </w:r>
          </w:p>
        </w:tc>
        <w:tc>
          <w:tcPr>
            <w:tcW w:w="625" w:type="pct"/>
          </w:tcPr>
          <w:p w14:paraId="179C1F1D" w14:textId="532727A4" w:rsidR="00E80892" w:rsidRPr="00ED32DF" w:rsidRDefault="00E80892" w:rsidP="00B35C0D">
            <w:pPr>
              <w:pStyle w:val="TableText"/>
              <w:rPr>
                <w:color w:val="auto"/>
                <w:szCs w:val="18"/>
              </w:rPr>
            </w:pPr>
            <w:r w:rsidRPr="00ED32DF">
              <w:rPr>
                <w:color w:val="auto"/>
                <w:szCs w:val="18"/>
              </w:rPr>
              <w:t>We do not own the copyright in the material.  To publish it we would be required to obtain permission from the copyright owner, which would likely involve lengthy commercial negotiations and the payment of a licence fee.</w:t>
            </w:r>
          </w:p>
        </w:tc>
        <w:tc>
          <w:tcPr>
            <w:tcW w:w="624" w:type="pct"/>
            <w:shd w:val="clear" w:color="auto" w:fill="auto"/>
          </w:tcPr>
          <w:p w14:paraId="5B625BAC" w14:textId="2028A54F" w:rsidR="00E80892" w:rsidRPr="00ED32DF" w:rsidRDefault="00E80892" w:rsidP="00B35C0D">
            <w:pPr>
              <w:pStyle w:val="TableText"/>
              <w:rPr>
                <w:color w:val="auto"/>
                <w:szCs w:val="18"/>
              </w:rPr>
            </w:pPr>
            <w:r w:rsidRPr="00ED32DF">
              <w:rPr>
                <w:color w:val="auto"/>
                <w:szCs w:val="18"/>
              </w:rPr>
              <w:t>Publishing the material would result in a breach of the Copyright Act 1968 (Cth).</w:t>
            </w:r>
          </w:p>
        </w:tc>
        <w:tc>
          <w:tcPr>
            <w:tcW w:w="1155" w:type="pct"/>
            <w:shd w:val="clear" w:color="auto" w:fill="auto"/>
          </w:tcPr>
          <w:p w14:paraId="6763C1E7" w14:textId="525A7C4C" w:rsidR="00E80892" w:rsidRPr="00ED32DF" w:rsidRDefault="00E80892" w:rsidP="00B35C0D">
            <w:pPr>
              <w:pStyle w:val="TableText"/>
              <w:rPr>
                <w:color w:val="auto"/>
                <w:szCs w:val="18"/>
              </w:rPr>
            </w:pPr>
            <w:r w:rsidRPr="00ED32DF">
              <w:rPr>
                <w:color w:val="auto"/>
                <w:szCs w:val="18"/>
              </w:rPr>
              <w:t>We are not aware of any material public benefit arising from publication of the material, as opposed to it being treated as confidential. The material may be obtained by stakeholders through appropriate channels (e.g. from the copyright owner).</w:t>
            </w:r>
          </w:p>
        </w:tc>
      </w:tr>
      <w:tr w:rsidR="00E80892" w:rsidRPr="002C5B5D" w14:paraId="54FAA502" w14:textId="77777777" w:rsidTr="008340AC">
        <w:tc>
          <w:tcPr>
            <w:tcW w:w="770" w:type="pct"/>
            <w:shd w:val="clear" w:color="auto" w:fill="auto"/>
          </w:tcPr>
          <w:p w14:paraId="3722D272" w14:textId="12896C10"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 xml:space="preserve">CP CONFIDENTIAL RRP ATT 10.90 - Brailsford, Handley and Maheswaran, Re-examination of the historical equity risk premium in Australia, Accounting and </w:t>
            </w:r>
            <w:r w:rsidRPr="00ED32DF">
              <w:rPr>
                <w:rFonts w:asciiTheme="minorHAnsi" w:hAnsiTheme="minorHAnsi" w:cstheme="minorHAnsi"/>
                <w:sz w:val="18"/>
                <w:szCs w:val="18"/>
              </w:rPr>
              <w:lastRenderedPageBreak/>
              <w:t xml:space="preserve">Finance 48, 2008 </w:t>
            </w:r>
          </w:p>
        </w:tc>
        <w:tc>
          <w:tcPr>
            <w:tcW w:w="673" w:type="pct"/>
            <w:shd w:val="clear" w:color="auto" w:fill="auto"/>
          </w:tcPr>
          <w:p w14:paraId="4DF03415" w14:textId="0982B092"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lastRenderedPageBreak/>
              <w:t xml:space="preserve">Reference material cited in the revised regulatory proposal and/or expert reports submitted with the revised regulatory proposal and provided to </w:t>
            </w:r>
            <w:r w:rsidRPr="00ED32DF">
              <w:rPr>
                <w:rFonts w:asciiTheme="minorHAnsi" w:hAnsiTheme="minorHAnsi" w:cstheme="minorHAnsi"/>
                <w:sz w:val="18"/>
                <w:szCs w:val="18"/>
              </w:rPr>
              <w:lastRenderedPageBreak/>
              <w:t>the AER to assist it in making a new distribution determination</w:t>
            </w:r>
          </w:p>
        </w:tc>
        <w:tc>
          <w:tcPr>
            <w:tcW w:w="528" w:type="pct"/>
            <w:shd w:val="clear" w:color="auto" w:fill="auto"/>
          </w:tcPr>
          <w:p w14:paraId="130AED36" w14:textId="75BC7E85" w:rsidR="00E80892" w:rsidRPr="00ED32DF" w:rsidRDefault="00E80892" w:rsidP="00B35C0D">
            <w:pPr>
              <w:pStyle w:val="TableText"/>
              <w:rPr>
                <w:color w:val="auto"/>
                <w:szCs w:val="18"/>
              </w:rPr>
            </w:pPr>
            <w:r w:rsidRPr="00ED32DF">
              <w:rPr>
                <w:color w:val="auto"/>
                <w:szCs w:val="18"/>
              </w:rPr>
              <w:lastRenderedPageBreak/>
              <w:t>Rate of return</w:t>
            </w:r>
          </w:p>
        </w:tc>
        <w:tc>
          <w:tcPr>
            <w:tcW w:w="625" w:type="pct"/>
          </w:tcPr>
          <w:p w14:paraId="253AF375" w14:textId="5B4E97F8"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Other</w:t>
            </w:r>
          </w:p>
        </w:tc>
        <w:tc>
          <w:tcPr>
            <w:tcW w:w="625" w:type="pct"/>
          </w:tcPr>
          <w:p w14:paraId="619A83E1" w14:textId="7128F542" w:rsidR="00E80892" w:rsidRPr="00ED32DF" w:rsidRDefault="00E80892" w:rsidP="00B35C0D">
            <w:pPr>
              <w:pStyle w:val="TableText"/>
              <w:rPr>
                <w:color w:val="auto"/>
                <w:szCs w:val="18"/>
              </w:rPr>
            </w:pPr>
            <w:r w:rsidRPr="00ED32DF">
              <w:rPr>
                <w:color w:val="auto"/>
                <w:szCs w:val="18"/>
              </w:rPr>
              <w:t xml:space="preserve">We do not own the copyright in the material.  To publish it we would be required to obtain permission </w:t>
            </w:r>
            <w:r w:rsidRPr="00ED32DF">
              <w:rPr>
                <w:color w:val="auto"/>
                <w:szCs w:val="18"/>
              </w:rPr>
              <w:lastRenderedPageBreak/>
              <w:t>from the copyright owner, which would likely involve lengthy commercial negotiations and the payment of a licence fee.</w:t>
            </w:r>
          </w:p>
        </w:tc>
        <w:tc>
          <w:tcPr>
            <w:tcW w:w="624" w:type="pct"/>
            <w:shd w:val="clear" w:color="auto" w:fill="auto"/>
          </w:tcPr>
          <w:p w14:paraId="7FC2274D" w14:textId="4B55E1F5" w:rsidR="00E80892" w:rsidRPr="00ED32DF" w:rsidRDefault="00E80892" w:rsidP="00B35C0D">
            <w:pPr>
              <w:pStyle w:val="TableText"/>
              <w:rPr>
                <w:color w:val="auto"/>
                <w:szCs w:val="18"/>
              </w:rPr>
            </w:pPr>
            <w:r w:rsidRPr="00ED32DF">
              <w:rPr>
                <w:color w:val="auto"/>
                <w:szCs w:val="18"/>
              </w:rPr>
              <w:lastRenderedPageBreak/>
              <w:t>Publishing the material would result in a breach of the Copyright Act 1968 (Cth).</w:t>
            </w:r>
          </w:p>
        </w:tc>
        <w:tc>
          <w:tcPr>
            <w:tcW w:w="1155" w:type="pct"/>
            <w:shd w:val="clear" w:color="auto" w:fill="auto"/>
          </w:tcPr>
          <w:p w14:paraId="566AA9A3" w14:textId="38CA4CF2" w:rsidR="00E80892" w:rsidRPr="00ED32DF" w:rsidRDefault="00E80892" w:rsidP="00B35C0D">
            <w:pPr>
              <w:pStyle w:val="TableText"/>
              <w:rPr>
                <w:color w:val="auto"/>
                <w:szCs w:val="18"/>
              </w:rPr>
            </w:pPr>
            <w:r w:rsidRPr="00ED32DF">
              <w:rPr>
                <w:color w:val="auto"/>
                <w:szCs w:val="18"/>
              </w:rPr>
              <w:t xml:space="preserve">We are not aware of any material public benefit arising from publication of the material, as opposed to it being treated as confidential. The material may be obtained by stakeholders through appropriate </w:t>
            </w:r>
            <w:r w:rsidRPr="00ED32DF">
              <w:rPr>
                <w:color w:val="auto"/>
                <w:szCs w:val="18"/>
              </w:rPr>
              <w:lastRenderedPageBreak/>
              <w:t>channels (e.g. from the copyright owner).</w:t>
            </w:r>
          </w:p>
        </w:tc>
      </w:tr>
      <w:tr w:rsidR="00E80892" w:rsidRPr="002C5B5D" w14:paraId="72C518CD" w14:textId="77777777" w:rsidTr="008340AC">
        <w:tc>
          <w:tcPr>
            <w:tcW w:w="770" w:type="pct"/>
            <w:shd w:val="clear" w:color="auto" w:fill="auto"/>
          </w:tcPr>
          <w:p w14:paraId="31DFAA26" w14:textId="45474DF4"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lastRenderedPageBreak/>
              <w:t>CP CONFIDENTIAL RRP ATT 10.91 - Lamberton, Ordinary share yields: A new statistical series, Sydney Stock Exchange Official Gazette, 14 July 1961</w:t>
            </w:r>
          </w:p>
        </w:tc>
        <w:tc>
          <w:tcPr>
            <w:tcW w:w="673" w:type="pct"/>
            <w:shd w:val="clear" w:color="auto" w:fill="auto"/>
          </w:tcPr>
          <w:p w14:paraId="6C8F3883" w14:textId="68FF2CC7"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Reference material cited in the revised regulatory proposal and/or expert reports submitted with the revised regulatory proposal and provided to the AER to assist it in making a new distribution determination</w:t>
            </w:r>
          </w:p>
        </w:tc>
        <w:tc>
          <w:tcPr>
            <w:tcW w:w="528" w:type="pct"/>
            <w:shd w:val="clear" w:color="auto" w:fill="auto"/>
          </w:tcPr>
          <w:p w14:paraId="4D77E915" w14:textId="7A188D83" w:rsidR="00E80892" w:rsidRPr="00ED32DF" w:rsidRDefault="00ED32DF" w:rsidP="00B35C0D">
            <w:pPr>
              <w:pStyle w:val="TableText"/>
              <w:rPr>
                <w:color w:val="auto"/>
                <w:szCs w:val="18"/>
              </w:rPr>
            </w:pPr>
            <w:r w:rsidRPr="00ED32DF">
              <w:rPr>
                <w:color w:val="auto"/>
                <w:szCs w:val="18"/>
              </w:rPr>
              <w:t>Rate of return</w:t>
            </w:r>
          </w:p>
        </w:tc>
        <w:tc>
          <w:tcPr>
            <w:tcW w:w="625" w:type="pct"/>
          </w:tcPr>
          <w:p w14:paraId="0C35AF43" w14:textId="2065BE63"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Other</w:t>
            </w:r>
          </w:p>
        </w:tc>
        <w:tc>
          <w:tcPr>
            <w:tcW w:w="625" w:type="pct"/>
          </w:tcPr>
          <w:p w14:paraId="0866825F" w14:textId="77777777" w:rsidR="00E80892" w:rsidRDefault="00E80892" w:rsidP="00B35C0D">
            <w:pPr>
              <w:pStyle w:val="TableText"/>
              <w:rPr>
                <w:color w:val="auto"/>
                <w:szCs w:val="18"/>
              </w:rPr>
            </w:pPr>
            <w:r w:rsidRPr="00ED32DF">
              <w:rPr>
                <w:color w:val="auto"/>
                <w:szCs w:val="18"/>
              </w:rPr>
              <w:t>We do not own the copyright in the material.  To publish it we would be required to obtain permission from the copyright owner, which would likely involve lengthy commercial negotiations and the payment of a licence fee.</w:t>
            </w:r>
          </w:p>
          <w:p w14:paraId="02914EA6" w14:textId="7A45AB9C" w:rsidR="007B23B1" w:rsidRPr="00ED32DF" w:rsidRDefault="007B23B1" w:rsidP="00B35C0D">
            <w:pPr>
              <w:pStyle w:val="TableText"/>
              <w:rPr>
                <w:color w:val="auto"/>
                <w:szCs w:val="18"/>
              </w:rPr>
            </w:pPr>
          </w:p>
        </w:tc>
        <w:tc>
          <w:tcPr>
            <w:tcW w:w="624" w:type="pct"/>
            <w:shd w:val="clear" w:color="auto" w:fill="auto"/>
          </w:tcPr>
          <w:p w14:paraId="1B82D75A" w14:textId="5DD58318" w:rsidR="00E80892" w:rsidRPr="00ED32DF" w:rsidRDefault="00E80892" w:rsidP="00B35C0D">
            <w:pPr>
              <w:pStyle w:val="TableText"/>
              <w:rPr>
                <w:color w:val="auto"/>
                <w:szCs w:val="18"/>
              </w:rPr>
            </w:pPr>
            <w:r w:rsidRPr="00ED32DF">
              <w:rPr>
                <w:color w:val="auto"/>
                <w:szCs w:val="18"/>
              </w:rPr>
              <w:t>Publishing the material would result in a breach of the Copyright Act 1968 (Cth).</w:t>
            </w:r>
          </w:p>
        </w:tc>
        <w:tc>
          <w:tcPr>
            <w:tcW w:w="1155" w:type="pct"/>
            <w:shd w:val="clear" w:color="auto" w:fill="auto"/>
          </w:tcPr>
          <w:p w14:paraId="058C4F26" w14:textId="6313207C" w:rsidR="00E80892" w:rsidRPr="00ED32DF" w:rsidRDefault="00E80892" w:rsidP="00B35C0D">
            <w:pPr>
              <w:pStyle w:val="TableText"/>
              <w:rPr>
                <w:color w:val="auto"/>
                <w:szCs w:val="18"/>
              </w:rPr>
            </w:pPr>
            <w:r w:rsidRPr="00ED32DF">
              <w:rPr>
                <w:color w:val="auto"/>
                <w:szCs w:val="18"/>
              </w:rPr>
              <w:t>We are not aware of any material public benefit arising from publication of the material, as opposed to it being treated as confidential. The material may be obtained by stakeholders through appropriate channels (e.g. from the copyright owner).</w:t>
            </w:r>
          </w:p>
        </w:tc>
      </w:tr>
      <w:tr w:rsidR="00E80892" w:rsidRPr="002C5B5D" w14:paraId="49D4CD35" w14:textId="77777777" w:rsidTr="008340AC">
        <w:tc>
          <w:tcPr>
            <w:tcW w:w="770" w:type="pct"/>
            <w:shd w:val="clear" w:color="auto" w:fill="auto"/>
          </w:tcPr>
          <w:p w14:paraId="71B388D3" w14:textId="2E6088E0"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lastRenderedPageBreak/>
              <w:t xml:space="preserve">CP CONFIDENTIAL RRP ATT 10.95 - Blume, Betas and their regression tendencies, Journal of Finance, 1975 </w:t>
            </w:r>
          </w:p>
        </w:tc>
        <w:tc>
          <w:tcPr>
            <w:tcW w:w="673" w:type="pct"/>
            <w:shd w:val="clear" w:color="auto" w:fill="auto"/>
          </w:tcPr>
          <w:p w14:paraId="0F94FA92" w14:textId="6AB133B1"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Reference material cited in the revised regulatory proposal and/or expert reports submitted with the revised regulatory proposal and provided to the AER to assist it in making a new distribution determination</w:t>
            </w:r>
          </w:p>
        </w:tc>
        <w:tc>
          <w:tcPr>
            <w:tcW w:w="528" w:type="pct"/>
            <w:shd w:val="clear" w:color="auto" w:fill="auto"/>
          </w:tcPr>
          <w:p w14:paraId="615D6683" w14:textId="2B190184" w:rsidR="00E80892" w:rsidRPr="00ED32DF" w:rsidRDefault="00E80892" w:rsidP="00B35C0D">
            <w:pPr>
              <w:pStyle w:val="TableText"/>
              <w:rPr>
                <w:color w:val="auto"/>
                <w:szCs w:val="18"/>
              </w:rPr>
            </w:pPr>
            <w:r w:rsidRPr="00ED32DF">
              <w:rPr>
                <w:color w:val="auto"/>
                <w:szCs w:val="18"/>
              </w:rPr>
              <w:t>Rate of return</w:t>
            </w:r>
          </w:p>
        </w:tc>
        <w:tc>
          <w:tcPr>
            <w:tcW w:w="625" w:type="pct"/>
          </w:tcPr>
          <w:p w14:paraId="5732A7A0" w14:textId="795BF439"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Other</w:t>
            </w:r>
          </w:p>
        </w:tc>
        <w:tc>
          <w:tcPr>
            <w:tcW w:w="625" w:type="pct"/>
          </w:tcPr>
          <w:p w14:paraId="4D557E84" w14:textId="57B535A7" w:rsidR="00E80892" w:rsidRPr="00ED32DF" w:rsidRDefault="00E80892" w:rsidP="00B35C0D">
            <w:pPr>
              <w:pStyle w:val="TableText"/>
              <w:rPr>
                <w:color w:val="auto"/>
                <w:szCs w:val="18"/>
              </w:rPr>
            </w:pPr>
            <w:r w:rsidRPr="00ED32DF">
              <w:rPr>
                <w:color w:val="auto"/>
                <w:szCs w:val="18"/>
              </w:rPr>
              <w:t>We do not own the copyright in the material.  To publish it we would be required to obtain permission from the copyright owner, which would likely involve lengthy commercial negotiations and the payment of a licence fee.</w:t>
            </w:r>
          </w:p>
        </w:tc>
        <w:tc>
          <w:tcPr>
            <w:tcW w:w="624" w:type="pct"/>
            <w:shd w:val="clear" w:color="auto" w:fill="auto"/>
          </w:tcPr>
          <w:p w14:paraId="63E35C2D" w14:textId="5DD826C0" w:rsidR="00E80892" w:rsidRPr="00ED32DF" w:rsidRDefault="00E80892" w:rsidP="00B35C0D">
            <w:pPr>
              <w:pStyle w:val="TableText"/>
              <w:rPr>
                <w:color w:val="auto"/>
                <w:szCs w:val="18"/>
              </w:rPr>
            </w:pPr>
            <w:r w:rsidRPr="00ED32DF">
              <w:rPr>
                <w:color w:val="auto"/>
                <w:szCs w:val="18"/>
              </w:rPr>
              <w:t>Publishing the material would result in a breach of the Copyright Act 1968 (Cth).</w:t>
            </w:r>
          </w:p>
        </w:tc>
        <w:tc>
          <w:tcPr>
            <w:tcW w:w="1155" w:type="pct"/>
            <w:shd w:val="clear" w:color="auto" w:fill="auto"/>
          </w:tcPr>
          <w:p w14:paraId="24541C77" w14:textId="485380D8" w:rsidR="00E80892" w:rsidRPr="00ED32DF" w:rsidRDefault="00E80892" w:rsidP="00B35C0D">
            <w:pPr>
              <w:pStyle w:val="TableText"/>
              <w:rPr>
                <w:color w:val="auto"/>
                <w:szCs w:val="18"/>
              </w:rPr>
            </w:pPr>
            <w:r w:rsidRPr="00ED32DF">
              <w:rPr>
                <w:color w:val="auto"/>
                <w:szCs w:val="18"/>
              </w:rPr>
              <w:t>We are not aware of any material public benefit arising from publication of the material, as opposed to it being treated as confidential. The material may be obtained by stakeholders through appropriate channels (e.g. from the copyright owner).</w:t>
            </w:r>
          </w:p>
        </w:tc>
      </w:tr>
      <w:tr w:rsidR="00E80892" w:rsidRPr="002C5B5D" w14:paraId="49DCF97C" w14:textId="77777777" w:rsidTr="008340AC">
        <w:tc>
          <w:tcPr>
            <w:tcW w:w="770" w:type="pct"/>
            <w:shd w:val="clear" w:color="auto" w:fill="auto"/>
          </w:tcPr>
          <w:p w14:paraId="230E03BD" w14:textId="7DC2A85F"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CP CONFIDENTIAL RRP ATT 10.102 - Merton, Theory of rational option pricing, Bell Journal of Economics and Management Science, 1973</w:t>
            </w:r>
          </w:p>
        </w:tc>
        <w:tc>
          <w:tcPr>
            <w:tcW w:w="673" w:type="pct"/>
            <w:shd w:val="clear" w:color="auto" w:fill="auto"/>
          </w:tcPr>
          <w:p w14:paraId="6BB2259A" w14:textId="22976156"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 xml:space="preserve">Reference material cited in the revised regulatory proposal and/or expert reports submitted with the revised regulatory proposal and provided to the AER to assist it in making a new distribution </w:t>
            </w:r>
            <w:r w:rsidRPr="00ED32DF">
              <w:rPr>
                <w:rFonts w:asciiTheme="minorHAnsi" w:hAnsiTheme="minorHAnsi" w:cstheme="minorHAnsi"/>
                <w:sz w:val="18"/>
                <w:szCs w:val="18"/>
              </w:rPr>
              <w:lastRenderedPageBreak/>
              <w:t>determination</w:t>
            </w:r>
          </w:p>
        </w:tc>
        <w:tc>
          <w:tcPr>
            <w:tcW w:w="528" w:type="pct"/>
            <w:shd w:val="clear" w:color="auto" w:fill="auto"/>
          </w:tcPr>
          <w:p w14:paraId="2C596AC6" w14:textId="247DDBAA" w:rsidR="00E80892" w:rsidRPr="00ED32DF" w:rsidRDefault="00E80892" w:rsidP="00B35C0D">
            <w:pPr>
              <w:pStyle w:val="TableText"/>
              <w:rPr>
                <w:color w:val="auto"/>
                <w:szCs w:val="18"/>
              </w:rPr>
            </w:pPr>
            <w:r w:rsidRPr="00ED32DF">
              <w:rPr>
                <w:color w:val="auto"/>
                <w:szCs w:val="18"/>
              </w:rPr>
              <w:lastRenderedPageBreak/>
              <w:t>Rate of return</w:t>
            </w:r>
          </w:p>
        </w:tc>
        <w:tc>
          <w:tcPr>
            <w:tcW w:w="625" w:type="pct"/>
          </w:tcPr>
          <w:p w14:paraId="7D620212" w14:textId="0B60BDD0"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Other</w:t>
            </w:r>
          </w:p>
        </w:tc>
        <w:tc>
          <w:tcPr>
            <w:tcW w:w="625" w:type="pct"/>
          </w:tcPr>
          <w:p w14:paraId="33F66C11" w14:textId="195E78C1" w:rsidR="00E80892" w:rsidRPr="00ED32DF" w:rsidRDefault="00E80892" w:rsidP="00B35C0D">
            <w:pPr>
              <w:pStyle w:val="TableText"/>
              <w:rPr>
                <w:color w:val="auto"/>
                <w:szCs w:val="18"/>
              </w:rPr>
            </w:pPr>
            <w:r w:rsidRPr="00ED32DF">
              <w:rPr>
                <w:color w:val="auto"/>
                <w:szCs w:val="18"/>
              </w:rPr>
              <w:t xml:space="preserve">We do not own the copyright in the material.  To publish it we would be required to obtain permission from the copyright owner, which would likely involve lengthy commercial </w:t>
            </w:r>
            <w:r w:rsidRPr="00ED32DF">
              <w:rPr>
                <w:color w:val="auto"/>
                <w:szCs w:val="18"/>
              </w:rPr>
              <w:lastRenderedPageBreak/>
              <w:t>negotiations and the payment of a licence fee.</w:t>
            </w:r>
          </w:p>
        </w:tc>
        <w:tc>
          <w:tcPr>
            <w:tcW w:w="624" w:type="pct"/>
            <w:shd w:val="clear" w:color="auto" w:fill="auto"/>
          </w:tcPr>
          <w:p w14:paraId="0F9CA7DD" w14:textId="584B53B0" w:rsidR="00E80892" w:rsidRPr="00ED32DF" w:rsidRDefault="00E80892" w:rsidP="00B35C0D">
            <w:pPr>
              <w:pStyle w:val="TableText"/>
              <w:rPr>
                <w:color w:val="auto"/>
                <w:szCs w:val="18"/>
              </w:rPr>
            </w:pPr>
            <w:r w:rsidRPr="00ED32DF">
              <w:rPr>
                <w:color w:val="auto"/>
                <w:szCs w:val="18"/>
              </w:rPr>
              <w:lastRenderedPageBreak/>
              <w:t>Publishing the material would result in a breach of the Copyright Act 1968 (Cth).</w:t>
            </w:r>
          </w:p>
        </w:tc>
        <w:tc>
          <w:tcPr>
            <w:tcW w:w="1155" w:type="pct"/>
            <w:shd w:val="clear" w:color="auto" w:fill="auto"/>
          </w:tcPr>
          <w:p w14:paraId="07E07B0B" w14:textId="5CD65D07" w:rsidR="00E80892" w:rsidRPr="00ED32DF" w:rsidRDefault="00E80892" w:rsidP="00B35C0D">
            <w:pPr>
              <w:pStyle w:val="TableText"/>
              <w:rPr>
                <w:color w:val="auto"/>
                <w:szCs w:val="18"/>
              </w:rPr>
            </w:pPr>
            <w:r w:rsidRPr="00ED32DF">
              <w:rPr>
                <w:color w:val="auto"/>
                <w:szCs w:val="18"/>
              </w:rPr>
              <w:t>We are not aware of any material public benefit arising from publication of the material, as opposed to it being treated as confidential. The material may be obtained by stakeholders through appropriate channels (e.g. from the copyright owner).</w:t>
            </w:r>
          </w:p>
        </w:tc>
      </w:tr>
      <w:tr w:rsidR="00E80892" w:rsidRPr="002C5B5D" w14:paraId="0CBBB395" w14:textId="77777777" w:rsidTr="008340AC">
        <w:tc>
          <w:tcPr>
            <w:tcW w:w="770" w:type="pct"/>
            <w:shd w:val="clear" w:color="auto" w:fill="auto"/>
          </w:tcPr>
          <w:p w14:paraId="4A883A4B" w14:textId="2C4C059F"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lastRenderedPageBreak/>
              <w:t>CP CONFIDENTIAL RRP ATT 10.103 - Campbell, Lo and MacKinlay, The econometrics of financial markets, Princeton University Press, 1996</w:t>
            </w:r>
          </w:p>
        </w:tc>
        <w:tc>
          <w:tcPr>
            <w:tcW w:w="673" w:type="pct"/>
            <w:shd w:val="clear" w:color="auto" w:fill="auto"/>
          </w:tcPr>
          <w:p w14:paraId="67312D0E" w14:textId="0D51C597"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Reference material cited in the revised regulatory proposal and/or expert reports submitted with the revised regulatory proposal and provided to the AER to assist it in making a new distribution determination</w:t>
            </w:r>
          </w:p>
        </w:tc>
        <w:tc>
          <w:tcPr>
            <w:tcW w:w="528" w:type="pct"/>
            <w:shd w:val="clear" w:color="auto" w:fill="auto"/>
          </w:tcPr>
          <w:p w14:paraId="649A5BCF" w14:textId="1515ED5A" w:rsidR="00E80892" w:rsidRPr="00ED32DF" w:rsidRDefault="00E80892" w:rsidP="00B35C0D">
            <w:pPr>
              <w:pStyle w:val="TableText"/>
              <w:rPr>
                <w:color w:val="auto"/>
                <w:szCs w:val="18"/>
              </w:rPr>
            </w:pPr>
            <w:r w:rsidRPr="00ED32DF">
              <w:rPr>
                <w:color w:val="auto"/>
                <w:szCs w:val="18"/>
              </w:rPr>
              <w:t>Rate of return</w:t>
            </w:r>
          </w:p>
        </w:tc>
        <w:tc>
          <w:tcPr>
            <w:tcW w:w="625" w:type="pct"/>
          </w:tcPr>
          <w:p w14:paraId="10C0F95B" w14:textId="053F51B7"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Other</w:t>
            </w:r>
          </w:p>
        </w:tc>
        <w:tc>
          <w:tcPr>
            <w:tcW w:w="625" w:type="pct"/>
          </w:tcPr>
          <w:p w14:paraId="562AD3C7" w14:textId="692E9FE9" w:rsidR="00E80892" w:rsidRPr="00ED32DF" w:rsidRDefault="00E80892" w:rsidP="00B35C0D">
            <w:pPr>
              <w:pStyle w:val="TableText"/>
              <w:rPr>
                <w:color w:val="auto"/>
                <w:szCs w:val="18"/>
              </w:rPr>
            </w:pPr>
            <w:r w:rsidRPr="00ED32DF">
              <w:rPr>
                <w:color w:val="auto"/>
                <w:szCs w:val="18"/>
              </w:rPr>
              <w:t>We do not own the copyright in the material.  To publish it we would be required to obtain permission from the copyright owner, which would likely involve lengthy commercial negotiations and the payment of a licence fee.</w:t>
            </w:r>
          </w:p>
        </w:tc>
        <w:tc>
          <w:tcPr>
            <w:tcW w:w="624" w:type="pct"/>
            <w:shd w:val="clear" w:color="auto" w:fill="auto"/>
          </w:tcPr>
          <w:p w14:paraId="440B4A37" w14:textId="3CB9A3F5" w:rsidR="00E80892" w:rsidRPr="00ED32DF" w:rsidRDefault="00E80892" w:rsidP="00B35C0D">
            <w:pPr>
              <w:pStyle w:val="TableText"/>
              <w:rPr>
                <w:color w:val="auto"/>
                <w:szCs w:val="18"/>
              </w:rPr>
            </w:pPr>
            <w:r w:rsidRPr="00ED32DF">
              <w:rPr>
                <w:color w:val="auto"/>
                <w:szCs w:val="18"/>
              </w:rPr>
              <w:t>Publishing the material would result in a breach of the Copyright Act 1968 (Cth).</w:t>
            </w:r>
          </w:p>
        </w:tc>
        <w:tc>
          <w:tcPr>
            <w:tcW w:w="1155" w:type="pct"/>
            <w:shd w:val="clear" w:color="auto" w:fill="auto"/>
          </w:tcPr>
          <w:p w14:paraId="002B006B" w14:textId="38D3C093" w:rsidR="00E80892" w:rsidRPr="00ED32DF" w:rsidRDefault="00E80892" w:rsidP="00B35C0D">
            <w:pPr>
              <w:pStyle w:val="TableText"/>
              <w:rPr>
                <w:color w:val="auto"/>
                <w:szCs w:val="18"/>
              </w:rPr>
            </w:pPr>
            <w:r w:rsidRPr="00ED32DF">
              <w:rPr>
                <w:color w:val="auto"/>
                <w:szCs w:val="18"/>
              </w:rPr>
              <w:t>We are not aware of any material public benefit arising from publication of the material, as opposed to it being treated as confidential. The material may be obtained by stakeholders through appropriate channels (e.g. from the copyright owner).</w:t>
            </w:r>
          </w:p>
        </w:tc>
      </w:tr>
      <w:tr w:rsidR="00E80892" w:rsidRPr="002C5B5D" w14:paraId="56DD028B" w14:textId="77777777" w:rsidTr="008340AC">
        <w:tc>
          <w:tcPr>
            <w:tcW w:w="770" w:type="pct"/>
            <w:shd w:val="clear" w:color="auto" w:fill="auto"/>
          </w:tcPr>
          <w:p w14:paraId="0A3EA1B1" w14:textId="7A11C96D" w:rsidR="00E80892" w:rsidRPr="00ED32DF" w:rsidRDefault="00E80892" w:rsidP="007A2A95">
            <w:pPr>
              <w:pStyle w:val="TableText"/>
              <w:rPr>
                <w:szCs w:val="18"/>
              </w:rPr>
            </w:pPr>
            <w:r w:rsidRPr="00ED32DF">
              <w:rPr>
                <w:color w:val="auto"/>
                <w:szCs w:val="18"/>
              </w:rPr>
              <w:t xml:space="preserve">CP CONFIDENTIAL RRP ATT 14.1 - Secure, </w:t>
            </w:r>
            <w:r w:rsidRPr="00ED32DF">
              <w:rPr>
                <w:rStyle w:val="Emphasis"/>
                <w:color w:val="auto"/>
                <w:szCs w:val="18"/>
              </w:rPr>
              <w:t>Proposal for supply of Smart Meters BAU to PNS</w:t>
            </w:r>
            <w:r w:rsidRPr="00ED32DF">
              <w:rPr>
                <w:color w:val="auto"/>
                <w:szCs w:val="18"/>
              </w:rPr>
              <w:t>, August 2014.</w:t>
            </w:r>
          </w:p>
        </w:tc>
        <w:tc>
          <w:tcPr>
            <w:tcW w:w="673" w:type="pct"/>
            <w:shd w:val="clear" w:color="auto" w:fill="auto"/>
          </w:tcPr>
          <w:p w14:paraId="1FCDAF70" w14:textId="5B7ECF48"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Third party service providers unit rates for purchase of meters, in US dollars.</w:t>
            </w:r>
          </w:p>
        </w:tc>
        <w:tc>
          <w:tcPr>
            <w:tcW w:w="528" w:type="pct"/>
            <w:shd w:val="clear" w:color="auto" w:fill="auto"/>
          </w:tcPr>
          <w:p w14:paraId="30D00EA4" w14:textId="2AE2F62B" w:rsidR="00E80892" w:rsidRPr="00ED32DF" w:rsidRDefault="00E80892" w:rsidP="00B35C0D">
            <w:pPr>
              <w:pStyle w:val="TableText"/>
              <w:rPr>
                <w:color w:val="auto"/>
                <w:szCs w:val="18"/>
              </w:rPr>
            </w:pPr>
            <w:r w:rsidRPr="00ED32DF">
              <w:rPr>
                <w:color w:val="auto"/>
                <w:szCs w:val="18"/>
              </w:rPr>
              <w:t>Metering - Alternative Control Services.</w:t>
            </w:r>
          </w:p>
        </w:tc>
        <w:tc>
          <w:tcPr>
            <w:tcW w:w="625" w:type="pct"/>
          </w:tcPr>
          <w:p w14:paraId="38CE70D6" w14:textId="600A9082"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Market sensitive cost inputs and market intelligence</w:t>
            </w:r>
          </w:p>
        </w:tc>
        <w:tc>
          <w:tcPr>
            <w:tcW w:w="625" w:type="pct"/>
          </w:tcPr>
          <w:p w14:paraId="62CB919D" w14:textId="1056B09C" w:rsidR="00E80892" w:rsidRPr="00ED32DF" w:rsidRDefault="00E80892" w:rsidP="00B35C0D">
            <w:pPr>
              <w:pStyle w:val="TableText"/>
              <w:rPr>
                <w:color w:val="auto"/>
                <w:szCs w:val="18"/>
              </w:rPr>
            </w:pPr>
            <w:r w:rsidRPr="00ED32DF">
              <w:rPr>
                <w:color w:val="auto"/>
                <w:szCs w:val="18"/>
              </w:rPr>
              <w:t xml:space="preserve">Information about the service providers’ business operations that is not in the public domain and may be </w:t>
            </w:r>
            <w:r w:rsidRPr="00ED32DF">
              <w:rPr>
                <w:color w:val="auto"/>
                <w:szCs w:val="18"/>
              </w:rPr>
              <w:lastRenderedPageBreak/>
              <w:t>harmful to the service provider if disclosed.</w:t>
            </w:r>
          </w:p>
        </w:tc>
        <w:tc>
          <w:tcPr>
            <w:tcW w:w="624" w:type="pct"/>
            <w:shd w:val="clear" w:color="auto" w:fill="auto"/>
          </w:tcPr>
          <w:p w14:paraId="369E2601" w14:textId="68C1FAEE" w:rsidR="00E80892" w:rsidRPr="00ED32DF" w:rsidRDefault="00E80892" w:rsidP="00B35C0D">
            <w:pPr>
              <w:pStyle w:val="TableText"/>
              <w:rPr>
                <w:color w:val="auto"/>
                <w:szCs w:val="18"/>
              </w:rPr>
            </w:pPr>
            <w:r w:rsidRPr="00ED32DF">
              <w:rPr>
                <w:color w:val="auto"/>
                <w:szCs w:val="18"/>
              </w:rPr>
              <w:lastRenderedPageBreak/>
              <w:t xml:space="preserve">Information relating to service providers’ unit rates may be damaging to the service providers’ </w:t>
            </w:r>
            <w:r w:rsidRPr="00ED32DF">
              <w:rPr>
                <w:color w:val="auto"/>
                <w:szCs w:val="18"/>
              </w:rPr>
              <w:lastRenderedPageBreak/>
              <w:t>competitiveness or reputation.</w:t>
            </w:r>
          </w:p>
        </w:tc>
        <w:tc>
          <w:tcPr>
            <w:tcW w:w="1155" w:type="pct"/>
            <w:shd w:val="clear" w:color="auto" w:fill="auto"/>
          </w:tcPr>
          <w:p w14:paraId="6C24B267" w14:textId="74C46761" w:rsidR="00E80892" w:rsidRPr="00ED32DF" w:rsidRDefault="00E80892" w:rsidP="00B35C0D">
            <w:pPr>
              <w:pStyle w:val="TableText"/>
              <w:rPr>
                <w:color w:val="auto"/>
                <w:szCs w:val="18"/>
              </w:rPr>
            </w:pPr>
            <w:r w:rsidRPr="00ED32DF">
              <w:rPr>
                <w:color w:val="auto"/>
                <w:szCs w:val="18"/>
              </w:rPr>
              <w:lastRenderedPageBreak/>
              <w:t xml:space="preserve">Access to this information at a detailed unit cost level does not add benefit to public or customers. We have disclosed the unit cost information in Australian dollars as this protects the original service provider unit </w:t>
            </w:r>
            <w:r w:rsidRPr="00ED32DF">
              <w:rPr>
                <w:color w:val="auto"/>
                <w:szCs w:val="18"/>
              </w:rPr>
              <w:lastRenderedPageBreak/>
              <w:t>rates provided in US dollars. The expenditure information is also provided at a more aggregated category level.</w:t>
            </w:r>
          </w:p>
        </w:tc>
      </w:tr>
      <w:tr w:rsidR="00E80892" w:rsidRPr="002C5B5D" w14:paraId="4A0A8050" w14:textId="77777777" w:rsidTr="008340AC">
        <w:tc>
          <w:tcPr>
            <w:tcW w:w="770" w:type="pct"/>
            <w:shd w:val="clear" w:color="auto" w:fill="auto"/>
          </w:tcPr>
          <w:p w14:paraId="20055021" w14:textId="3FD01C04" w:rsidR="00E80892" w:rsidRPr="00ED32DF" w:rsidRDefault="00E80892" w:rsidP="007A2A95">
            <w:pPr>
              <w:pStyle w:val="TableText"/>
              <w:rPr>
                <w:szCs w:val="18"/>
              </w:rPr>
            </w:pPr>
            <w:r w:rsidRPr="00ED32DF">
              <w:rPr>
                <w:color w:val="auto"/>
                <w:szCs w:val="18"/>
              </w:rPr>
              <w:lastRenderedPageBreak/>
              <w:t xml:space="preserve">CP CONFIDENTIAL RRP ATT 14.2 - Landis &amp; Gyr, </w:t>
            </w:r>
            <w:r w:rsidRPr="00ED32DF">
              <w:rPr>
                <w:rStyle w:val="Emphasis"/>
                <w:color w:val="auto"/>
                <w:szCs w:val="18"/>
              </w:rPr>
              <w:t>Request for quotation</w:t>
            </w:r>
            <w:r w:rsidRPr="00ED32DF">
              <w:rPr>
                <w:color w:val="auto"/>
                <w:szCs w:val="18"/>
              </w:rPr>
              <w:t xml:space="preserve">, November 2014. </w:t>
            </w:r>
          </w:p>
        </w:tc>
        <w:tc>
          <w:tcPr>
            <w:tcW w:w="673" w:type="pct"/>
            <w:shd w:val="clear" w:color="auto" w:fill="auto"/>
          </w:tcPr>
          <w:p w14:paraId="06DFBCF6" w14:textId="2EDD8156"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Third party service providers unit rates for purchase of meters, in US dollars.</w:t>
            </w:r>
          </w:p>
        </w:tc>
        <w:tc>
          <w:tcPr>
            <w:tcW w:w="528" w:type="pct"/>
            <w:shd w:val="clear" w:color="auto" w:fill="auto"/>
          </w:tcPr>
          <w:p w14:paraId="5060DAF8" w14:textId="02B78EB2" w:rsidR="00E80892" w:rsidRPr="00ED32DF" w:rsidRDefault="00E80892" w:rsidP="00B35C0D">
            <w:pPr>
              <w:pStyle w:val="TableText"/>
              <w:rPr>
                <w:color w:val="auto"/>
                <w:szCs w:val="18"/>
              </w:rPr>
            </w:pPr>
            <w:r w:rsidRPr="00ED32DF">
              <w:rPr>
                <w:color w:val="auto"/>
                <w:szCs w:val="18"/>
              </w:rPr>
              <w:t>Metering - Alternative Control Services.</w:t>
            </w:r>
          </w:p>
        </w:tc>
        <w:tc>
          <w:tcPr>
            <w:tcW w:w="625" w:type="pct"/>
          </w:tcPr>
          <w:p w14:paraId="2EBD3F60" w14:textId="56E9FCF5"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t>Market sensitive cost inputs and market intelligence</w:t>
            </w:r>
          </w:p>
        </w:tc>
        <w:tc>
          <w:tcPr>
            <w:tcW w:w="625" w:type="pct"/>
          </w:tcPr>
          <w:p w14:paraId="2D351334" w14:textId="699A28FB" w:rsidR="00E80892" w:rsidRPr="00ED32DF" w:rsidRDefault="00E80892" w:rsidP="00B35C0D">
            <w:pPr>
              <w:pStyle w:val="TableText"/>
              <w:rPr>
                <w:color w:val="auto"/>
                <w:szCs w:val="18"/>
              </w:rPr>
            </w:pPr>
            <w:r w:rsidRPr="00ED32DF">
              <w:rPr>
                <w:color w:val="auto"/>
                <w:szCs w:val="18"/>
              </w:rPr>
              <w:t>Information about the service providers’ business operations that is not in the public domain and may be harmful to the service provider if disclosed.</w:t>
            </w:r>
          </w:p>
        </w:tc>
        <w:tc>
          <w:tcPr>
            <w:tcW w:w="624" w:type="pct"/>
            <w:shd w:val="clear" w:color="auto" w:fill="auto"/>
          </w:tcPr>
          <w:p w14:paraId="682E76BF" w14:textId="5A231E31" w:rsidR="00E80892" w:rsidRPr="00ED32DF" w:rsidRDefault="00E80892" w:rsidP="00B35C0D">
            <w:pPr>
              <w:pStyle w:val="TableText"/>
              <w:rPr>
                <w:color w:val="auto"/>
                <w:szCs w:val="18"/>
              </w:rPr>
            </w:pPr>
            <w:r w:rsidRPr="00ED32DF">
              <w:rPr>
                <w:color w:val="auto"/>
                <w:szCs w:val="18"/>
              </w:rPr>
              <w:t>Information relating to service providers’ unit rates may be damaging to the service providers’ competitiveness or reputation.</w:t>
            </w:r>
          </w:p>
        </w:tc>
        <w:tc>
          <w:tcPr>
            <w:tcW w:w="1155" w:type="pct"/>
            <w:shd w:val="clear" w:color="auto" w:fill="auto"/>
          </w:tcPr>
          <w:p w14:paraId="598E7AD1" w14:textId="104A250E" w:rsidR="00E80892" w:rsidRPr="00ED32DF" w:rsidRDefault="00E80892" w:rsidP="00B35C0D">
            <w:pPr>
              <w:pStyle w:val="TableText"/>
              <w:rPr>
                <w:color w:val="auto"/>
                <w:szCs w:val="18"/>
              </w:rPr>
            </w:pPr>
            <w:r w:rsidRPr="00ED32DF">
              <w:rPr>
                <w:color w:val="auto"/>
                <w:szCs w:val="18"/>
              </w:rPr>
              <w:t>Access to this information at a detailed unit cost level does not add benefit to public or customers. We have disclosed the unit cost information in Australian dollars as this protects the original service provider unit rates provided in US dollars. The expenditure information is also provided at a more aggregated category level.</w:t>
            </w:r>
          </w:p>
        </w:tc>
      </w:tr>
      <w:tr w:rsidR="00E80892" w:rsidRPr="002C5B5D" w14:paraId="360359D5" w14:textId="77777777" w:rsidTr="0087631D">
        <w:tc>
          <w:tcPr>
            <w:tcW w:w="5000" w:type="pct"/>
            <w:gridSpan w:val="7"/>
            <w:shd w:val="clear" w:color="auto" w:fill="auto"/>
          </w:tcPr>
          <w:p w14:paraId="57E2E1F5" w14:textId="5E6A7DCD" w:rsidR="00E80892" w:rsidRPr="00ED32DF" w:rsidRDefault="00E80892" w:rsidP="00B35C0D">
            <w:pPr>
              <w:pStyle w:val="TableText"/>
              <w:rPr>
                <w:b/>
                <w:color w:val="auto"/>
                <w:sz w:val="16"/>
                <w:szCs w:val="16"/>
              </w:rPr>
            </w:pPr>
            <w:r w:rsidRPr="00ED32DF">
              <w:rPr>
                <w:b/>
                <w:color w:val="auto"/>
                <w:sz w:val="16"/>
                <w:szCs w:val="16"/>
              </w:rPr>
              <w:t>Models</w:t>
            </w:r>
          </w:p>
        </w:tc>
      </w:tr>
      <w:tr w:rsidR="00E80892" w:rsidRPr="002C5B5D" w14:paraId="73A7841D" w14:textId="77777777" w:rsidTr="008340AC">
        <w:tc>
          <w:tcPr>
            <w:tcW w:w="770" w:type="pct"/>
            <w:shd w:val="clear" w:color="auto" w:fill="auto"/>
          </w:tcPr>
          <w:p w14:paraId="019EB174" w14:textId="401DDC14" w:rsidR="00E80892" w:rsidRPr="00ED32DF" w:rsidRDefault="00E80892" w:rsidP="00157FF4">
            <w:pPr>
              <w:pStyle w:val="TableText"/>
              <w:rPr>
                <w:color w:val="auto"/>
                <w:szCs w:val="18"/>
              </w:rPr>
            </w:pPr>
            <w:r w:rsidRPr="00ED32DF">
              <w:rPr>
                <w:color w:val="auto"/>
                <w:szCs w:val="18"/>
              </w:rPr>
              <w:t>CP CONFIDENTIAL RRP MOD 1.2 – CP Metering Capex &amp; Opex.xlsx</w:t>
            </w:r>
          </w:p>
          <w:p w14:paraId="21F498EC" w14:textId="400A5AD3"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6"/>
                <w:szCs w:val="16"/>
              </w:rPr>
            </w:pPr>
            <w:r w:rsidRPr="00ED32DF">
              <w:rPr>
                <w:rFonts w:asciiTheme="minorHAnsi" w:hAnsiTheme="minorHAnsi" w:cstheme="minorHAnsi"/>
                <w:sz w:val="18"/>
                <w:szCs w:val="18"/>
              </w:rPr>
              <w:t>Worksheet ‘Material rates’  1 sheet out of 16 worksheets</w:t>
            </w:r>
          </w:p>
        </w:tc>
        <w:tc>
          <w:tcPr>
            <w:tcW w:w="673" w:type="pct"/>
            <w:shd w:val="clear" w:color="auto" w:fill="auto"/>
          </w:tcPr>
          <w:p w14:paraId="3F9B6336" w14:textId="684B2685"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6"/>
                <w:szCs w:val="16"/>
              </w:rPr>
            </w:pPr>
            <w:r w:rsidRPr="00ED32DF">
              <w:rPr>
                <w:rFonts w:asciiTheme="minorHAnsi" w:hAnsiTheme="minorHAnsi" w:cstheme="minorHAnsi"/>
                <w:sz w:val="18"/>
                <w:szCs w:val="18"/>
              </w:rPr>
              <w:t>Third party service providers unit rates for purchase of meters and communications devices, in US dollars.</w:t>
            </w:r>
          </w:p>
        </w:tc>
        <w:tc>
          <w:tcPr>
            <w:tcW w:w="528" w:type="pct"/>
            <w:shd w:val="clear" w:color="auto" w:fill="auto"/>
          </w:tcPr>
          <w:p w14:paraId="4739E16A" w14:textId="2611A7C4" w:rsidR="00E80892" w:rsidRPr="00ED32DF" w:rsidRDefault="00E80892" w:rsidP="00B35C0D">
            <w:pPr>
              <w:pStyle w:val="TableText"/>
              <w:rPr>
                <w:color w:val="auto"/>
                <w:sz w:val="16"/>
                <w:szCs w:val="16"/>
              </w:rPr>
            </w:pPr>
            <w:r w:rsidRPr="00ED32DF">
              <w:rPr>
                <w:color w:val="auto"/>
                <w:szCs w:val="18"/>
              </w:rPr>
              <w:t>Metering - Alternative Control Services.</w:t>
            </w:r>
          </w:p>
        </w:tc>
        <w:tc>
          <w:tcPr>
            <w:tcW w:w="625" w:type="pct"/>
          </w:tcPr>
          <w:p w14:paraId="12896E56" w14:textId="0E5DCFD1"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6"/>
                <w:szCs w:val="16"/>
              </w:rPr>
            </w:pPr>
            <w:r w:rsidRPr="00ED32DF">
              <w:rPr>
                <w:rFonts w:asciiTheme="minorHAnsi" w:hAnsiTheme="minorHAnsi" w:cstheme="minorHAnsi"/>
                <w:sz w:val="18"/>
                <w:szCs w:val="18"/>
              </w:rPr>
              <w:t>Market sensitive cost inputs and market intelligence</w:t>
            </w:r>
          </w:p>
        </w:tc>
        <w:tc>
          <w:tcPr>
            <w:tcW w:w="625" w:type="pct"/>
          </w:tcPr>
          <w:p w14:paraId="3D5A9004" w14:textId="3FFA2E96" w:rsidR="00E80892" w:rsidRPr="00ED32DF" w:rsidRDefault="00E80892" w:rsidP="00B35C0D">
            <w:pPr>
              <w:pStyle w:val="TableText"/>
              <w:rPr>
                <w:color w:val="auto"/>
                <w:sz w:val="16"/>
                <w:szCs w:val="16"/>
              </w:rPr>
            </w:pPr>
            <w:r w:rsidRPr="00ED32DF">
              <w:rPr>
                <w:color w:val="auto"/>
                <w:szCs w:val="18"/>
              </w:rPr>
              <w:t>Information about the service providers’ business operations that is not in the public domain and may be harmful to the service provider if disclosed.</w:t>
            </w:r>
          </w:p>
        </w:tc>
        <w:tc>
          <w:tcPr>
            <w:tcW w:w="624" w:type="pct"/>
            <w:shd w:val="clear" w:color="auto" w:fill="auto"/>
          </w:tcPr>
          <w:p w14:paraId="5653BAD3" w14:textId="7BDA0A07" w:rsidR="00E80892" w:rsidRPr="00ED32DF" w:rsidRDefault="00E80892" w:rsidP="00B35C0D">
            <w:pPr>
              <w:pStyle w:val="TableText"/>
              <w:rPr>
                <w:color w:val="auto"/>
                <w:sz w:val="16"/>
                <w:szCs w:val="16"/>
              </w:rPr>
            </w:pPr>
            <w:r w:rsidRPr="00ED32DF">
              <w:rPr>
                <w:color w:val="auto"/>
                <w:szCs w:val="18"/>
              </w:rPr>
              <w:t>Information relating to service providers’ unit rates may be damaging to the service providers’ competitiveness or reputation.</w:t>
            </w:r>
          </w:p>
        </w:tc>
        <w:tc>
          <w:tcPr>
            <w:tcW w:w="1155" w:type="pct"/>
            <w:shd w:val="clear" w:color="auto" w:fill="auto"/>
          </w:tcPr>
          <w:p w14:paraId="65331488" w14:textId="76BFB111" w:rsidR="00E80892" w:rsidRPr="00ED32DF" w:rsidRDefault="00E80892" w:rsidP="00B35C0D">
            <w:pPr>
              <w:pStyle w:val="TableText"/>
              <w:rPr>
                <w:color w:val="auto"/>
                <w:sz w:val="16"/>
                <w:szCs w:val="16"/>
              </w:rPr>
            </w:pPr>
            <w:r w:rsidRPr="00ED32DF">
              <w:rPr>
                <w:color w:val="auto"/>
                <w:szCs w:val="18"/>
              </w:rPr>
              <w:t xml:space="preserve">Access to this information at a detailed unit cost level does not add benefit to public or customers. We have disclosed the unit cost information in Australian dollars as this protects the original service provider unit rates provided in US dollars. The expenditure information is also provided at </w:t>
            </w:r>
            <w:r w:rsidRPr="00ED32DF">
              <w:rPr>
                <w:color w:val="auto"/>
                <w:szCs w:val="18"/>
              </w:rPr>
              <w:lastRenderedPageBreak/>
              <w:t>a more aggregated category level.</w:t>
            </w:r>
          </w:p>
        </w:tc>
      </w:tr>
      <w:tr w:rsidR="00E80892" w:rsidRPr="002C5B5D" w14:paraId="749FC8B0" w14:textId="77777777" w:rsidTr="008340AC">
        <w:tc>
          <w:tcPr>
            <w:tcW w:w="770" w:type="pct"/>
            <w:shd w:val="clear" w:color="auto" w:fill="auto"/>
          </w:tcPr>
          <w:p w14:paraId="55582655" w14:textId="43290E18"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rPr>
            </w:pPr>
            <w:r w:rsidRPr="00ED32DF">
              <w:rPr>
                <w:rFonts w:asciiTheme="minorHAnsi" w:hAnsiTheme="minorHAnsi" w:cstheme="minorHAnsi"/>
                <w:sz w:val="18"/>
                <w:szCs w:val="18"/>
              </w:rPr>
              <w:lastRenderedPageBreak/>
              <w:t>CP CONFIDENTIAL RRP MOD 1.54 - Lease renewals step change</w:t>
            </w:r>
          </w:p>
        </w:tc>
        <w:tc>
          <w:tcPr>
            <w:tcW w:w="673" w:type="pct"/>
            <w:shd w:val="clear" w:color="auto" w:fill="auto"/>
          </w:tcPr>
          <w:p w14:paraId="31C37953" w14:textId="5E7154EC"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highlight w:val="yellow"/>
              </w:rPr>
            </w:pPr>
            <w:r w:rsidRPr="00ED32DF">
              <w:rPr>
                <w:rFonts w:asciiTheme="minorHAnsi" w:hAnsiTheme="minorHAnsi" w:cstheme="minorHAnsi"/>
                <w:sz w:val="18"/>
                <w:szCs w:val="18"/>
              </w:rPr>
              <w:t>Options analysis for lease renewals</w:t>
            </w:r>
          </w:p>
        </w:tc>
        <w:tc>
          <w:tcPr>
            <w:tcW w:w="528" w:type="pct"/>
            <w:shd w:val="clear" w:color="auto" w:fill="auto"/>
          </w:tcPr>
          <w:p w14:paraId="331234F4" w14:textId="25CF1A09" w:rsidR="00E80892" w:rsidRPr="00ED32DF" w:rsidRDefault="00E80892" w:rsidP="00B35C0D">
            <w:pPr>
              <w:pStyle w:val="TableText"/>
              <w:rPr>
                <w:color w:val="auto"/>
                <w:szCs w:val="18"/>
                <w:highlight w:val="yellow"/>
              </w:rPr>
            </w:pPr>
            <w:r w:rsidRPr="00ED32DF">
              <w:rPr>
                <w:color w:val="auto"/>
                <w:szCs w:val="18"/>
              </w:rPr>
              <w:t>Operating expenditure</w:t>
            </w:r>
          </w:p>
        </w:tc>
        <w:tc>
          <w:tcPr>
            <w:tcW w:w="625" w:type="pct"/>
          </w:tcPr>
          <w:p w14:paraId="5C863946" w14:textId="052345A9" w:rsidR="00E80892" w:rsidRPr="00ED32DF" w:rsidRDefault="00E80892" w:rsidP="00B35C0D">
            <w:pPr>
              <w:pStyle w:val="MarginText"/>
              <w:overflowPunct w:val="0"/>
              <w:autoSpaceDE w:val="0"/>
              <w:autoSpaceDN w:val="0"/>
              <w:spacing w:before="60" w:after="60"/>
              <w:jc w:val="left"/>
              <w:textAlignment w:val="baseline"/>
              <w:rPr>
                <w:rFonts w:asciiTheme="minorHAnsi" w:hAnsiTheme="minorHAnsi" w:cstheme="minorHAnsi"/>
                <w:sz w:val="18"/>
                <w:szCs w:val="18"/>
                <w:highlight w:val="yellow"/>
              </w:rPr>
            </w:pPr>
            <w:r w:rsidRPr="00ED32DF">
              <w:rPr>
                <w:rFonts w:asciiTheme="minorHAnsi" w:hAnsiTheme="minorHAnsi" w:cstheme="minorHAnsi"/>
                <w:sz w:val="18"/>
                <w:szCs w:val="18"/>
              </w:rPr>
              <w:t>Market sensitive cost inputs, strategic information</w:t>
            </w:r>
          </w:p>
        </w:tc>
        <w:tc>
          <w:tcPr>
            <w:tcW w:w="625" w:type="pct"/>
          </w:tcPr>
          <w:p w14:paraId="24501AF5" w14:textId="2A3F9ACA" w:rsidR="00E80892" w:rsidRPr="00ED32DF" w:rsidRDefault="00E80892" w:rsidP="00B35C0D">
            <w:pPr>
              <w:pStyle w:val="TableText"/>
              <w:rPr>
                <w:color w:val="auto"/>
                <w:szCs w:val="18"/>
                <w:highlight w:val="yellow"/>
              </w:rPr>
            </w:pPr>
            <w:r w:rsidRPr="00ED32DF">
              <w:rPr>
                <w:color w:val="auto"/>
                <w:szCs w:val="18"/>
              </w:rPr>
              <w:t>Options analysis may impact current/future lease negotiations</w:t>
            </w:r>
          </w:p>
        </w:tc>
        <w:tc>
          <w:tcPr>
            <w:tcW w:w="624" w:type="pct"/>
            <w:shd w:val="clear" w:color="auto" w:fill="auto"/>
          </w:tcPr>
          <w:p w14:paraId="3026EB64" w14:textId="647D6616" w:rsidR="00E80892" w:rsidRPr="00ED32DF" w:rsidRDefault="00E80892" w:rsidP="00B35C0D">
            <w:pPr>
              <w:pStyle w:val="TableText"/>
              <w:rPr>
                <w:color w:val="auto"/>
                <w:szCs w:val="18"/>
                <w:highlight w:val="yellow"/>
              </w:rPr>
            </w:pPr>
            <w:r w:rsidRPr="00ED32DF">
              <w:rPr>
                <w:color w:val="auto"/>
                <w:szCs w:val="18"/>
              </w:rPr>
              <w:t>Options analysis may impact current/future lease negotiations</w:t>
            </w:r>
          </w:p>
        </w:tc>
        <w:tc>
          <w:tcPr>
            <w:tcW w:w="1155" w:type="pct"/>
            <w:shd w:val="clear" w:color="auto" w:fill="auto"/>
          </w:tcPr>
          <w:p w14:paraId="6021329E" w14:textId="6F198CB2" w:rsidR="00E80892" w:rsidRPr="00ED32DF" w:rsidRDefault="00E80892" w:rsidP="00B35C0D">
            <w:pPr>
              <w:pStyle w:val="TableText"/>
              <w:rPr>
                <w:color w:val="auto"/>
                <w:szCs w:val="18"/>
                <w:highlight w:val="yellow"/>
              </w:rPr>
            </w:pPr>
            <w:r w:rsidRPr="00ED32DF">
              <w:rPr>
                <w:color w:val="auto"/>
                <w:szCs w:val="18"/>
              </w:rPr>
              <w:t>May lead to higher lease payments than otherwise available</w:t>
            </w:r>
          </w:p>
        </w:tc>
      </w:tr>
    </w:tbl>
    <w:p w14:paraId="27705112" w14:textId="77777777" w:rsidR="007B23B1" w:rsidRPr="007B23B1" w:rsidRDefault="007B23B1" w:rsidP="007B23B1">
      <w:pPr>
        <w:pStyle w:val="Source"/>
        <w:rPr>
          <w:color w:val="auto"/>
        </w:rPr>
      </w:pPr>
      <w:r w:rsidRPr="007B23B1">
        <w:rPr>
          <w:color w:val="auto"/>
        </w:rPr>
        <w:t>CitiPower</w:t>
      </w:r>
    </w:p>
    <w:p w14:paraId="3585D026" w14:textId="77777777" w:rsidR="007B23B1" w:rsidRPr="007B23B1" w:rsidRDefault="007B23B1" w:rsidP="007B23B1"/>
    <w:p w14:paraId="10AE657C" w14:textId="0D77F76E" w:rsidR="007B23B1" w:rsidRDefault="007B23B1">
      <w:pPr>
        <w:overflowPunct/>
        <w:autoSpaceDE/>
        <w:autoSpaceDN/>
        <w:adjustRightInd/>
        <w:spacing w:after="0" w:line="240" w:lineRule="auto"/>
        <w:jc w:val="left"/>
        <w:textAlignment w:val="auto"/>
        <w:rPr>
          <w:lang w:val="en-AU" w:eastAsia="en-AU"/>
        </w:rPr>
      </w:pPr>
      <w:r>
        <w:rPr>
          <w:lang w:val="en-AU" w:eastAsia="en-AU"/>
        </w:rPr>
        <w:br w:type="page"/>
      </w:r>
    </w:p>
    <w:p w14:paraId="108083D3" w14:textId="77777777" w:rsidR="00385B37" w:rsidRPr="00515615" w:rsidRDefault="00385B37" w:rsidP="00385B37">
      <w:pPr>
        <w:pStyle w:val="Header"/>
        <w:spacing w:before="120" w:after="120" w:line="240" w:lineRule="auto"/>
        <w:rPr>
          <w:rFonts w:asciiTheme="minorHAnsi" w:hAnsiTheme="minorHAnsi" w:cstheme="minorHAnsi"/>
          <w:b/>
          <w:color w:val="1E398D"/>
          <w:sz w:val="28"/>
          <w:szCs w:val="28"/>
        </w:rPr>
      </w:pPr>
      <w:r>
        <w:rPr>
          <w:rFonts w:asciiTheme="minorHAnsi" w:hAnsiTheme="minorHAnsi" w:cstheme="minorHAnsi"/>
          <w:b/>
          <w:color w:val="1E398D"/>
          <w:sz w:val="28"/>
          <w:szCs w:val="28"/>
        </w:rPr>
        <w:lastRenderedPageBreak/>
        <w:t>Portion of confidential material</w:t>
      </w:r>
    </w:p>
    <w:p w14:paraId="108083D4" w14:textId="77777777" w:rsidR="00385B37" w:rsidRDefault="00385B37" w:rsidP="00385B37">
      <w:pPr>
        <w:pStyle w:val="TableCaption"/>
        <w:rPr>
          <w:rFonts w:cstheme="minorHAnsi"/>
          <w:sz w:val="21"/>
          <w:szCs w:val="21"/>
        </w:rPr>
      </w:pPr>
      <w:r>
        <w:t xml:space="preserve">Table 1.2 </w:t>
      </w:r>
      <w:r>
        <w:tab/>
        <w:t>Portion of confidential material</w:t>
      </w:r>
    </w:p>
    <w:tbl>
      <w:tblPr>
        <w:tblW w:w="14742" w:type="dxa"/>
        <w:tblInd w:w="57" w:type="dxa"/>
        <w:tblBorders>
          <w:top w:val="single" w:sz="6" w:space="0" w:color="1E398D"/>
          <w:left w:val="single" w:sz="6" w:space="0" w:color="1E398D"/>
          <w:bottom w:val="single" w:sz="6" w:space="0" w:color="1E398D"/>
          <w:right w:val="single" w:sz="6" w:space="0" w:color="1E398D"/>
          <w:insideH w:val="single" w:sz="6" w:space="0" w:color="1E398D"/>
          <w:insideV w:val="single" w:sz="6" w:space="0" w:color="1E398D"/>
        </w:tblBorders>
        <w:tblCellMar>
          <w:left w:w="57" w:type="dxa"/>
          <w:bottom w:w="57" w:type="dxa"/>
          <w:right w:w="57" w:type="dxa"/>
        </w:tblCellMar>
        <w:tblLook w:val="0460" w:firstRow="1" w:lastRow="1" w:firstColumn="0" w:lastColumn="0" w:noHBand="0" w:noVBand="1"/>
      </w:tblPr>
      <w:tblGrid>
        <w:gridCol w:w="2457"/>
        <w:gridCol w:w="2457"/>
        <w:gridCol w:w="2457"/>
        <w:gridCol w:w="2457"/>
        <w:gridCol w:w="2457"/>
        <w:gridCol w:w="2457"/>
      </w:tblGrid>
      <w:tr w:rsidR="00385B37" w:rsidRPr="002C5B5D" w14:paraId="108083DB" w14:textId="77777777" w:rsidTr="008340AC">
        <w:trPr>
          <w:tblHeader/>
        </w:trPr>
        <w:tc>
          <w:tcPr>
            <w:tcW w:w="833" w:type="pct"/>
            <w:shd w:val="clear" w:color="auto" w:fill="1E398D"/>
          </w:tcPr>
          <w:p w14:paraId="108083D5" w14:textId="77777777" w:rsidR="00385B37" w:rsidRPr="00E90562" w:rsidRDefault="00385B37" w:rsidP="00B35C0D">
            <w:pPr>
              <w:pStyle w:val="TableHeading"/>
              <w:rPr>
                <w:rFonts w:ascii="Calibri" w:hAnsi="Calibri" w:cs="Calibri"/>
                <w:b/>
                <w:sz w:val="16"/>
                <w:szCs w:val="16"/>
              </w:rPr>
            </w:pPr>
            <w:r w:rsidRPr="00E90562">
              <w:rPr>
                <w:rFonts w:ascii="Calibri" w:hAnsi="Calibri" w:cs="Calibri"/>
                <w:b/>
                <w:sz w:val="16"/>
                <w:szCs w:val="16"/>
              </w:rPr>
              <w:t>Submission Title</w:t>
            </w:r>
          </w:p>
        </w:tc>
        <w:tc>
          <w:tcPr>
            <w:tcW w:w="833" w:type="pct"/>
            <w:shd w:val="clear" w:color="auto" w:fill="1E398D"/>
          </w:tcPr>
          <w:p w14:paraId="108083D6" w14:textId="77777777" w:rsidR="00385B37" w:rsidRPr="00E90562" w:rsidRDefault="00385B37" w:rsidP="00385B37">
            <w:pPr>
              <w:pStyle w:val="TableHeading"/>
              <w:rPr>
                <w:rFonts w:ascii="Calibri" w:hAnsi="Calibri" w:cs="Calibri"/>
                <w:b/>
                <w:sz w:val="16"/>
                <w:szCs w:val="16"/>
              </w:rPr>
            </w:pPr>
            <w:r w:rsidRPr="00E90562">
              <w:rPr>
                <w:rFonts w:ascii="Calibri" w:hAnsi="Calibri" w:cs="Calibri"/>
                <w:b/>
                <w:sz w:val="16"/>
                <w:szCs w:val="16"/>
              </w:rPr>
              <w:t>Number of pages of submission that include information subject to a claim of confidentiality</w:t>
            </w:r>
          </w:p>
        </w:tc>
        <w:tc>
          <w:tcPr>
            <w:tcW w:w="833" w:type="pct"/>
            <w:shd w:val="clear" w:color="auto" w:fill="1E398D"/>
          </w:tcPr>
          <w:p w14:paraId="108083D7" w14:textId="77777777" w:rsidR="00385B37" w:rsidRPr="00E90562" w:rsidRDefault="00385B37" w:rsidP="00B35C0D">
            <w:pPr>
              <w:pStyle w:val="TableHeading"/>
              <w:rPr>
                <w:rFonts w:ascii="Calibri" w:hAnsi="Calibri" w:cs="Calibri"/>
                <w:b/>
                <w:sz w:val="16"/>
                <w:szCs w:val="16"/>
              </w:rPr>
            </w:pPr>
            <w:r w:rsidRPr="00E90562">
              <w:rPr>
                <w:rFonts w:ascii="Calibri" w:hAnsi="Calibri" w:cs="Calibri"/>
                <w:b/>
                <w:sz w:val="16"/>
                <w:szCs w:val="16"/>
              </w:rPr>
              <w:t>Number of pages of submission that do not include information subject to a claim of confidentiality</w:t>
            </w:r>
          </w:p>
        </w:tc>
        <w:tc>
          <w:tcPr>
            <w:tcW w:w="833" w:type="pct"/>
            <w:shd w:val="clear" w:color="auto" w:fill="1E398D"/>
          </w:tcPr>
          <w:p w14:paraId="108083D8" w14:textId="77777777" w:rsidR="00385B37" w:rsidRPr="00E90562" w:rsidRDefault="00385B37" w:rsidP="00B35C0D">
            <w:pPr>
              <w:pStyle w:val="TableHeading"/>
              <w:rPr>
                <w:rFonts w:ascii="Calibri" w:hAnsi="Calibri" w:cs="Calibri"/>
                <w:b/>
                <w:sz w:val="16"/>
                <w:szCs w:val="16"/>
              </w:rPr>
            </w:pPr>
            <w:r w:rsidRPr="00E90562">
              <w:rPr>
                <w:rFonts w:ascii="Calibri" w:hAnsi="Calibri" w:cs="Calibri"/>
                <w:b/>
                <w:sz w:val="16"/>
                <w:szCs w:val="16"/>
              </w:rPr>
              <w:t>Total number of pages of submission</w:t>
            </w:r>
          </w:p>
        </w:tc>
        <w:tc>
          <w:tcPr>
            <w:tcW w:w="833" w:type="pct"/>
            <w:shd w:val="clear" w:color="auto" w:fill="1E398D"/>
          </w:tcPr>
          <w:p w14:paraId="108083D9" w14:textId="77777777" w:rsidR="00385B37" w:rsidRPr="00E90562" w:rsidRDefault="00385B37" w:rsidP="00B35C0D">
            <w:pPr>
              <w:pStyle w:val="TableHeading"/>
              <w:rPr>
                <w:rFonts w:ascii="Calibri" w:hAnsi="Calibri" w:cs="Calibri"/>
                <w:b/>
                <w:sz w:val="16"/>
                <w:szCs w:val="16"/>
              </w:rPr>
            </w:pPr>
            <w:r w:rsidRPr="00E90562">
              <w:rPr>
                <w:rFonts w:ascii="Calibri" w:hAnsi="Calibri" w:cs="Calibri"/>
                <w:b/>
                <w:sz w:val="16"/>
                <w:szCs w:val="16"/>
              </w:rPr>
              <w:t>Percentage of submission that include information subject to a claim of confidentiality</w:t>
            </w:r>
          </w:p>
        </w:tc>
        <w:tc>
          <w:tcPr>
            <w:tcW w:w="833" w:type="pct"/>
            <w:shd w:val="clear" w:color="auto" w:fill="1E398D"/>
          </w:tcPr>
          <w:p w14:paraId="108083DA" w14:textId="77777777" w:rsidR="00385B37" w:rsidRPr="00E90562" w:rsidRDefault="00385B37" w:rsidP="00B35C0D">
            <w:pPr>
              <w:pStyle w:val="TableHeading"/>
              <w:rPr>
                <w:rFonts w:ascii="Calibri" w:hAnsi="Calibri" w:cs="Calibri"/>
                <w:b/>
                <w:sz w:val="16"/>
                <w:szCs w:val="16"/>
              </w:rPr>
            </w:pPr>
            <w:r w:rsidRPr="00E90562">
              <w:rPr>
                <w:rFonts w:ascii="Calibri" w:hAnsi="Calibri" w:cs="Calibri"/>
                <w:b/>
                <w:sz w:val="16"/>
                <w:szCs w:val="16"/>
              </w:rPr>
              <w:t>Percentage of pages of submission that do not include information subject to a claim of confidentiality</w:t>
            </w:r>
          </w:p>
        </w:tc>
      </w:tr>
      <w:tr w:rsidR="00F8570D" w:rsidRPr="002C5B5D" w14:paraId="108083E2" w14:textId="77777777" w:rsidTr="008340AC">
        <w:tc>
          <w:tcPr>
            <w:tcW w:w="833" w:type="pct"/>
            <w:shd w:val="clear" w:color="auto" w:fill="auto"/>
          </w:tcPr>
          <w:p w14:paraId="108083DC" w14:textId="053A2715" w:rsidR="00F8570D" w:rsidRPr="00F8570D" w:rsidRDefault="00F8570D" w:rsidP="00B35C0D">
            <w:pPr>
              <w:pStyle w:val="MarginText"/>
              <w:overflowPunct w:val="0"/>
              <w:autoSpaceDE w:val="0"/>
              <w:autoSpaceDN w:val="0"/>
              <w:spacing w:before="60" w:after="60"/>
              <w:jc w:val="left"/>
              <w:textAlignment w:val="baseline"/>
              <w:rPr>
                <w:rFonts w:asciiTheme="minorHAnsi" w:hAnsiTheme="minorHAnsi" w:cstheme="minorHAnsi"/>
                <w:color w:val="333333"/>
                <w:sz w:val="18"/>
                <w:szCs w:val="18"/>
              </w:rPr>
            </w:pPr>
            <w:r w:rsidRPr="00F8570D">
              <w:rPr>
                <w:rFonts w:asciiTheme="minorHAnsi" w:hAnsiTheme="minorHAnsi" w:cstheme="minorHAnsi"/>
                <w:sz w:val="18"/>
                <w:szCs w:val="18"/>
              </w:rPr>
              <w:t>Revised regulatory proposal</w:t>
            </w:r>
          </w:p>
        </w:tc>
        <w:tc>
          <w:tcPr>
            <w:tcW w:w="833" w:type="pct"/>
            <w:shd w:val="clear" w:color="auto" w:fill="auto"/>
          </w:tcPr>
          <w:p w14:paraId="108083DD" w14:textId="5D39601B" w:rsidR="00F8570D" w:rsidRPr="00F8570D" w:rsidRDefault="009E1E46" w:rsidP="00990814">
            <w:pPr>
              <w:pStyle w:val="MarginText"/>
              <w:overflowPunct w:val="0"/>
              <w:autoSpaceDE w:val="0"/>
              <w:autoSpaceDN w:val="0"/>
              <w:spacing w:before="60" w:after="60"/>
              <w:jc w:val="center"/>
              <w:textAlignment w:val="baseline"/>
              <w:rPr>
                <w:rFonts w:asciiTheme="minorHAnsi" w:hAnsiTheme="minorHAnsi" w:cstheme="minorHAnsi"/>
                <w:color w:val="333333"/>
                <w:sz w:val="18"/>
                <w:szCs w:val="18"/>
              </w:rPr>
            </w:pPr>
            <w:r>
              <w:rPr>
                <w:rFonts w:asciiTheme="minorHAnsi" w:hAnsiTheme="minorHAnsi" w:cstheme="minorHAnsi"/>
                <w:color w:val="333333"/>
                <w:sz w:val="18"/>
                <w:szCs w:val="18"/>
              </w:rPr>
              <w:t>13</w:t>
            </w:r>
          </w:p>
        </w:tc>
        <w:tc>
          <w:tcPr>
            <w:tcW w:w="833" w:type="pct"/>
            <w:shd w:val="clear" w:color="auto" w:fill="auto"/>
          </w:tcPr>
          <w:p w14:paraId="108083DE" w14:textId="452D3F57" w:rsidR="00F8570D" w:rsidRPr="00F8570D" w:rsidRDefault="007B23B1" w:rsidP="00990814">
            <w:pPr>
              <w:pStyle w:val="TableText"/>
              <w:jc w:val="center"/>
              <w:rPr>
                <w:szCs w:val="18"/>
              </w:rPr>
            </w:pPr>
            <w:r>
              <w:rPr>
                <w:szCs w:val="18"/>
              </w:rPr>
              <w:t>495</w:t>
            </w:r>
          </w:p>
        </w:tc>
        <w:tc>
          <w:tcPr>
            <w:tcW w:w="833" w:type="pct"/>
          </w:tcPr>
          <w:p w14:paraId="108083DF" w14:textId="4CF3EF39" w:rsidR="00F8570D" w:rsidRPr="00F8570D" w:rsidRDefault="007B23B1" w:rsidP="00990814">
            <w:pPr>
              <w:pStyle w:val="MarginText"/>
              <w:overflowPunct w:val="0"/>
              <w:autoSpaceDE w:val="0"/>
              <w:autoSpaceDN w:val="0"/>
              <w:spacing w:before="60" w:after="60"/>
              <w:jc w:val="center"/>
              <w:textAlignment w:val="baseline"/>
              <w:rPr>
                <w:rFonts w:asciiTheme="minorHAnsi" w:hAnsiTheme="minorHAnsi" w:cstheme="minorHAnsi"/>
                <w:color w:val="333333"/>
                <w:sz w:val="18"/>
                <w:szCs w:val="18"/>
              </w:rPr>
            </w:pPr>
            <w:r>
              <w:rPr>
                <w:rFonts w:asciiTheme="minorHAnsi" w:hAnsiTheme="minorHAnsi" w:cstheme="minorHAnsi"/>
                <w:sz w:val="18"/>
                <w:szCs w:val="18"/>
              </w:rPr>
              <w:t>508</w:t>
            </w:r>
          </w:p>
        </w:tc>
        <w:tc>
          <w:tcPr>
            <w:tcW w:w="833" w:type="pct"/>
          </w:tcPr>
          <w:p w14:paraId="108083E0" w14:textId="73E3BA14" w:rsidR="00F8570D" w:rsidRPr="00F8570D" w:rsidRDefault="007B23B1" w:rsidP="00990814">
            <w:pPr>
              <w:pStyle w:val="TableText"/>
              <w:jc w:val="center"/>
              <w:rPr>
                <w:szCs w:val="18"/>
              </w:rPr>
            </w:pPr>
            <w:r>
              <w:rPr>
                <w:szCs w:val="18"/>
              </w:rPr>
              <w:t>2.6%</w:t>
            </w:r>
          </w:p>
        </w:tc>
        <w:tc>
          <w:tcPr>
            <w:tcW w:w="833" w:type="pct"/>
            <w:shd w:val="clear" w:color="auto" w:fill="auto"/>
          </w:tcPr>
          <w:p w14:paraId="108083E1" w14:textId="02668A6E" w:rsidR="00F8570D" w:rsidRPr="00F8570D" w:rsidRDefault="007B23B1" w:rsidP="00990814">
            <w:pPr>
              <w:pStyle w:val="TableText"/>
              <w:jc w:val="center"/>
              <w:rPr>
                <w:szCs w:val="18"/>
              </w:rPr>
            </w:pPr>
            <w:r>
              <w:rPr>
                <w:szCs w:val="18"/>
              </w:rPr>
              <w:t>97.4%</w:t>
            </w:r>
          </w:p>
        </w:tc>
      </w:tr>
      <w:tr w:rsidR="00F8570D" w:rsidRPr="002C5B5D" w14:paraId="108083E9" w14:textId="77777777" w:rsidTr="008340AC">
        <w:tc>
          <w:tcPr>
            <w:tcW w:w="833" w:type="pct"/>
            <w:shd w:val="clear" w:color="auto" w:fill="auto"/>
          </w:tcPr>
          <w:p w14:paraId="108083E3" w14:textId="41ED8CFD" w:rsidR="00F8570D" w:rsidRPr="00F8570D" w:rsidRDefault="00F8570D" w:rsidP="00B35C0D">
            <w:pPr>
              <w:pStyle w:val="MarginText"/>
              <w:overflowPunct w:val="0"/>
              <w:autoSpaceDE w:val="0"/>
              <w:autoSpaceDN w:val="0"/>
              <w:spacing w:before="60" w:after="60"/>
              <w:jc w:val="left"/>
              <w:textAlignment w:val="baseline"/>
              <w:rPr>
                <w:rFonts w:asciiTheme="minorHAnsi" w:hAnsiTheme="minorHAnsi" w:cstheme="minorHAnsi"/>
                <w:color w:val="333333"/>
                <w:sz w:val="18"/>
                <w:szCs w:val="18"/>
              </w:rPr>
            </w:pPr>
            <w:r w:rsidRPr="00F8570D">
              <w:rPr>
                <w:rFonts w:asciiTheme="minorHAnsi" w:hAnsiTheme="minorHAnsi" w:cstheme="minorHAnsi"/>
                <w:sz w:val="18"/>
                <w:szCs w:val="18"/>
              </w:rPr>
              <w:t>Attachments</w:t>
            </w:r>
          </w:p>
        </w:tc>
        <w:tc>
          <w:tcPr>
            <w:tcW w:w="833" w:type="pct"/>
            <w:shd w:val="clear" w:color="auto" w:fill="auto"/>
          </w:tcPr>
          <w:p w14:paraId="108083E4" w14:textId="2B46F773" w:rsidR="00F8570D" w:rsidRPr="00F8570D" w:rsidRDefault="00DF6FF3" w:rsidP="00990814">
            <w:pPr>
              <w:pStyle w:val="MarginText"/>
              <w:overflowPunct w:val="0"/>
              <w:autoSpaceDE w:val="0"/>
              <w:autoSpaceDN w:val="0"/>
              <w:spacing w:before="60" w:after="60"/>
              <w:jc w:val="center"/>
              <w:textAlignment w:val="baseline"/>
              <w:rPr>
                <w:rFonts w:asciiTheme="minorHAnsi" w:hAnsiTheme="minorHAnsi" w:cstheme="minorHAnsi"/>
                <w:color w:val="333333"/>
                <w:sz w:val="18"/>
                <w:szCs w:val="18"/>
              </w:rPr>
            </w:pPr>
            <w:r>
              <w:rPr>
                <w:rFonts w:asciiTheme="minorHAnsi" w:hAnsiTheme="minorHAnsi" w:cstheme="minorHAnsi"/>
                <w:color w:val="333333"/>
                <w:sz w:val="18"/>
                <w:szCs w:val="18"/>
              </w:rPr>
              <w:t>1,439</w:t>
            </w:r>
          </w:p>
        </w:tc>
        <w:tc>
          <w:tcPr>
            <w:tcW w:w="833" w:type="pct"/>
            <w:shd w:val="clear" w:color="auto" w:fill="auto"/>
          </w:tcPr>
          <w:p w14:paraId="108083E5" w14:textId="5C8FB005" w:rsidR="00F8570D" w:rsidRPr="00F8570D" w:rsidRDefault="00DF6FF3" w:rsidP="00990814">
            <w:pPr>
              <w:pStyle w:val="TableText"/>
              <w:jc w:val="center"/>
              <w:rPr>
                <w:szCs w:val="18"/>
              </w:rPr>
            </w:pPr>
            <w:r>
              <w:rPr>
                <w:szCs w:val="18"/>
              </w:rPr>
              <w:t>22,160</w:t>
            </w:r>
          </w:p>
        </w:tc>
        <w:tc>
          <w:tcPr>
            <w:tcW w:w="833" w:type="pct"/>
          </w:tcPr>
          <w:p w14:paraId="108083E6" w14:textId="0F60A755" w:rsidR="00F8570D" w:rsidRPr="00F8570D" w:rsidRDefault="00DF6FF3" w:rsidP="00990814">
            <w:pPr>
              <w:pStyle w:val="MarginText"/>
              <w:overflowPunct w:val="0"/>
              <w:autoSpaceDE w:val="0"/>
              <w:autoSpaceDN w:val="0"/>
              <w:spacing w:before="60" w:after="60"/>
              <w:jc w:val="center"/>
              <w:textAlignment w:val="baseline"/>
              <w:rPr>
                <w:rFonts w:asciiTheme="minorHAnsi" w:hAnsiTheme="minorHAnsi" w:cstheme="minorHAnsi"/>
                <w:color w:val="333333"/>
                <w:sz w:val="18"/>
                <w:szCs w:val="18"/>
              </w:rPr>
            </w:pPr>
            <w:r>
              <w:rPr>
                <w:rFonts w:asciiTheme="minorHAnsi" w:hAnsiTheme="minorHAnsi" w:cstheme="minorHAnsi"/>
                <w:color w:val="333333"/>
                <w:sz w:val="18"/>
                <w:szCs w:val="18"/>
              </w:rPr>
              <w:t>23,599</w:t>
            </w:r>
          </w:p>
        </w:tc>
        <w:tc>
          <w:tcPr>
            <w:tcW w:w="833" w:type="pct"/>
          </w:tcPr>
          <w:p w14:paraId="108083E7" w14:textId="0F546EFB" w:rsidR="00F8570D" w:rsidRPr="00F8570D" w:rsidRDefault="00DF6FF3" w:rsidP="00990814">
            <w:pPr>
              <w:pStyle w:val="TableText"/>
              <w:jc w:val="center"/>
              <w:rPr>
                <w:szCs w:val="18"/>
              </w:rPr>
            </w:pPr>
            <w:r>
              <w:rPr>
                <w:szCs w:val="18"/>
              </w:rPr>
              <w:t>6.1%</w:t>
            </w:r>
          </w:p>
        </w:tc>
        <w:tc>
          <w:tcPr>
            <w:tcW w:w="833" w:type="pct"/>
            <w:shd w:val="clear" w:color="auto" w:fill="auto"/>
          </w:tcPr>
          <w:p w14:paraId="108083E8" w14:textId="35324490" w:rsidR="00F8570D" w:rsidRPr="00F8570D" w:rsidRDefault="00DF6FF3" w:rsidP="00990814">
            <w:pPr>
              <w:pStyle w:val="TableText"/>
              <w:jc w:val="center"/>
              <w:rPr>
                <w:szCs w:val="18"/>
              </w:rPr>
            </w:pPr>
            <w:r>
              <w:rPr>
                <w:szCs w:val="18"/>
              </w:rPr>
              <w:t>93.9%</w:t>
            </w:r>
          </w:p>
        </w:tc>
      </w:tr>
      <w:tr w:rsidR="00F8570D" w:rsidRPr="002C5B5D" w14:paraId="108083F0" w14:textId="77777777" w:rsidTr="008340AC">
        <w:tc>
          <w:tcPr>
            <w:tcW w:w="833" w:type="pct"/>
            <w:shd w:val="clear" w:color="auto" w:fill="auto"/>
          </w:tcPr>
          <w:p w14:paraId="108083EA" w14:textId="5146AF69" w:rsidR="00F8570D" w:rsidRPr="00F8570D" w:rsidRDefault="00F8570D" w:rsidP="00B35C0D">
            <w:pPr>
              <w:pStyle w:val="MarginText"/>
              <w:overflowPunct w:val="0"/>
              <w:autoSpaceDE w:val="0"/>
              <w:autoSpaceDN w:val="0"/>
              <w:spacing w:before="60" w:after="60"/>
              <w:jc w:val="left"/>
              <w:textAlignment w:val="baseline"/>
              <w:rPr>
                <w:rFonts w:asciiTheme="minorHAnsi" w:hAnsiTheme="minorHAnsi" w:cstheme="minorHAnsi"/>
                <w:color w:val="333333"/>
                <w:sz w:val="18"/>
                <w:szCs w:val="18"/>
              </w:rPr>
            </w:pPr>
            <w:r w:rsidRPr="00F8570D">
              <w:rPr>
                <w:rFonts w:asciiTheme="minorHAnsi" w:hAnsiTheme="minorHAnsi" w:cstheme="minorHAnsi"/>
                <w:sz w:val="18"/>
                <w:szCs w:val="18"/>
              </w:rPr>
              <w:t>Models</w:t>
            </w:r>
          </w:p>
        </w:tc>
        <w:tc>
          <w:tcPr>
            <w:tcW w:w="833" w:type="pct"/>
            <w:shd w:val="clear" w:color="auto" w:fill="auto"/>
          </w:tcPr>
          <w:p w14:paraId="108083EB" w14:textId="4772DF85" w:rsidR="00F8570D" w:rsidRPr="00F8570D" w:rsidRDefault="00F04219" w:rsidP="00990814">
            <w:pPr>
              <w:pStyle w:val="MarginText"/>
              <w:overflowPunct w:val="0"/>
              <w:autoSpaceDE w:val="0"/>
              <w:autoSpaceDN w:val="0"/>
              <w:spacing w:before="60" w:after="60"/>
              <w:jc w:val="center"/>
              <w:textAlignment w:val="baseline"/>
              <w:rPr>
                <w:rFonts w:asciiTheme="minorHAnsi" w:hAnsiTheme="minorHAnsi" w:cstheme="minorHAnsi"/>
                <w:color w:val="333333"/>
                <w:sz w:val="18"/>
                <w:szCs w:val="18"/>
              </w:rPr>
            </w:pPr>
            <w:r>
              <w:rPr>
                <w:rFonts w:asciiTheme="minorHAnsi" w:hAnsiTheme="minorHAnsi" w:cstheme="minorHAnsi"/>
                <w:color w:val="333333"/>
                <w:sz w:val="18"/>
                <w:szCs w:val="18"/>
              </w:rPr>
              <w:t>8</w:t>
            </w:r>
          </w:p>
        </w:tc>
        <w:tc>
          <w:tcPr>
            <w:tcW w:w="833" w:type="pct"/>
            <w:shd w:val="clear" w:color="auto" w:fill="auto"/>
          </w:tcPr>
          <w:p w14:paraId="108083EC" w14:textId="1CF5DC04" w:rsidR="00F8570D" w:rsidRPr="00F8570D" w:rsidRDefault="00F04219" w:rsidP="00990814">
            <w:pPr>
              <w:pStyle w:val="TableText"/>
              <w:jc w:val="center"/>
              <w:rPr>
                <w:szCs w:val="18"/>
              </w:rPr>
            </w:pPr>
            <w:r>
              <w:rPr>
                <w:szCs w:val="18"/>
              </w:rPr>
              <w:t>316</w:t>
            </w:r>
          </w:p>
        </w:tc>
        <w:tc>
          <w:tcPr>
            <w:tcW w:w="833" w:type="pct"/>
          </w:tcPr>
          <w:p w14:paraId="108083ED" w14:textId="1F06521B" w:rsidR="00F8570D" w:rsidRPr="00F8570D" w:rsidRDefault="00F04219" w:rsidP="00990814">
            <w:pPr>
              <w:pStyle w:val="MarginText"/>
              <w:overflowPunct w:val="0"/>
              <w:autoSpaceDE w:val="0"/>
              <w:autoSpaceDN w:val="0"/>
              <w:spacing w:before="60" w:after="60"/>
              <w:jc w:val="center"/>
              <w:textAlignment w:val="baseline"/>
              <w:rPr>
                <w:rFonts w:asciiTheme="minorHAnsi" w:hAnsiTheme="minorHAnsi" w:cstheme="minorHAnsi"/>
                <w:color w:val="333333"/>
                <w:sz w:val="18"/>
                <w:szCs w:val="18"/>
              </w:rPr>
            </w:pPr>
            <w:r>
              <w:rPr>
                <w:rFonts w:asciiTheme="minorHAnsi" w:hAnsiTheme="minorHAnsi" w:cstheme="minorHAnsi"/>
                <w:color w:val="333333"/>
                <w:sz w:val="18"/>
                <w:szCs w:val="18"/>
              </w:rPr>
              <w:t>324</w:t>
            </w:r>
          </w:p>
        </w:tc>
        <w:tc>
          <w:tcPr>
            <w:tcW w:w="833" w:type="pct"/>
          </w:tcPr>
          <w:p w14:paraId="108083EE" w14:textId="5088A8AE" w:rsidR="00F8570D" w:rsidRPr="00F8570D" w:rsidRDefault="00F04219" w:rsidP="00990814">
            <w:pPr>
              <w:pStyle w:val="TableText"/>
              <w:jc w:val="center"/>
              <w:rPr>
                <w:szCs w:val="18"/>
              </w:rPr>
            </w:pPr>
            <w:r>
              <w:rPr>
                <w:szCs w:val="18"/>
              </w:rPr>
              <w:t>2.5%</w:t>
            </w:r>
          </w:p>
        </w:tc>
        <w:tc>
          <w:tcPr>
            <w:tcW w:w="833" w:type="pct"/>
            <w:shd w:val="clear" w:color="auto" w:fill="auto"/>
          </w:tcPr>
          <w:p w14:paraId="108083EF" w14:textId="25BBF101" w:rsidR="00F8570D" w:rsidRPr="00F8570D" w:rsidRDefault="00F04219" w:rsidP="00990814">
            <w:pPr>
              <w:pStyle w:val="TableText"/>
              <w:jc w:val="center"/>
              <w:rPr>
                <w:szCs w:val="18"/>
              </w:rPr>
            </w:pPr>
            <w:r>
              <w:rPr>
                <w:szCs w:val="18"/>
              </w:rPr>
              <w:t>97.5%</w:t>
            </w:r>
          </w:p>
        </w:tc>
      </w:tr>
      <w:tr w:rsidR="00F8570D" w:rsidRPr="002C5B5D" w14:paraId="108083F7" w14:textId="77777777" w:rsidTr="008340AC">
        <w:tc>
          <w:tcPr>
            <w:tcW w:w="833" w:type="pct"/>
            <w:shd w:val="clear" w:color="auto" w:fill="auto"/>
          </w:tcPr>
          <w:p w14:paraId="108083F1" w14:textId="1FC41F65" w:rsidR="00F8570D" w:rsidRPr="00F8570D" w:rsidRDefault="00F8570D" w:rsidP="00B35C0D">
            <w:pPr>
              <w:pStyle w:val="MarginText"/>
              <w:overflowPunct w:val="0"/>
              <w:autoSpaceDE w:val="0"/>
              <w:autoSpaceDN w:val="0"/>
              <w:spacing w:before="60" w:after="60"/>
              <w:jc w:val="left"/>
              <w:textAlignment w:val="baseline"/>
              <w:rPr>
                <w:rFonts w:asciiTheme="minorHAnsi" w:hAnsiTheme="minorHAnsi" w:cstheme="minorHAnsi"/>
                <w:color w:val="333333"/>
                <w:sz w:val="18"/>
                <w:szCs w:val="18"/>
              </w:rPr>
            </w:pPr>
            <w:r w:rsidRPr="00F8570D">
              <w:rPr>
                <w:rFonts w:asciiTheme="minorHAnsi" w:hAnsiTheme="minorHAnsi" w:cstheme="minorHAnsi"/>
                <w:sz w:val="18"/>
                <w:szCs w:val="18"/>
              </w:rPr>
              <w:t>Reset RIN - templates</w:t>
            </w:r>
          </w:p>
        </w:tc>
        <w:tc>
          <w:tcPr>
            <w:tcW w:w="833" w:type="pct"/>
            <w:shd w:val="clear" w:color="auto" w:fill="auto"/>
          </w:tcPr>
          <w:p w14:paraId="108083F2" w14:textId="41F52DC6" w:rsidR="00F8570D" w:rsidRPr="00F8570D" w:rsidRDefault="00F8570D" w:rsidP="00990814">
            <w:pPr>
              <w:pStyle w:val="MarginText"/>
              <w:overflowPunct w:val="0"/>
              <w:autoSpaceDE w:val="0"/>
              <w:autoSpaceDN w:val="0"/>
              <w:spacing w:before="60" w:after="60"/>
              <w:jc w:val="center"/>
              <w:textAlignment w:val="baseline"/>
              <w:rPr>
                <w:rFonts w:asciiTheme="minorHAnsi" w:hAnsiTheme="minorHAnsi" w:cstheme="minorHAnsi"/>
                <w:color w:val="333333"/>
                <w:sz w:val="18"/>
                <w:szCs w:val="18"/>
              </w:rPr>
            </w:pPr>
            <w:r w:rsidRPr="00F8570D">
              <w:rPr>
                <w:rFonts w:asciiTheme="minorHAnsi" w:hAnsiTheme="minorHAnsi" w:cstheme="minorHAnsi"/>
                <w:sz w:val="18"/>
                <w:szCs w:val="18"/>
              </w:rPr>
              <w:t>0</w:t>
            </w:r>
          </w:p>
        </w:tc>
        <w:tc>
          <w:tcPr>
            <w:tcW w:w="833" w:type="pct"/>
            <w:shd w:val="clear" w:color="auto" w:fill="auto"/>
          </w:tcPr>
          <w:p w14:paraId="108083F3" w14:textId="58AF1796" w:rsidR="00F8570D" w:rsidRPr="00F8570D" w:rsidRDefault="00E979FB" w:rsidP="00990814">
            <w:pPr>
              <w:pStyle w:val="TableText"/>
              <w:jc w:val="center"/>
              <w:rPr>
                <w:szCs w:val="18"/>
              </w:rPr>
            </w:pPr>
            <w:r>
              <w:rPr>
                <w:szCs w:val="18"/>
              </w:rPr>
              <w:t>3</w:t>
            </w:r>
          </w:p>
        </w:tc>
        <w:tc>
          <w:tcPr>
            <w:tcW w:w="833" w:type="pct"/>
          </w:tcPr>
          <w:p w14:paraId="108083F4" w14:textId="5028BFE4" w:rsidR="00F8570D" w:rsidRPr="00F8570D" w:rsidRDefault="00E979FB" w:rsidP="00990814">
            <w:pPr>
              <w:pStyle w:val="MarginText"/>
              <w:overflowPunct w:val="0"/>
              <w:autoSpaceDE w:val="0"/>
              <w:autoSpaceDN w:val="0"/>
              <w:spacing w:before="60" w:after="60"/>
              <w:jc w:val="center"/>
              <w:textAlignment w:val="baseline"/>
              <w:rPr>
                <w:rFonts w:asciiTheme="minorHAnsi" w:hAnsiTheme="minorHAnsi" w:cstheme="minorHAnsi"/>
                <w:color w:val="333333"/>
                <w:sz w:val="18"/>
                <w:szCs w:val="18"/>
              </w:rPr>
            </w:pPr>
            <w:r>
              <w:rPr>
                <w:rFonts w:asciiTheme="minorHAnsi" w:hAnsiTheme="minorHAnsi" w:cstheme="minorHAnsi"/>
                <w:color w:val="333333"/>
                <w:sz w:val="18"/>
                <w:szCs w:val="18"/>
              </w:rPr>
              <w:t>3</w:t>
            </w:r>
          </w:p>
        </w:tc>
        <w:tc>
          <w:tcPr>
            <w:tcW w:w="833" w:type="pct"/>
          </w:tcPr>
          <w:p w14:paraId="108083F5" w14:textId="690B7933" w:rsidR="00F8570D" w:rsidRPr="00F8570D" w:rsidRDefault="00F8570D" w:rsidP="00990814">
            <w:pPr>
              <w:pStyle w:val="TableText"/>
              <w:jc w:val="center"/>
              <w:rPr>
                <w:szCs w:val="18"/>
              </w:rPr>
            </w:pPr>
            <w:r w:rsidRPr="00F8570D">
              <w:rPr>
                <w:szCs w:val="18"/>
              </w:rPr>
              <w:t>0%</w:t>
            </w:r>
          </w:p>
        </w:tc>
        <w:tc>
          <w:tcPr>
            <w:tcW w:w="833" w:type="pct"/>
            <w:shd w:val="clear" w:color="auto" w:fill="auto"/>
          </w:tcPr>
          <w:p w14:paraId="108083F6" w14:textId="78358246" w:rsidR="00F8570D" w:rsidRPr="00F8570D" w:rsidRDefault="00F8570D" w:rsidP="00990814">
            <w:pPr>
              <w:pStyle w:val="TableText"/>
              <w:jc w:val="center"/>
              <w:rPr>
                <w:szCs w:val="18"/>
              </w:rPr>
            </w:pPr>
            <w:r w:rsidRPr="00F8570D">
              <w:rPr>
                <w:szCs w:val="18"/>
              </w:rPr>
              <w:t>100%</w:t>
            </w:r>
          </w:p>
        </w:tc>
      </w:tr>
      <w:tr w:rsidR="00F8570D" w:rsidRPr="002C5B5D" w14:paraId="108083FE" w14:textId="77777777" w:rsidTr="008340AC">
        <w:tc>
          <w:tcPr>
            <w:tcW w:w="833" w:type="pct"/>
            <w:shd w:val="clear" w:color="auto" w:fill="auto"/>
          </w:tcPr>
          <w:p w14:paraId="108083F8" w14:textId="37D3B516" w:rsidR="00F8570D" w:rsidRPr="00F8570D" w:rsidRDefault="00F8570D" w:rsidP="00B35C0D">
            <w:pPr>
              <w:pStyle w:val="MarginText"/>
              <w:overflowPunct w:val="0"/>
              <w:autoSpaceDE w:val="0"/>
              <w:autoSpaceDN w:val="0"/>
              <w:spacing w:before="60" w:after="60"/>
              <w:jc w:val="left"/>
              <w:textAlignment w:val="baseline"/>
              <w:rPr>
                <w:rFonts w:asciiTheme="minorHAnsi" w:hAnsiTheme="minorHAnsi" w:cstheme="minorHAnsi"/>
                <w:b/>
                <w:color w:val="333333"/>
                <w:sz w:val="18"/>
                <w:szCs w:val="18"/>
              </w:rPr>
            </w:pPr>
            <w:r w:rsidRPr="00F8570D">
              <w:rPr>
                <w:rFonts w:asciiTheme="minorHAnsi" w:hAnsiTheme="minorHAnsi" w:cstheme="minorHAnsi"/>
                <w:b/>
                <w:sz w:val="18"/>
                <w:szCs w:val="18"/>
              </w:rPr>
              <w:t>Total</w:t>
            </w:r>
          </w:p>
        </w:tc>
        <w:tc>
          <w:tcPr>
            <w:tcW w:w="833" w:type="pct"/>
            <w:shd w:val="clear" w:color="auto" w:fill="auto"/>
          </w:tcPr>
          <w:p w14:paraId="108083F9" w14:textId="0A00107E" w:rsidR="00F8570D" w:rsidRPr="00F8570D" w:rsidRDefault="00DF6FF3" w:rsidP="00990814">
            <w:pPr>
              <w:pStyle w:val="MarginText"/>
              <w:overflowPunct w:val="0"/>
              <w:autoSpaceDE w:val="0"/>
              <w:autoSpaceDN w:val="0"/>
              <w:spacing w:before="60" w:after="60"/>
              <w:jc w:val="center"/>
              <w:textAlignment w:val="baseline"/>
              <w:rPr>
                <w:rFonts w:asciiTheme="minorHAnsi" w:hAnsiTheme="minorHAnsi" w:cstheme="minorHAnsi"/>
                <w:b/>
                <w:color w:val="333333"/>
                <w:sz w:val="18"/>
                <w:szCs w:val="18"/>
              </w:rPr>
            </w:pPr>
            <w:r>
              <w:rPr>
                <w:rFonts w:asciiTheme="minorHAnsi" w:hAnsiTheme="minorHAnsi" w:cstheme="minorHAnsi"/>
                <w:b/>
                <w:color w:val="333333"/>
                <w:sz w:val="18"/>
                <w:szCs w:val="18"/>
              </w:rPr>
              <w:t>1,460</w:t>
            </w:r>
          </w:p>
        </w:tc>
        <w:tc>
          <w:tcPr>
            <w:tcW w:w="833" w:type="pct"/>
            <w:shd w:val="clear" w:color="auto" w:fill="auto"/>
          </w:tcPr>
          <w:p w14:paraId="108083FA" w14:textId="3F85767C" w:rsidR="00F8570D" w:rsidRPr="00F8570D" w:rsidRDefault="00DF6FF3" w:rsidP="00990814">
            <w:pPr>
              <w:pStyle w:val="TableText"/>
              <w:jc w:val="center"/>
              <w:rPr>
                <w:b/>
                <w:szCs w:val="18"/>
              </w:rPr>
            </w:pPr>
            <w:r>
              <w:rPr>
                <w:b/>
                <w:szCs w:val="18"/>
              </w:rPr>
              <w:t>22,974</w:t>
            </w:r>
          </w:p>
        </w:tc>
        <w:tc>
          <w:tcPr>
            <w:tcW w:w="833" w:type="pct"/>
          </w:tcPr>
          <w:p w14:paraId="108083FB" w14:textId="7E1F3C2C" w:rsidR="00F8570D" w:rsidRPr="00F8570D" w:rsidRDefault="00DF6FF3" w:rsidP="00990814">
            <w:pPr>
              <w:pStyle w:val="MarginText"/>
              <w:overflowPunct w:val="0"/>
              <w:autoSpaceDE w:val="0"/>
              <w:autoSpaceDN w:val="0"/>
              <w:spacing w:before="60" w:after="60"/>
              <w:jc w:val="center"/>
              <w:textAlignment w:val="baseline"/>
              <w:rPr>
                <w:rFonts w:asciiTheme="minorHAnsi" w:hAnsiTheme="minorHAnsi" w:cstheme="minorHAnsi"/>
                <w:b/>
                <w:color w:val="333333"/>
                <w:sz w:val="18"/>
                <w:szCs w:val="18"/>
              </w:rPr>
            </w:pPr>
            <w:r>
              <w:rPr>
                <w:rFonts w:asciiTheme="minorHAnsi" w:hAnsiTheme="minorHAnsi" w:cstheme="minorHAnsi"/>
                <w:b/>
                <w:color w:val="333333"/>
                <w:sz w:val="18"/>
                <w:szCs w:val="18"/>
              </w:rPr>
              <w:t>24,434</w:t>
            </w:r>
          </w:p>
        </w:tc>
        <w:tc>
          <w:tcPr>
            <w:tcW w:w="833" w:type="pct"/>
          </w:tcPr>
          <w:p w14:paraId="108083FC" w14:textId="647D16B0" w:rsidR="00F8570D" w:rsidRPr="00F8570D" w:rsidRDefault="00DF6FF3" w:rsidP="00990814">
            <w:pPr>
              <w:pStyle w:val="TableText"/>
              <w:jc w:val="center"/>
              <w:rPr>
                <w:b/>
                <w:szCs w:val="18"/>
              </w:rPr>
            </w:pPr>
            <w:r>
              <w:rPr>
                <w:b/>
                <w:szCs w:val="18"/>
              </w:rPr>
              <w:t>6.0%</w:t>
            </w:r>
          </w:p>
        </w:tc>
        <w:tc>
          <w:tcPr>
            <w:tcW w:w="833" w:type="pct"/>
            <w:shd w:val="clear" w:color="auto" w:fill="auto"/>
          </w:tcPr>
          <w:p w14:paraId="108083FD" w14:textId="2DDC37A1" w:rsidR="00F8570D" w:rsidRPr="00F8570D" w:rsidRDefault="00DF6FF3" w:rsidP="00990814">
            <w:pPr>
              <w:pStyle w:val="TableText"/>
              <w:jc w:val="center"/>
              <w:rPr>
                <w:b/>
                <w:szCs w:val="18"/>
              </w:rPr>
            </w:pPr>
            <w:r>
              <w:rPr>
                <w:b/>
                <w:szCs w:val="18"/>
              </w:rPr>
              <w:t>94.0%</w:t>
            </w:r>
          </w:p>
        </w:tc>
      </w:tr>
    </w:tbl>
    <w:p w14:paraId="1080840D" w14:textId="77777777" w:rsidR="0071740C" w:rsidRPr="0034425D" w:rsidRDefault="0071740C" w:rsidP="0071740C">
      <w:pPr>
        <w:pStyle w:val="Source"/>
        <w:rPr>
          <w:color w:val="auto"/>
        </w:rPr>
      </w:pPr>
      <w:r w:rsidRPr="0034425D">
        <w:rPr>
          <w:color w:val="auto"/>
        </w:rPr>
        <w:t>CitiPower</w:t>
      </w:r>
    </w:p>
    <w:p w14:paraId="1080840E" w14:textId="5D30DF38" w:rsidR="008340AC" w:rsidRDefault="008340AC">
      <w:pPr>
        <w:pStyle w:val="MarginText"/>
        <w:rPr>
          <w:rFonts w:asciiTheme="minorHAnsi" w:hAnsiTheme="minorHAnsi" w:cstheme="minorHAnsi"/>
          <w:sz w:val="21"/>
          <w:szCs w:val="21"/>
        </w:rPr>
      </w:pPr>
      <w:r>
        <w:rPr>
          <w:rFonts w:asciiTheme="minorHAnsi" w:hAnsiTheme="minorHAnsi" w:cstheme="minorHAnsi"/>
          <w:sz w:val="21"/>
          <w:szCs w:val="21"/>
        </w:rPr>
        <w:t xml:space="preserve">Note: This notice is an approximate indication of the proportion and comparative proportion of material in CitiPower’s </w:t>
      </w:r>
      <w:r w:rsidR="0087631D">
        <w:rPr>
          <w:rFonts w:asciiTheme="minorHAnsi" w:hAnsiTheme="minorHAnsi" w:cstheme="minorHAnsi"/>
          <w:sz w:val="21"/>
          <w:szCs w:val="21"/>
        </w:rPr>
        <w:t>Revise</w:t>
      </w:r>
      <w:r w:rsidR="0087631D" w:rsidRPr="0087631D">
        <w:rPr>
          <w:rFonts w:asciiTheme="minorHAnsi" w:hAnsiTheme="minorHAnsi" w:cstheme="minorHAnsi"/>
          <w:sz w:val="21"/>
          <w:szCs w:val="21"/>
        </w:rPr>
        <w:t xml:space="preserve">d </w:t>
      </w:r>
      <w:r w:rsidRPr="0087631D">
        <w:rPr>
          <w:rFonts w:asciiTheme="minorHAnsi" w:hAnsiTheme="minorHAnsi" w:cstheme="minorHAnsi"/>
          <w:sz w:val="21"/>
          <w:szCs w:val="21"/>
        </w:rPr>
        <w:t>Regulatory Proposal respon</w:t>
      </w:r>
      <w:r>
        <w:rPr>
          <w:rFonts w:asciiTheme="minorHAnsi" w:hAnsiTheme="minorHAnsi" w:cstheme="minorHAnsi"/>
          <w:sz w:val="21"/>
          <w:szCs w:val="21"/>
        </w:rPr>
        <w:t>se that is subject to a claim of confidentiality compared to what is not.</w:t>
      </w:r>
    </w:p>
    <w:p w14:paraId="1080840F" w14:textId="77777777" w:rsidR="00887A27" w:rsidRPr="00F877FA" w:rsidRDefault="00F877FA">
      <w:pPr>
        <w:pStyle w:val="MarginText"/>
        <w:rPr>
          <w:rFonts w:asciiTheme="minorHAnsi" w:hAnsiTheme="minorHAnsi" w:cstheme="minorHAnsi"/>
          <w:sz w:val="21"/>
          <w:szCs w:val="21"/>
        </w:rPr>
      </w:pPr>
      <w:r w:rsidRPr="00F877FA">
        <w:rPr>
          <w:rFonts w:asciiTheme="minorHAnsi" w:hAnsiTheme="minorHAnsi" w:cstheme="minorHAnsi"/>
          <w:sz w:val="21"/>
          <w:szCs w:val="21"/>
        </w:rPr>
        <w:t xml:space="preserve">CitiPower consents to the AER disclosing all CitiPower's </w:t>
      </w:r>
      <w:r w:rsidR="008340AC">
        <w:rPr>
          <w:rFonts w:asciiTheme="minorHAnsi" w:hAnsiTheme="minorHAnsi" w:cstheme="minorHAnsi"/>
          <w:sz w:val="21"/>
          <w:szCs w:val="21"/>
        </w:rPr>
        <w:t>non-confidential i</w:t>
      </w:r>
      <w:r w:rsidRPr="00F877FA">
        <w:rPr>
          <w:rFonts w:asciiTheme="minorHAnsi" w:hAnsiTheme="minorHAnsi" w:cstheme="minorHAnsi"/>
          <w:sz w:val="21"/>
          <w:szCs w:val="21"/>
        </w:rPr>
        <w:t>nformation on the AER website.</w:t>
      </w:r>
    </w:p>
    <w:sectPr w:rsidR="00887A27" w:rsidRPr="00F877FA" w:rsidSect="008340AC">
      <w:headerReference w:type="default" r:id="rId11"/>
      <w:footerReference w:type="even" r:id="rId12"/>
      <w:footerReference w:type="default" r:id="rId13"/>
      <w:footerReference w:type="first" r:id="rId14"/>
      <w:endnotePr>
        <w:numFmt w:val="decimal"/>
      </w:endnotePr>
      <w:type w:val="continuous"/>
      <w:pgSz w:w="16834" w:h="11909" w:orient="landscape" w:code="9"/>
      <w:pgMar w:top="2127" w:right="1080" w:bottom="1701" w:left="1080" w:header="706" w:footer="28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08412" w14:textId="77777777" w:rsidR="001309F7" w:rsidRDefault="001309F7">
      <w:r>
        <w:separator/>
      </w:r>
    </w:p>
  </w:endnote>
  <w:endnote w:type="continuationSeparator" w:id="0">
    <w:p w14:paraId="10808413" w14:textId="77777777" w:rsidR="001309F7" w:rsidRDefault="0013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Zhongsong">
    <w:altName w:val="Arial Unicode MS"/>
    <w:charset w:val="86"/>
    <w:family w:val="auto"/>
    <w:pitch w:val="variable"/>
    <w:sig w:usb0="00000000"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08417" w14:textId="77777777" w:rsidR="002775FF" w:rsidRDefault="007B05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0808418" w14:textId="77777777" w:rsidR="002775FF" w:rsidRDefault="002775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08419" w14:textId="77777777" w:rsidR="002775FF" w:rsidRPr="00887A27" w:rsidRDefault="00887A27" w:rsidP="00887A27">
    <w:pPr>
      <w:pBdr>
        <w:top w:val="single" w:sz="4" w:space="1" w:color="auto"/>
      </w:pBdr>
      <w:tabs>
        <w:tab w:val="center" w:pos="4153"/>
        <w:tab w:val="right" w:pos="8306"/>
      </w:tabs>
    </w:pPr>
    <w:r w:rsidRPr="003B74F4">
      <w:rPr>
        <w:rFonts w:ascii="Calibri" w:hAnsi="Calibri" w:cs="Arial"/>
        <w:sz w:val="16"/>
        <w:szCs w:val="16"/>
      </w:rPr>
      <w:t xml:space="preserve">Page </w:t>
    </w:r>
    <w:r w:rsidRPr="003B74F4">
      <w:rPr>
        <w:rFonts w:ascii="Calibri" w:hAnsi="Calibri" w:cs="Arial"/>
        <w:sz w:val="16"/>
        <w:szCs w:val="16"/>
      </w:rPr>
      <w:fldChar w:fldCharType="begin"/>
    </w:r>
    <w:r w:rsidRPr="003B74F4">
      <w:rPr>
        <w:rFonts w:ascii="Calibri" w:hAnsi="Calibri" w:cs="Arial"/>
        <w:sz w:val="16"/>
        <w:szCs w:val="16"/>
      </w:rPr>
      <w:instrText xml:space="preserve"> PAGE </w:instrText>
    </w:r>
    <w:r w:rsidRPr="003B74F4">
      <w:rPr>
        <w:rFonts w:ascii="Calibri" w:hAnsi="Calibri" w:cs="Arial"/>
        <w:sz w:val="16"/>
        <w:szCs w:val="16"/>
      </w:rPr>
      <w:fldChar w:fldCharType="separate"/>
    </w:r>
    <w:r w:rsidR="002D0F26">
      <w:rPr>
        <w:rFonts w:ascii="Calibri" w:hAnsi="Calibri" w:cs="Arial"/>
        <w:noProof/>
        <w:sz w:val="16"/>
        <w:szCs w:val="16"/>
      </w:rPr>
      <w:t>1</w:t>
    </w:r>
    <w:r w:rsidRPr="003B74F4">
      <w:rPr>
        <w:rFonts w:ascii="Calibri" w:hAnsi="Calibri" w:cs="Arial"/>
        <w:sz w:val="16"/>
        <w:szCs w:val="16"/>
      </w:rPr>
      <w:fldChar w:fldCharType="end"/>
    </w:r>
    <w:r w:rsidRPr="003B74F4">
      <w:rPr>
        <w:rFonts w:ascii="Calibri" w:hAnsi="Calibri" w:cs="Arial"/>
        <w:sz w:val="16"/>
        <w:szCs w:val="16"/>
      </w:rPr>
      <w:t xml:space="preserve"> of </w:t>
    </w:r>
    <w:r w:rsidRPr="003B74F4">
      <w:rPr>
        <w:rFonts w:ascii="Calibri" w:hAnsi="Calibri" w:cs="Arial"/>
        <w:sz w:val="16"/>
        <w:szCs w:val="16"/>
      </w:rPr>
      <w:fldChar w:fldCharType="begin"/>
    </w:r>
    <w:r w:rsidRPr="003B74F4">
      <w:rPr>
        <w:rFonts w:ascii="Calibri" w:hAnsi="Calibri" w:cs="Arial"/>
        <w:sz w:val="16"/>
        <w:szCs w:val="16"/>
      </w:rPr>
      <w:instrText xml:space="preserve"> NUMPAGES </w:instrText>
    </w:r>
    <w:r w:rsidRPr="003B74F4">
      <w:rPr>
        <w:rFonts w:ascii="Calibri" w:hAnsi="Calibri" w:cs="Arial"/>
        <w:sz w:val="16"/>
        <w:szCs w:val="16"/>
      </w:rPr>
      <w:fldChar w:fldCharType="separate"/>
    </w:r>
    <w:r w:rsidR="002D0F26">
      <w:rPr>
        <w:rFonts w:ascii="Calibri" w:hAnsi="Calibri" w:cs="Arial"/>
        <w:noProof/>
        <w:sz w:val="16"/>
        <w:szCs w:val="16"/>
      </w:rPr>
      <w:t>14</w:t>
    </w:r>
    <w:r w:rsidRPr="003B74F4">
      <w:rPr>
        <w:rFonts w:ascii="Calibri" w:hAnsi="Calibri"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0841A" w14:textId="77777777" w:rsidR="002775FF" w:rsidRDefault="002775FF">
    <w:pPr>
      <w:pStyle w:val="Footer"/>
      <w:pBdr>
        <w:top w:val="single" w:sz="6"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08410" w14:textId="77777777" w:rsidR="001309F7" w:rsidRDefault="001309F7">
      <w:r>
        <w:separator/>
      </w:r>
    </w:p>
  </w:footnote>
  <w:footnote w:type="continuationSeparator" w:id="0">
    <w:p w14:paraId="10808411" w14:textId="77777777" w:rsidR="001309F7" w:rsidRDefault="00130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08414" w14:textId="1052AF8B" w:rsidR="00887A27" w:rsidRPr="00515615" w:rsidRDefault="00887A27" w:rsidP="005F1795">
    <w:pPr>
      <w:pStyle w:val="Header"/>
      <w:spacing w:after="0" w:line="240" w:lineRule="auto"/>
      <w:rPr>
        <w:rFonts w:asciiTheme="minorHAnsi" w:hAnsiTheme="minorHAnsi" w:cstheme="minorHAnsi"/>
        <w:b/>
        <w:color w:val="1E398D"/>
        <w:sz w:val="28"/>
        <w:szCs w:val="28"/>
      </w:rPr>
    </w:pPr>
    <w:r w:rsidRPr="00515615">
      <w:rPr>
        <w:rFonts w:asciiTheme="minorHAnsi" w:hAnsiTheme="minorHAnsi" w:cstheme="minorHAnsi"/>
        <w:b/>
        <w:color w:val="1E398D"/>
        <w:sz w:val="28"/>
        <w:szCs w:val="28"/>
      </w:rPr>
      <w:t>C</w:t>
    </w:r>
    <w:r w:rsidR="00B910A1">
      <w:rPr>
        <w:rFonts w:asciiTheme="minorHAnsi" w:hAnsiTheme="minorHAnsi" w:cstheme="minorHAnsi"/>
        <w:b/>
        <w:color w:val="1E398D"/>
        <w:sz w:val="28"/>
        <w:szCs w:val="28"/>
      </w:rPr>
      <w:t>itiPower Pty</w:t>
    </w:r>
    <w:r w:rsidR="0087631D">
      <w:rPr>
        <w:rFonts w:asciiTheme="minorHAnsi" w:hAnsiTheme="minorHAnsi" w:cstheme="minorHAnsi"/>
        <w:b/>
        <w:color w:val="1E398D"/>
        <w:sz w:val="28"/>
        <w:szCs w:val="28"/>
      </w:rPr>
      <w:t xml:space="preserve"> Ltd</w:t>
    </w:r>
  </w:p>
  <w:p w14:paraId="10808415" w14:textId="2E165D4E" w:rsidR="005F1795" w:rsidRPr="00515615" w:rsidRDefault="005F1795" w:rsidP="005F1795">
    <w:pPr>
      <w:pStyle w:val="Header"/>
      <w:spacing w:after="0" w:line="240" w:lineRule="auto"/>
      <w:rPr>
        <w:rFonts w:asciiTheme="minorHAnsi" w:hAnsiTheme="minorHAnsi" w:cstheme="minorHAnsi"/>
        <w:b/>
        <w:color w:val="1E398D"/>
        <w:sz w:val="28"/>
        <w:szCs w:val="28"/>
      </w:rPr>
    </w:pPr>
    <w:r w:rsidRPr="00515615">
      <w:rPr>
        <w:rFonts w:asciiTheme="minorHAnsi" w:hAnsiTheme="minorHAnsi" w:cstheme="minorHAnsi"/>
        <w:b/>
        <w:color w:val="1E398D"/>
        <w:sz w:val="28"/>
        <w:szCs w:val="28"/>
      </w:rPr>
      <w:t>2</w:t>
    </w:r>
    <w:r w:rsidR="00887A27" w:rsidRPr="00515615">
      <w:rPr>
        <w:rFonts w:asciiTheme="minorHAnsi" w:hAnsiTheme="minorHAnsi" w:cstheme="minorHAnsi"/>
        <w:b/>
        <w:color w:val="1E398D"/>
        <w:sz w:val="28"/>
        <w:szCs w:val="28"/>
      </w:rPr>
      <w:t xml:space="preserve">016-2020 </w:t>
    </w:r>
    <w:r w:rsidR="0087631D">
      <w:rPr>
        <w:rFonts w:asciiTheme="minorHAnsi" w:hAnsiTheme="minorHAnsi" w:cstheme="minorHAnsi"/>
        <w:b/>
        <w:color w:val="1E398D"/>
        <w:sz w:val="28"/>
        <w:szCs w:val="28"/>
      </w:rPr>
      <w:t>Revised Regulatory Proposal</w:t>
    </w:r>
  </w:p>
  <w:p w14:paraId="10808416" w14:textId="77777777" w:rsidR="00515615" w:rsidRPr="00515615" w:rsidRDefault="00515615" w:rsidP="005F1795">
    <w:pPr>
      <w:pStyle w:val="Header"/>
      <w:spacing w:after="0" w:line="240" w:lineRule="auto"/>
      <w:rPr>
        <w:rFonts w:asciiTheme="minorHAnsi" w:hAnsiTheme="minorHAnsi" w:cstheme="minorHAnsi"/>
        <w:b/>
        <w:color w:val="1E398D"/>
        <w:sz w:val="28"/>
        <w:szCs w:val="28"/>
      </w:rPr>
    </w:pPr>
    <w:r w:rsidRPr="00515615">
      <w:rPr>
        <w:rFonts w:asciiTheme="minorHAnsi" w:hAnsiTheme="minorHAnsi" w:cstheme="minorHAnsi"/>
        <w:b/>
        <w:color w:val="1E398D"/>
        <w:sz w:val="28"/>
        <w:szCs w:val="28"/>
      </w:rPr>
      <w:t>Confidentiality Claim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74A10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B201A3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4AC1BC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9AC7C6"/>
    <w:lvl w:ilvl="0">
      <w:start w:val="1"/>
      <w:numFmt w:val="decimal"/>
      <w:pStyle w:val="ListNumber2"/>
      <w:lvlText w:val="%1."/>
      <w:lvlJc w:val="left"/>
      <w:pPr>
        <w:tabs>
          <w:tab w:val="num" w:pos="643"/>
        </w:tabs>
        <w:ind w:left="643" w:hanging="360"/>
      </w:pPr>
    </w:lvl>
  </w:abstractNum>
  <w:abstractNum w:abstractNumId="4">
    <w:nsid w:val="FFFFFF82"/>
    <w:multiLevelType w:val="singleLevel"/>
    <w:tmpl w:val="90C68630"/>
    <w:lvl w:ilvl="0">
      <w:start w:val="1"/>
      <w:numFmt w:val="bullet"/>
      <w:lvlText w:val="–"/>
      <w:lvlJc w:val="left"/>
      <w:pPr>
        <w:ind w:left="1040" w:hanging="360"/>
      </w:pPr>
      <w:rPr>
        <w:rFonts w:ascii="Calibri" w:hAnsi="Calibri" w:hint="default"/>
      </w:rPr>
    </w:lvl>
  </w:abstractNum>
  <w:abstractNum w:abstractNumId="5">
    <w:nsid w:val="FFFFFF88"/>
    <w:multiLevelType w:val="singleLevel"/>
    <w:tmpl w:val="57721562"/>
    <w:lvl w:ilvl="0">
      <w:start w:val="1"/>
      <w:numFmt w:val="decimal"/>
      <w:pStyle w:val="ListNumber"/>
      <w:lvlText w:val="%1."/>
      <w:lvlJc w:val="left"/>
      <w:pPr>
        <w:tabs>
          <w:tab w:val="num" w:pos="360"/>
        </w:tabs>
        <w:ind w:left="360" w:hanging="360"/>
      </w:pPr>
    </w:lvl>
  </w:abstractNum>
  <w:abstractNum w:abstractNumId="6">
    <w:nsid w:val="FFFFFFFE"/>
    <w:multiLevelType w:val="singleLevel"/>
    <w:tmpl w:val="31E0C652"/>
    <w:lvl w:ilvl="0">
      <w:numFmt w:val="bullet"/>
      <w:lvlText w:val="*"/>
      <w:lvlJc w:val="left"/>
    </w:lvl>
  </w:abstractNum>
  <w:abstractNum w:abstractNumId="7">
    <w:nsid w:val="04723DB5"/>
    <w:multiLevelType w:val="multilevel"/>
    <w:tmpl w:val="DECCE6BE"/>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nsid w:val="054A0B0E"/>
    <w:multiLevelType w:val="multilevel"/>
    <w:tmpl w:val="A754D258"/>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8501C54"/>
    <w:multiLevelType w:val="hybridMultilevel"/>
    <w:tmpl w:val="0B540A7E"/>
    <w:lvl w:ilvl="0" w:tplc="0C09000F">
      <w:start w:val="1"/>
      <w:numFmt w:val="decimal"/>
      <w:pStyle w:val="para0bulle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0A977122"/>
    <w:multiLevelType w:val="multilevel"/>
    <w:tmpl w:val="3112F87C"/>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440"/>
        </w:tabs>
        <w:ind w:left="1440" w:hanging="720"/>
      </w:pPr>
      <w:rPr>
        <w:caps w:val="0"/>
        <w:effect w:val="none"/>
      </w:rPr>
    </w:lvl>
    <w:lvl w:ilvl="2">
      <w:start w:val="1"/>
      <w:numFmt w:val="decimal"/>
      <w:lvlText w:val="%1.%2.%3"/>
      <w:lvlJc w:val="left"/>
      <w:pPr>
        <w:tabs>
          <w:tab w:val="num" w:pos="2520"/>
        </w:tabs>
        <w:ind w:left="2520" w:hanging="72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none"/>
      <w:lvlText w:val=""/>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1">
    <w:nsid w:val="0B4471B6"/>
    <w:multiLevelType w:val="multilevel"/>
    <w:tmpl w:val="8EEC567C"/>
    <w:lvl w:ilvl="0">
      <w:start w:val="1"/>
      <w:numFmt w:val="none"/>
      <w:pStyle w:val="Source"/>
      <w:lvlText w:val="Source:"/>
      <w:lvlJc w:val="left"/>
      <w:pPr>
        <w:tabs>
          <w:tab w:val="num" w:pos="567"/>
        </w:tabs>
        <w:ind w:left="567" w:hanging="567"/>
      </w:pPr>
      <w:rPr>
        <w:b w:val="0"/>
        <w:bCs w:val="0"/>
        <w:i w:val="0"/>
        <w:iCs w:val="0"/>
        <w:caps w:val="0"/>
        <w:smallCaps w:val="0"/>
        <w:strike w:val="0"/>
        <w:dstrike w:val="0"/>
        <w:noProof w:val="0"/>
        <w:vanish w:val="0"/>
        <w:color w:val="000000"/>
        <w:spacing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nsid w:val="0C513322"/>
    <w:multiLevelType w:val="multilevel"/>
    <w:tmpl w:val="D1C06560"/>
    <w:name w:val="Plato General Level List"/>
    <w:lvl w:ilvl="0">
      <w:start w:val="1"/>
      <w:numFmt w:val="decimal"/>
      <w:pStyle w:val="Generallevel1"/>
      <w:lvlText w:val="%1."/>
      <w:lvlJc w:val="left"/>
      <w:pPr>
        <w:tabs>
          <w:tab w:val="num" w:pos="720"/>
        </w:tabs>
        <w:ind w:left="720" w:hanging="720"/>
      </w:pPr>
      <w:rPr>
        <w:caps w:val="0"/>
        <w:effect w:val="none"/>
      </w:rPr>
    </w:lvl>
    <w:lvl w:ilvl="1">
      <w:start w:val="1"/>
      <w:numFmt w:val="decimal"/>
      <w:pStyle w:val="Generallevel2"/>
      <w:lvlText w:val="%1.%2"/>
      <w:lvlJc w:val="left"/>
      <w:pPr>
        <w:tabs>
          <w:tab w:val="num" w:pos="1800"/>
        </w:tabs>
        <w:ind w:left="1800" w:hanging="1080"/>
      </w:pPr>
      <w:rPr>
        <w:caps w:val="0"/>
        <w:effect w:val="none"/>
      </w:rPr>
    </w:lvl>
    <w:lvl w:ilvl="2">
      <w:start w:val="1"/>
      <w:numFmt w:val="decimal"/>
      <w:pStyle w:val="Generallevel3"/>
      <w:lvlText w:val="%1.%2.%3"/>
      <w:lvlJc w:val="left"/>
      <w:pPr>
        <w:tabs>
          <w:tab w:val="num" w:pos="2880"/>
        </w:tabs>
        <w:ind w:left="2880" w:hanging="1080"/>
      </w:pPr>
      <w:rPr>
        <w:caps w:val="0"/>
        <w:effect w:val="none"/>
      </w:rPr>
    </w:lvl>
    <w:lvl w:ilvl="3">
      <w:start w:val="1"/>
      <w:numFmt w:val="lowerLetter"/>
      <w:pStyle w:val="Generallevel4"/>
      <w:lvlText w:val="(%4)"/>
      <w:lvlJc w:val="left"/>
      <w:pPr>
        <w:tabs>
          <w:tab w:val="num" w:pos="3600"/>
        </w:tabs>
        <w:ind w:left="3600" w:hanging="720"/>
      </w:pPr>
      <w:rPr>
        <w:caps w:val="0"/>
        <w:effect w:val="none"/>
      </w:rPr>
    </w:lvl>
    <w:lvl w:ilvl="4">
      <w:start w:val="1"/>
      <w:numFmt w:val="lowerRoman"/>
      <w:pStyle w:val="Generallevel5"/>
      <w:lvlText w:val="(%5)"/>
      <w:lvlJc w:val="left"/>
      <w:pPr>
        <w:tabs>
          <w:tab w:val="num" w:pos="4320"/>
        </w:tabs>
        <w:ind w:left="4320" w:hanging="720"/>
      </w:pPr>
      <w:rPr>
        <w:caps w:val="0"/>
        <w:effect w:val="none"/>
      </w:rPr>
    </w:lvl>
    <w:lvl w:ilvl="5">
      <w:start w:val="1"/>
      <w:numFmt w:val="decimal"/>
      <w:pStyle w:val="Generallevel6"/>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F874EEC"/>
    <w:multiLevelType w:val="multilevel"/>
    <w:tmpl w:val="1AEC4B66"/>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3597CF9"/>
    <w:multiLevelType w:val="multilevel"/>
    <w:tmpl w:val="B478DFE6"/>
    <w:numStyleLink w:val="AERnumberedlist"/>
  </w:abstractNum>
  <w:abstractNum w:abstractNumId="15">
    <w:nsid w:val="1E5904B1"/>
    <w:multiLevelType w:val="multilevel"/>
    <w:tmpl w:val="AC08368E"/>
    <w:lvl w:ilvl="0">
      <w:start w:val="1"/>
      <w:numFmt w:val="decimal"/>
      <w:lvlRestart w:val="0"/>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6">
    <w:nsid w:val="21AD1096"/>
    <w:multiLevelType w:val="multilevel"/>
    <w:tmpl w:val="B2AACF4C"/>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8FC0863"/>
    <w:multiLevelType w:val="multilevel"/>
    <w:tmpl w:val="B0346E18"/>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C5B5953"/>
    <w:multiLevelType w:val="multilevel"/>
    <w:tmpl w:val="CE6244D2"/>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D583D1F"/>
    <w:multiLevelType w:val="multilevel"/>
    <w:tmpl w:val="74904E94"/>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800"/>
        </w:tabs>
        <w:ind w:left="1800" w:hanging="1080"/>
      </w:pPr>
      <w:rPr>
        <w:rFonts w:ascii="Symbol" w:hAnsi="Symbol" w:hint="default"/>
        <w:caps w:val="0"/>
        <w:effect w:val="none"/>
      </w:rPr>
    </w:lvl>
    <w:lvl w:ilvl="3">
      <w:start w:val="1"/>
      <w:numFmt w:val="bullet"/>
      <w:pStyle w:val="ListBullet4"/>
      <w:lvlText w:val="·"/>
      <w:lvlJc w:val="left"/>
      <w:pPr>
        <w:tabs>
          <w:tab w:val="num" w:pos="2880"/>
        </w:tabs>
        <w:ind w:left="2880" w:hanging="108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bullet"/>
      <w:pStyle w:val="ListBullet6"/>
      <w:lvlText w:val="·"/>
      <w:lvlJc w:val="left"/>
      <w:pPr>
        <w:tabs>
          <w:tab w:val="num" w:pos="4320"/>
        </w:tabs>
        <w:ind w:left="4320" w:hanging="720"/>
      </w:pPr>
      <w:rPr>
        <w:rFonts w:ascii="Symbol" w:hAnsi="Symbol" w:hint="default"/>
        <w:caps w:val="0"/>
        <w:effect w:val="none"/>
      </w:rPr>
    </w:lvl>
    <w:lvl w:ilvl="6">
      <w:start w:val="1"/>
      <w:numFmt w:val="bullet"/>
      <w:pStyle w:val="ListBullet7"/>
      <w:lvlText w:val="·"/>
      <w:lvlJc w:val="left"/>
      <w:pPr>
        <w:tabs>
          <w:tab w:val="num" w:pos="5040"/>
        </w:tabs>
        <w:ind w:left="5040" w:hanging="720"/>
      </w:pPr>
      <w:rPr>
        <w:rFonts w:ascii="Symbol" w:hAnsi="Symbol" w:hint="default"/>
        <w:caps w:val="0"/>
        <w:effect w:val="none"/>
      </w:rPr>
    </w:lvl>
    <w:lvl w:ilvl="7">
      <w:start w:val="1"/>
      <w:numFmt w:val="bullet"/>
      <w:pStyle w:val="ListBullet8"/>
      <w:lvlText w:val=""/>
      <w:lvlJc w:val="left"/>
      <w:pPr>
        <w:tabs>
          <w:tab w:val="num" w:pos="5040"/>
        </w:tabs>
        <w:ind w:left="5040" w:hanging="720"/>
      </w:pPr>
      <w:rPr>
        <w:caps w:val="0"/>
        <w:effect w:val="none"/>
      </w:rPr>
    </w:lvl>
    <w:lvl w:ilvl="8">
      <w:start w:val="1"/>
      <w:numFmt w:val="bullet"/>
      <w:pStyle w:val="ListBullet9"/>
      <w:lvlText w:val=""/>
      <w:lvlJc w:val="left"/>
      <w:pPr>
        <w:tabs>
          <w:tab w:val="num" w:pos="5040"/>
        </w:tabs>
        <w:ind w:left="5040" w:hanging="720"/>
      </w:pPr>
      <w:rPr>
        <w:caps w:val="0"/>
        <w:effect w:val="none"/>
      </w:rPr>
    </w:lvl>
  </w:abstractNum>
  <w:abstractNum w:abstractNumId="20">
    <w:nsid w:val="2FC4228B"/>
    <w:multiLevelType w:val="multilevel"/>
    <w:tmpl w:val="D4904E46"/>
    <w:name w:val="Plato General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FD942BB"/>
    <w:multiLevelType w:val="multilevel"/>
    <w:tmpl w:val="8520A824"/>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1B52749"/>
    <w:multiLevelType w:val="multilevel"/>
    <w:tmpl w:val="CDC0E4EA"/>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54C57B6"/>
    <w:multiLevelType w:val="multilevel"/>
    <w:tmpl w:val="BCAA7C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7916463"/>
    <w:multiLevelType w:val="multilevel"/>
    <w:tmpl w:val="8806F4A2"/>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6">
    <w:nsid w:val="3D8F48D0"/>
    <w:multiLevelType w:val="multilevel"/>
    <w:tmpl w:val="634A7DB4"/>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27">
    <w:nsid w:val="4BDD15C3"/>
    <w:multiLevelType w:val="multilevel"/>
    <w:tmpl w:val="851C0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41C7FD2"/>
    <w:multiLevelType w:val="multilevel"/>
    <w:tmpl w:val="0CD0FA10"/>
    <w:name w:val="Definition Numbering List"/>
    <w:lvl w:ilvl="0">
      <w:start w:val="1"/>
      <w:numFmt w:val="lowerLetter"/>
      <w:pStyle w:val="DefinitionNumbering1"/>
      <w:lvlText w:val="(%1)"/>
      <w:lvlJc w:val="left"/>
      <w:pPr>
        <w:tabs>
          <w:tab w:val="num" w:pos="1800"/>
        </w:tabs>
        <w:ind w:left="1800" w:hanging="1080"/>
      </w:pPr>
      <w:rPr>
        <w:caps w:val="0"/>
        <w:effect w:val="none"/>
      </w:rPr>
    </w:lvl>
    <w:lvl w:ilvl="1">
      <w:start w:val="1"/>
      <w:numFmt w:val="lowerRoman"/>
      <w:pStyle w:val="DefinitionNumbering2"/>
      <w:lvlText w:val="(%2)"/>
      <w:lvlJc w:val="left"/>
      <w:pPr>
        <w:tabs>
          <w:tab w:val="num" w:pos="2880"/>
        </w:tabs>
        <w:ind w:left="2880" w:hanging="1080"/>
      </w:pPr>
      <w:rPr>
        <w:caps w:val="0"/>
        <w:effect w:val="none"/>
      </w:rPr>
    </w:lvl>
    <w:lvl w:ilvl="2">
      <w:start w:val="1"/>
      <w:numFmt w:val="upperLetter"/>
      <w:pStyle w:val="DefinitionNumbering3"/>
      <w:lvlText w:val="(%3)"/>
      <w:lvlJc w:val="left"/>
      <w:pPr>
        <w:tabs>
          <w:tab w:val="num" w:pos="3600"/>
        </w:tabs>
        <w:ind w:left="3600" w:hanging="720"/>
      </w:pPr>
      <w:rPr>
        <w:caps w:val="0"/>
        <w:effect w:val="none"/>
      </w:rPr>
    </w:lvl>
    <w:lvl w:ilvl="3">
      <w:start w:val="1"/>
      <w:numFmt w:val="none"/>
      <w:pStyle w:val="DefinitionNumbering4"/>
      <w:lvlText w:val=""/>
      <w:lvlJc w:val="left"/>
      <w:pPr>
        <w:tabs>
          <w:tab w:val="num" w:pos="2880"/>
        </w:tabs>
        <w:ind w:left="2880" w:hanging="1080"/>
      </w:pPr>
      <w:rPr>
        <w:caps w:val="0"/>
        <w:effect w:val="none"/>
      </w:rPr>
    </w:lvl>
    <w:lvl w:ilvl="4">
      <w:start w:val="1"/>
      <w:numFmt w:val="none"/>
      <w:pStyle w:val="DefinitionNumbering5"/>
      <w:lvlText w:val=""/>
      <w:lvlJc w:val="left"/>
      <w:pPr>
        <w:tabs>
          <w:tab w:val="num" w:pos="2880"/>
        </w:tabs>
        <w:ind w:left="2880" w:hanging="1080"/>
      </w:pPr>
      <w:rPr>
        <w:caps w:val="0"/>
        <w:effect w:val="none"/>
      </w:rPr>
    </w:lvl>
    <w:lvl w:ilvl="5">
      <w:start w:val="1"/>
      <w:numFmt w:val="none"/>
      <w:pStyle w:val="DefinitionNumbering6"/>
      <w:lvlText w:val=""/>
      <w:lvlJc w:val="left"/>
      <w:pPr>
        <w:tabs>
          <w:tab w:val="num" w:pos="2880"/>
        </w:tabs>
        <w:ind w:left="2880" w:hanging="1080"/>
      </w:pPr>
      <w:rPr>
        <w:caps w:val="0"/>
        <w:effect w:val="none"/>
      </w:rPr>
    </w:lvl>
    <w:lvl w:ilvl="6">
      <w:start w:val="1"/>
      <w:numFmt w:val="none"/>
      <w:pStyle w:val="DefinitionNumbering7"/>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0">
    <w:nsid w:val="54B84EF0"/>
    <w:multiLevelType w:val="multilevel"/>
    <w:tmpl w:val="1A60469A"/>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0382068"/>
    <w:multiLevelType w:val="multilevel"/>
    <w:tmpl w:val="927C1DA0"/>
    <w:name w:val="Plato Heading List"/>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32">
    <w:nsid w:val="6815379B"/>
    <w:multiLevelType w:val="multilevel"/>
    <w:tmpl w:val="3C84FB92"/>
    <w:lvl w:ilvl="0">
      <w:start w:val="1"/>
      <w:numFmt w:val="decimal"/>
      <w:suff w:val="space"/>
      <w:lvlText w:val="APPENDIX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33">
    <w:nsid w:val="6F3E6F69"/>
    <w:multiLevelType w:val="multilevel"/>
    <w:tmpl w:val="E9726A1A"/>
    <w:lvl w:ilvl="0">
      <w:start w:val="1"/>
      <w:numFmt w:val="upperLetter"/>
      <w:lvlRestart w:val="0"/>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4">
    <w:nsid w:val="73D329E2"/>
    <w:multiLevelType w:val="multilevel"/>
    <w:tmpl w:val="23783F1A"/>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4257379"/>
    <w:multiLevelType w:val="hybridMultilevel"/>
    <w:tmpl w:val="667E81A4"/>
    <w:lvl w:ilvl="0" w:tplc="FA1822E2">
      <w:start w:val="1"/>
      <w:numFmt w:val="bullet"/>
      <w:lvlText w:val="•"/>
      <w:lvlJc w:val="left"/>
      <w:pPr>
        <w:tabs>
          <w:tab w:val="num" w:pos="360"/>
        </w:tabs>
        <w:ind w:left="360" w:hanging="360"/>
      </w:pPr>
      <w:rPr>
        <w:rFonts w:ascii="Arial" w:hAnsi="Arial" w:hint="default"/>
      </w:rPr>
    </w:lvl>
    <w:lvl w:ilvl="1" w:tplc="89D2B644" w:tentative="1">
      <w:start w:val="1"/>
      <w:numFmt w:val="bullet"/>
      <w:lvlText w:val="•"/>
      <w:lvlJc w:val="left"/>
      <w:pPr>
        <w:tabs>
          <w:tab w:val="num" w:pos="1080"/>
        </w:tabs>
        <w:ind w:left="1080" w:hanging="360"/>
      </w:pPr>
      <w:rPr>
        <w:rFonts w:ascii="Arial" w:hAnsi="Arial" w:hint="default"/>
      </w:rPr>
    </w:lvl>
    <w:lvl w:ilvl="2" w:tplc="F52EB0A2" w:tentative="1">
      <w:start w:val="1"/>
      <w:numFmt w:val="bullet"/>
      <w:lvlText w:val="•"/>
      <w:lvlJc w:val="left"/>
      <w:pPr>
        <w:tabs>
          <w:tab w:val="num" w:pos="1800"/>
        </w:tabs>
        <w:ind w:left="1800" w:hanging="360"/>
      </w:pPr>
      <w:rPr>
        <w:rFonts w:ascii="Arial" w:hAnsi="Arial" w:hint="default"/>
      </w:rPr>
    </w:lvl>
    <w:lvl w:ilvl="3" w:tplc="BD60B0CA" w:tentative="1">
      <w:start w:val="1"/>
      <w:numFmt w:val="bullet"/>
      <w:lvlText w:val="•"/>
      <w:lvlJc w:val="left"/>
      <w:pPr>
        <w:tabs>
          <w:tab w:val="num" w:pos="2520"/>
        </w:tabs>
        <w:ind w:left="2520" w:hanging="360"/>
      </w:pPr>
      <w:rPr>
        <w:rFonts w:ascii="Arial" w:hAnsi="Arial" w:hint="default"/>
      </w:rPr>
    </w:lvl>
    <w:lvl w:ilvl="4" w:tplc="A30A5D8A" w:tentative="1">
      <w:start w:val="1"/>
      <w:numFmt w:val="bullet"/>
      <w:lvlText w:val="•"/>
      <w:lvlJc w:val="left"/>
      <w:pPr>
        <w:tabs>
          <w:tab w:val="num" w:pos="3240"/>
        </w:tabs>
        <w:ind w:left="3240" w:hanging="360"/>
      </w:pPr>
      <w:rPr>
        <w:rFonts w:ascii="Arial" w:hAnsi="Arial" w:hint="default"/>
      </w:rPr>
    </w:lvl>
    <w:lvl w:ilvl="5" w:tplc="0EDC4F2C" w:tentative="1">
      <w:start w:val="1"/>
      <w:numFmt w:val="bullet"/>
      <w:lvlText w:val="•"/>
      <w:lvlJc w:val="left"/>
      <w:pPr>
        <w:tabs>
          <w:tab w:val="num" w:pos="3960"/>
        </w:tabs>
        <w:ind w:left="3960" w:hanging="360"/>
      </w:pPr>
      <w:rPr>
        <w:rFonts w:ascii="Arial" w:hAnsi="Arial" w:hint="default"/>
      </w:rPr>
    </w:lvl>
    <w:lvl w:ilvl="6" w:tplc="C0563E94" w:tentative="1">
      <w:start w:val="1"/>
      <w:numFmt w:val="bullet"/>
      <w:lvlText w:val="•"/>
      <w:lvlJc w:val="left"/>
      <w:pPr>
        <w:tabs>
          <w:tab w:val="num" w:pos="4680"/>
        </w:tabs>
        <w:ind w:left="4680" w:hanging="360"/>
      </w:pPr>
      <w:rPr>
        <w:rFonts w:ascii="Arial" w:hAnsi="Arial" w:hint="default"/>
      </w:rPr>
    </w:lvl>
    <w:lvl w:ilvl="7" w:tplc="3104BE4E" w:tentative="1">
      <w:start w:val="1"/>
      <w:numFmt w:val="bullet"/>
      <w:lvlText w:val="•"/>
      <w:lvlJc w:val="left"/>
      <w:pPr>
        <w:tabs>
          <w:tab w:val="num" w:pos="5400"/>
        </w:tabs>
        <w:ind w:left="5400" w:hanging="360"/>
      </w:pPr>
      <w:rPr>
        <w:rFonts w:ascii="Arial" w:hAnsi="Arial" w:hint="default"/>
      </w:rPr>
    </w:lvl>
    <w:lvl w:ilvl="8" w:tplc="4996763C" w:tentative="1">
      <w:start w:val="1"/>
      <w:numFmt w:val="bullet"/>
      <w:lvlText w:val="•"/>
      <w:lvlJc w:val="left"/>
      <w:pPr>
        <w:tabs>
          <w:tab w:val="num" w:pos="6120"/>
        </w:tabs>
        <w:ind w:left="6120" w:hanging="360"/>
      </w:pPr>
      <w:rPr>
        <w:rFonts w:ascii="Arial" w:hAnsi="Arial" w:hint="default"/>
      </w:rPr>
    </w:lvl>
  </w:abstractNum>
  <w:abstractNum w:abstractNumId="36">
    <w:nsid w:val="7CC30636"/>
    <w:multiLevelType w:val="multilevel"/>
    <w:tmpl w:val="D5AA6B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D365547"/>
    <w:multiLevelType w:val="multilevel"/>
    <w:tmpl w:val="2D08FE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25"/>
  </w:num>
  <w:num w:numId="3">
    <w:abstractNumId w:val="31"/>
  </w:num>
  <w:num w:numId="4">
    <w:abstractNumId w:val="21"/>
  </w:num>
  <w:num w:numId="5">
    <w:abstractNumId w:val="32"/>
  </w:num>
  <w:num w:numId="6">
    <w:abstractNumId w:val="29"/>
  </w:num>
  <w:num w:numId="7">
    <w:abstractNumId w:val="26"/>
  </w:num>
  <w:num w:numId="8">
    <w:abstractNumId w:val="19"/>
  </w:num>
  <w:num w:numId="9">
    <w:abstractNumId w:val="33"/>
  </w:num>
  <w:num w:numId="10">
    <w:abstractNumId w:val="7"/>
  </w:num>
  <w:num w:numId="11">
    <w:abstractNumId w:val="10"/>
  </w:num>
  <w:num w:numId="12">
    <w:abstractNumId w:val="27"/>
  </w:num>
  <w:num w:numId="13">
    <w:abstractNumId w:val="34"/>
  </w:num>
  <w:num w:numId="14">
    <w:abstractNumId w:val="17"/>
  </w:num>
  <w:num w:numId="15">
    <w:abstractNumId w:val="36"/>
  </w:num>
  <w:num w:numId="16">
    <w:abstractNumId w:val="1"/>
  </w:num>
  <w:num w:numId="17">
    <w:abstractNumId w:val="2"/>
  </w:num>
  <w:num w:numId="18">
    <w:abstractNumId w:val="3"/>
  </w:num>
  <w:num w:numId="19">
    <w:abstractNumId w:val="22"/>
  </w:num>
  <w:num w:numId="20">
    <w:abstractNumId w:val="23"/>
  </w:num>
  <w:num w:numId="21">
    <w:abstractNumId w:val="16"/>
  </w:num>
  <w:num w:numId="22">
    <w:abstractNumId w:val="13"/>
  </w:num>
  <w:num w:numId="23">
    <w:abstractNumId w:val="5"/>
  </w:num>
  <w:num w:numId="24">
    <w:abstractNumId w:val="18"/>
  </w:num>
  <w:num w:numId="25">
    <w:abstractNumId w:val="30"/>
  </w:num>
  <w:num w:numId="26">
    <w:abstractNumId w:val="20"/>
  </w:num>
  <w:num w:numId="27">
    <w:abstractNumId w:val="8"/>
  </w:num>
  <w:num w:numId="28">
    <w:abstractNumId w:val="12"/>
  </w:num>
  <w:num w:numId="29">
    <w:abstractNumId w:val="24"/>
  </w:num>
  <w:num w:numId="30">
    <w:abstractNumId w:val="0"/>
  </w:num>
  <w:num w:numId="31">
    <w:abstractNumId w:val="6"/>
    <w:lvlOverride w:ilvl="0">
      <w:lvl w:ilvl="0">
        <w:start w:val="1"/>
        <w:numFmt w:val="bullet"/>
        <w:lvlText w:val=""/>
        <w:legacy w:legacy="1" w:legacySpace="0" w:legacyIndent="720"/>
        <w:lvlJc w:val="left"/>
        <w:pPr>
          <w:ind w:left="720" w:hanging="720"/>
        </w:pPr>
        <w:rPr>
          <w:rFonts w:ascii="Symbol" w:hAnsi="Symbol" w:hint="default"/>
        </w:rPr>
      </w:lvl>
    </w:lvlOverride>
  </w:num>
  <w:num w:numId="32">
    <w:abstractNumId w:val="35"/>
  </w:num>
  <w:num w:numId="33">
    <w:abstractNumId w:val="28"/>
  </w:num>
  <w:num w:numId="34">
    <w:abstractNumId w:val="14"/>
  </w:num>
  <w:num w:numId="35">
    <w:abstractNumId w:val="37"/>
  </w:num>
  <w:num w:numId="36">
    <w:abstractNumId w:val="9"/>
  </w:num>
  <w:num w:numId="37">
    <w:abstractNumId w:val="11"/>
  </w:num>
  <w:num w:numId="3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A3"/>
    <w:rsid w:val="00047629"/>
    <w:rsid w:val="00072401"/>
    <w:rsid w:val="000A1971"/>
    <w:rsid w:val="001309F7"/>
    <w:rsid w:val="001843D4"/>
    <w:rsid w:val="00186A88"/>
    <w:rsid w:val="001C7D58"/>
    <w:rsid w:val="001E1F80"/>
    <w:rsid w:val="001F645D"/>
    <w:rsid w:val="002206E7"/>
    <w:rsid w:val="00230C20"/>
    <w:rsid w:val="00242857"/>
    <w:rsid w:val="0024496C"/>
    <w:rsid w:val="002775FF"/>
    <w:rsid w:val="002A3B1B"/>
    <w:rsid w:val="002B2842"/>
    <w:rsid w:val="002C1F54"/>
    <w:rsid w:val="002C7837"/>
    <w:rsid w:val="002D0F26"/>
    <w:rsid w:val="0034425D"/>
    <w:rsid w:val="00364282"/>
    <w:rsid w:val="00382C59"/>
    <w:rsid w:val="00385B37"/>
    <w:rsid w:val="003A1A23"/>
    <w:rsid w:val="003C3911"/>
    <w:rsid w:val="00444E2A"/>
    <w:rsid w:val="004B2AE5"/>
    <w:rsid w:val="004F25DC"/>
    <w:rsid w:val="00515615"/>
    <w:rsid w:val="0054040C"/>
    <w:rsid w:val="00562C30"/>
    <w:rsid w:val="00567942"/>
    <w:rsid w:val="0057265B"/>
    <w:rsid w:val="005E01A4"/>
    <w:rsid w:val="005F1795"/>
    <w:rsid w:val="00620532"/>
    <w:rsid w:val="00627879"/>
    <w:rsid w:val="00676E95"/>
    <w:rsid w:val="006B3959"/>
    <w:rsid w:val="006D3BEB"/>
    <w:rsid w:val="006F178F"/>
    <w:rsid w:val="0071740C"/>
    <w:rsid w:val="0076323E"/>
    <w:rsid w:val="007A2A95"/>
    <w:rsid w:val="007B053A"/>
    <w:rsid w:val="007B23B1"/>
    <w:rsid w:val="007B28A3"/>
    <w:rsid w:val="007E66F1"/>
    <w:rsid w:val="007F2CCF"/>
    <w:rsid w:val="00804AFF"/>
    <w:rsid w:val="0082239F"/>
    <w:rsid w:val="008340AC"/>
    <w:rsid w:val="0087631D"/>
    <w:rsid w:val="00887A27"/>
    <w:rsid w:val="008A788E"/>
    <w:rsid w:val="008E3752"/>
    <w:rsid w:val="008E6BA8"/>
    <w:rsid w:val="00980FA3"/>
    <w:rsid w:val="00990814"/>
    <w:rsid w:val="00996F6D"/>
    <w:rsid w:val="009D3E61"/>
    <w:rsid w:val="009E1E46"/>
    <w:rsid w:val="009F1E30"/>
    <w:rsid w:val="00A47F09"/>
    <w:rsid w:val="00A6228F"/>
    <w:rsid w:val="00AA7330"/>
    <w:rsid w:val="00B04F97"/>
    <w:rsid w:val="00B63F1B"/>
    <w:rsid w:val="00B910A1"/>
    <w:rsid w:val="00B94A53"/>
    <w:rsid w:val="00C0112A"/>
    <w:rsid w:val="00C053ED"/>
    <w:rsid w:val="00C65237"/>
    <w:rsid w:val="00C65D40"/>
    <w:rsid w:val="00CF7DF7"/>
    <w:rsid w:val="00D023AA"/>
    <w:rsid w:val="00D04927"/>
    <w:rsid w:val="00D26A0E"/>
    <w:rsid w:val="00D406A1"/>
    <w:rsid w:val="00DB3A95"/>
    <w:rsid w:val="00DD5A0E"/>
    <w:rsid w:val="00DF6FF3"/>
    <w:rsid w:val="00E80892"/>
    <w:rsid w:val="00E90562"/>
    <w:rsid w:val="00E93ECA"/>
    <w:rsid w:val="00E979FB"/>
    <w:rsid w:val="00EB4864"/>
    <w:rsid w:val="00EC6ED9"/>
    <w:rsid w:val="00ED32DF"/>
    <w:rsid w:val="00F04219"/>
    <w:rsid w:val="00F15F72"/>
    <w:rsid w:val="00F21F73"/>
    <w:rsid w:val="00F34E8D"/>
    <w:rsid w:val="00F35F13"/>
    <w:rsid w:val="00F8570D"/>
    <w:rsid w:val="00F877FA"/>
    <w:rsid w:val="00F9579B"/>
    <w:rsid w:val="00FA67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080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1" w:qFormat="1"/>
    <w:lsdException w:name="heading 8" w:uiPriority="1" w:qFormat="1"/>
    <w:lsdException w:name="heading 9" w:uiPriority="1" w:qFormat="1"/>
    <w:lsdException w:name="header" w:uiPriority="99"/>
    <w:lsdException w:name="caption" w:semiHidden="1" w:unhideWhenUsed="1" w:qFormat="1"/>
    <w:lsdException w:name="List Bullet 3" w:uiPriority="2"/>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val="en-GB" w:eastAsia="en-US"/>
    </w:rPr>
  </w:style>
  <w:style w:type="paragraph" w:styleId="Heading1">
    <w:name w:val="heading 1"/>
    <w:basedOn w:val="HouseStyleBase"/>
    <w:next w:val="MarginText"/>
    <w:qFormat/>
    <w:pPr>
      <w:keepNext/>
      <w:numPr>
        <w:numId w:val="3"/>
      </w:numPr>
      <w:outlineLvl w:val="0"/>
    </w:pPr>
    <w:rPr>
      <w:b/>
      <w:caps/>
    </w:rPr>
  </w:style>
  <w:style w:type="paragraph" w:styleId="Heading2">
    <w:name w:val="heading 2"/>
    <w:basedOn w:val="HouseStyleBaseCentred"/>
    <w:qFormat/>
    <w:pPr>
      <w:numPr>
        <w:ilvl w:val="1"/>
        <w:numId w:val="3"/>
      </w:numPr>
      <w:jc w:val="both"/>
      <w:outlineLvl w:val="1"/>
    </w:pPr>
  </w:style>
  <w:style w:type="paragraph" w:styleId="Heading3">
    <w:name w:val="heading 3"/>
    <w:basedOn w:val="HouseStyleBaseCentred"/>
    <w:qFormat/>
    <w:pPr>
      <w:numPr>
        <w:ilvl w:val="2"/>
        <w:numId w:val="3"/>
      </w:numPr>
      <w:jc w:val="both"/>
      <w:outlineLvl w:val="2"/>
    </w:pPr>
  </w:style>
  <w:style w:type="paragraph" w:styleId="Heading4">
    <w:name w:val="heading 4"/>
    <w:basedOn w:val="HouseStyleBaseCentred"/>
    <w:qFormat/>
    <w:pPr>
      <w:numPr>
        <w:ilvl w:val="3"/>
        <w:numId w:val="3"/>
      </w:numPr>
      <w:jc w:val="both"/>
      <w:outlineLvl w:val="3"/>
    </w:pPr>
  </w:style>
  <w:style w:type="paragraph" w:styleId="Heading5">
    <w:name w:val="heading 5"/>
    <w:basedOn w:val="HouseStyleBaseCentred"/>
    <w:qFormat/>
    <w:pPr>
      <w:numPr>
        <w:ilvl w:val="4"/>
        <w:numId w:val="3"/>
      </w:numPr>
      <w:jc w:val="both"/>
      <w:outlineLvl w:val="4"/>
    </w:pPr>
  </w:style>
  <w:style w:type="paragraph" w:styleId="Heading6">
    <w:name w:val="heading 6"/>
    <w:basedOn w:val="HouseStyleBaseCentred"/>
    <w:qFormat/>
    <w:pPr>
      <w:numPr>
        <w:ilvl w:val="5"/>
        <w:numId w:val="3"/>
      </w:numPr>
      <w:jc w:val="both"/>
      <w:outlineLvl w:val="5"/>
    </w:pPr>
  </w:style>
  <w:style w:type="paragraph" w:styleId="Heading7">
    <w:name w:val="heading 7"/>
    <w:basedOn w:val="HouseStyleBase"/>
    <w:uiPriority w:val="1"/>
    <w:qFormat/>
    <w:pPr>
      <w:numPr>
        <w:ilvl w:val="6"/>
        <w:numId w:val="3"/>
      </w:numPr>
      <w:outlineLvl w:val="6"/>
    </w:pPr>
  </w:style>
  <w:style w:type="paragraph" w:styleId="Heading8">
    <w:name w:val="heading 8"/>
    <w:basedOn w:val="HouseStyleBase"/>
    <w:uiPriority w:val="1"/>
    <w:qFormat/>
    <w:pPr>
      <w:numPr>
        <w:ilvl w:val="7"/>
        <w:numId w:val="3"/>
      </w:numPr>
      <w:outlineLvl w:val="7"/>
    </w:pPr>
  </w:style>
  <w:style w:type="paragraph" w:styleId="Heading9">
    <w:name w:val="heading 9"/>
    <w:basedOn w:val="HouseStyleBaseCentred"/>
    <w:uiPriority w:val="1"/>
    <w:qFormat/>
    <w:pPr>
      <w:numPr>
        <w:ilvl w:val="8"/>
        <w:numId w:val="3"/>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pPr>
      <w:ind w:left="720"/>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numPr>
        <w:numId w:val="4"/>
      </w:numPr>
      <w:jc w:val="center"/>
      <w:outlineLvl w:val="0"/>
    </w:pPr>
    <w:rPr>
      <w:b/>
      <w:caps/>
    </w:rPr>
  </w:style>
  <w:style w:type="paragraph" w:customStyle="1" w:styleId="SchSection">
    <w:name w:val="SchSection"/>
    <w:basedOn w:val="HouseStyleBaseCentred"/>
    <w:next w:val="MarginText"/>
    <w:pPr>
      <w:keepNext/>
      <w:numPr>
        <w:ilvl w:val="2"/>
        <w:numId w:val="4"/>
      </w:numPr>
      <w:jc w:val="center"/>
      <w:outlineLvl w:val="2"/>
    </w:pPr>
    <w:rPr>
      <w:b/>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Centred"/>
    <w:pPr>
      <w:numPr>
        <w:ilvl w:val="1"/>
        <w:numId w:val="8"/>
      </w:numPr>
      <w:jc w:val="both"/>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paragraph" w:styleId="TOC8">
    <w:name w:val="toc 8"/>
    <w:semiHidden/>
    <w:pPr>
      <w:tabs>
        <w:tab w:val="right" w:leader="dot" w:pos="9029"/>
      </w:tabs>
      <w:adjustRightInd w:val="0"/>
      <w:spacing w:after="120"/>
    </w:pPr>
    <w:rPr>
      <w:rFonts w:eastAsia="STZhongsong"/>
      <w:caps/>
      <w:sz w:val="22"/>
      <w:lang w:val="en-GB" w:eastAsia="zh-CN"/>
    </w:rPr>
  </w:style>
  <w:style w:type="paragraph" w:styleId="TOC9">
    <w:name w:val="toc 9"/>
    <w:semiHidden/>
    <w:pPr>
      <w:tabs>
        <w:tab w:val="right" w:leader="dot" w:pos="9029"/>
      </w:tabs>
      <w:adjustRightInd w:val="0"/>
      <w:spacing w:after="120"/>
      <w:ind w:left="720"/>
    </w:pPr>
    <w:rPr>
      <w:rFonts w:eastAsia="STZhongsong"/>
      <w:sz w:val="22"/>
      <w:lang w:val="en-GB" w:eastAsia="zh-CN"/>
    </w:r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SchPart">
    <w:name w:val="SchPart"/>
    <w:basedOn w:val="HouseStyleBaseCentred"/>
    <w:next w:val="MarginText"/>
    <w:pPr>
      <w:keepNext/>
      <w:numPr>
        <w:ilvl w:val="1"/>
        <w:numId w:val="4"/>
      </w:numPr>
      <w:jc w:val="center"/>
      <w:outlineLvl w:val="1"/>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keepNext/>
      <w:numPr>
        <w:numId w:val="13"/>
      </w:numPr>
      <w:jc w:val="center"/>
      <w:outlineLvl w:val="0"/>
    </w:pPr>
    <w:rPr>
      <w:b/>
      <w:caps/>
    </w:rPr>
  </w:style>
  <w:style w:type="paragraph" w:customStyle="1" w:styleId="AppPart">
    <w:name w:val="AppPart"/>
    <w:basedOn w:val="HouseStyleBaseCentred"/>
    <w:pPr>
      <w:keepNext/>
      <w:pageBreakBefore/>
      <w:numPr>
        <w:ilvl w:val="1"/>
        <w:numId w:val="13"/>
      </w:numPr>
      <w:jc w:val="center"/>
      <w:outlineLvl w:val="1"/>
    </w:pPr>
    <w:rPr>
      <w:b/>
    </w:rPr>
  </w:style>
  <w:style w:type="paragraph" w:customStyle="1" w:styleId="RecitalNumbering">
    <w:name w:val="Recital Numbering"/>
    <w:basedOn w:val="HouseStyleBase"/>
    <w:pPr>
      <w:numPr>
        <w:numId w:val="29"/>
      </w:numPr>
      <w:outlineLvl w:val="0"/>
    </w:pPr>
  </w:style>
  <w:style w:type="paragraph" w:customStyle="1" w:styleId="RecitalNumbering2">
    <w:name w:val="Recital Numbering 2"/>
    <w:basedOn w:val="HouseStyleBase"/>
    <w:pPr>
      <w:numPr>
        <w:ilvl w:val="1"/>
        <w:numId w:val="29"/>
      </w:numPr>
      <w:outlineLvl w:val="1"/>
    </w:pPr>
  </w:style>
  <w:style w:type="paragraph" w:customStyle="1" w:styleId="DefinitionNumbering1">
    <w:name w:val="Definition Numbering 1"/>
    <w:basedOn w:val="HouseStyleBase"/>
    <w:pPr>
      <w:numPr>
        <w:numId w:val="6"/>
      </w:numPr>
      <w:outlineLvl w:val="1"/>
    </w:pPr>
  </w:style>
  <w:style w:type="paragraph" w:customStyle="1" w:styleId="DefinitionNumbering2">
    <w:name w:val="Definition Numbering 2"/>
    <w:basedOn w:val="HouseStyleBase"/>
    <w:pPr>
      <w:numPr>
        <w:ilvl w:val="1"/>
        <w:numId w:val="6"/>
      </w:numPr>
      <w:outlineLvl w:val="1"/>
    </w:pPr>
  </w:style>
  <w:style w:type="paragraph" w:customStyle="1" w:styleId="DefinitionNumbering3">
    <w:name w:val="Definition Numbering 3"/>
    <w:basedOn w:val="HouseStyleBase"/>
    <w:pPr>
      <w:numPr>
        <w:ilvl w:val="2"/>
        <w:numId w:val="6"/>
      </w:numPr>
      <w:outlineLvl w:val="1"/>
    </w:pPr>
  </w:style>
  <w:style w:type="paragraph" w:customStyle="1" w:styleId="DefinitionNumbering4">
    <w:name w:val="Definition Numbering 4"/>
    <w:basedOn w:val="HouseStyleBase"/>
    <w:pPr>
      <w:numPr>
        <w:ilvl w:val="3"/>
        <w:numId w:val="6"/>
      </w:numPr>
      <w:outlineLvl w:val="1"/>
    </w:pPr>
  </w:style>
  <w:style w:type="paragraph" w:customStyle="1" w:styleId="DefinitionNumbering5">
    <w:name w:val="Definition Numbering 5"/>
    <w:basedOn w:val="HouseStyleBase"/>
    <w:pPr>
      <w:numPr>
        <w:ilvl w:val="4"/>
        <w:numId w:val="6"/>
      </w:numPr>
      <w:outlineLvl w:val="1"/>
    </w:pPr>
  </w:style>
  <w:style w:type="paragraph" w:customStyle="1" w:styleId="DefinitionNumbering6">
    <w:name w:val="Definition Numbering 6"/>
    <w:basedOn w:val="HouseStyleBase"/>
    <w:pPr>
      <w:numPr>
        <w:ilvl w:val="5"/>
        <w:numId w:val="6"/>
      </w:numPr>
      <w:outlineLvl w:val="1"/>
    </w:pPr>
  </w:style>
  <w:style w:type="paragraph" w:customStyle="1" w:styleId="DefinitionNumbering7">
    <w:name w:val="Definition Numbering 7"/>
    <w:basedOn w:val="HouseStyleBase"/>
    <w:pPr>
      <w:numPr>
        <w:ilvl w:val="6"/>
        <w:numId w:val="6"/>
      </w:numPr>
      <w:outlineLvl w:val="1"/>
    </w:pPr>
  </w:style>
  <w:style w:type="paragraph" w:customStyle="1" w:styleId="DefinitionNumbering8">
    <w:name w:val="Definition Numbering 8"/>
    <w:basedOn w:val="HouseStyleBase"/>
    <w:pPr>
      <w:numPr>
        <w:ilvl w:val="7"/>
        <w:numId w:val="10"/>
      </w:numPr>
      <w:outlineLvl w:val="7"/>
    </w:pPr>
  </w:style>
  <w:style w:type="paragraph" w:customStyle="1" w:styleId="DefinitionNumbering9">
    <w:name w:val="Definition Numbering 9"/>
    <w:basedOn w:val="HouseStyleBase"/>
    <w:pPr>
      <w:numPr>
        <w:ilvl w:val="8"/>
        <w:numId w:val="10"/>
      </w:numPr>
      <w:outlineLvl w:val="8"/>
    </w:pPr>
  </w:style>
  <w:style w:type="paragraph" w:customStyle="1" w:styleId="RecitalNumbering3">
    <w:name w:val="Recital Numbering 3"/>
    <w:basedOn w:val="HouseStyleBase"/>
    <w:pPr>
      <w:numPr>
        <w:ilvl w:val="2"/>
        <w:numId w:val="9"/>
      </w:numPr>
      <w:overflowPunct w:val="0"/>
      <w:autoSpaceDE w:val="0"/>
      <w:autoSpaceDN w:val="0"/>
      <w:textAlignment w:val="baseline"/>
    </w:p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Centred"/>
    <w:pPr>
      <w:numPr>
        <w:numId w:val="8"/>
      </w:numPr>
      <w:jc w:val="both"/>
    </w:pPr>
  </w:style>
  <w:style w:type="paragraph" w:styleId="ListBullet3">
    <w:name w:val="List Bullet 3"/>
    <w:basedOn w:val="HouseStyleBaseCentred"/>
    <w:uiPriority w:val="2"/>
    <w:pPr>
      <w:numPr>
        <w:ilvl w:val="2"/>
        <w:numId w:val="8"/>
      </w:numPr>
      <w:jc w:val="both"/>
    </w:pPr>
  </w:style>
  <w:style w:type="paragraph" w:styleId="ListBullet4">
    <w:name w:val="List Bullet 4"/>
    <w:basedOn w:val="HouseStyleBaseCentred"/>
    <w:pPr>
      <w:numPr>
        <w:ilvl w:val="3"/>
        <w:numId w:val="8"/>
      </w:numPr>
      <w:jc w:val="both"/>
    </w:pPr>
  </w:style>
  <w:style w:type="paragraph" w:styleId="ListBullet5">
    <w:name w:val="List Bullet 5"/>
    <w:basedOn w:val="HouseStyleBaseCentred"/>
    <w:pPr>
      <w:numPr>
        <w:ilvl w:val="4"/>
        <w:numId w:val="8"/>
      </w:numPr>
      <w:jc w:val="both"/>
    </w:pPr>
  </w:style>
  <w:style w:type="paragraph" w:customStyle="1" w:styleId="ListBullet6">
    <w:name w:val="List Bullet 6"/>
    <w:basedOn w:val="HouseStyleBaseCentred"/>
    <w:pPr>
      <w:numPr>
        <w:ilvl w:val="5"/>
        <w:numId w:val="8"/>
      </w:numPr>
      <w:jc w:val="both"/>
    </w:pPr>
  </w:style>
  <w:style w:type="paragraph" w:customStyle="1" w:styleId="ListBullet7">
    <w:name w:val="List Bullet 7"/>
    <w:basedOn w:val="HouseStyleBaseCentred"/>
    <w:pPr>
      <w:numPr>
        <w:ilvl w:val="6"/>
        <w:numId w:val="8"/>
      </w:numPr>
      <w:jc w:val="both"/>
    </w:pPr>
  </w:style>
  <w:style w:type="paragraph" w:customStyle="1" w:styleId="ListBullet8">
    <w:name w:val="List Bullet 8"/>
    <w:basedOn w:val="HouseStyleBaseCentred"/>
    <w:pPr>
      <w:numPr>
        <w:ilvl w:val="7"/>
        <w:numId w:val="8"/>
      </w:numPr>
      <w:jc w:val="both"/>
    </w:pPr>
  </w:style>
  <w:style w:type="paragraph" w:customStyle="1" w:styleId="ListBullet9">
    <w:name w:val="List Bullet 9"/>
    <w:basedOn w:val="HouseStyleBaseCentred"/>
    <w:pPr>
      <w:numPr>
        <w:ilvl w:val="8"/>
        <w:numId w:val="8"/>
      </w:numPr>
      <w:jc w:val="both"/>
    </w:pPr>
  </w:style>
  <w:style w:type="paragraph" w:customStyle="1" w:styleId="ScheduleL1">
    <w:name w:val="Schedule L1"/>
    <w:basedOn w:val="HouseStyleBase"/>
    <w:next w:val="ScheduleL2A"/>
    <w:pPr>
      <w:numPr>
        <w:numId w:val="7"/>
      </w:numPr>
      <w:outlineLvl w:val="1"/>
    </w:pPr>
    <w:rPr>
      <w:b/>
      <w:caps/>
    </w:rPr>
  </w:style>
  <w:style w:type="paragraph" w:customStyle="1" w:styleId="ScheduleL2">
    <w:name w:val="Schedule L2"/>
    <w:basedOn w:val="HouseStyleBase"/>
    <w:pPr>
      <w:numPr>
        <w:ilvl w:val="1"/>
        <w:numId w:val="7"/>
      </w:numPr>
      <w:outlineLvl w:val="0"/>
    </w:pPr>
  </w:style>
  <w:style w:type="paragraph" w:customStyle="1" w:styleId="ScheduleL3">
    <w:name w:val="Schedule L3"/>
    <w:basedOn w:val="HouseStyleBase"/>
    <w:pPr>
      <w:numPr>
        <w:ilvl w:val="2"/>
        <w:numId w:val="7"/>
      </w:numPr>
      <w:outlineLvl w:val="2"/>
    </w:pPr>
  </w:style>
  <w:style w:type="paragraph" w:customStyle="1" w:styleId="ScheduleL4">
    <w:name w:val="Schedule L4"/>
    <w:basedOn w:val="HouseStyleBase"/>
    <w:pPr>
      <w:numPr>
        <w:ilvl w:val="3"/>
        <w:numId w:val="7"/>
      </w:numPr>
      <w:outlineLvl w:val="3"/>
    </w:pPr>
  </w:style>
  <w:style w:type="paragraph" w:customStyle="1" w:styleId="ScheduleL5">
    <w:name w:val="Schedule L5"/>
    <w:basedOn w:val="HouseStyleBase"/>
    <w:pPr>
      <w:numPr>
        <w:ilvl w:val="4"/>
        <w:numId w:val="7"/>
      </w:numPr>
      <w:outlineLvl w:val="4"/>
    </w:pPr>
  </w:style>
  <w:style w:type="paragraph" w:customStyle="1" w:styleId="ScheduleL6">
    <w:name w:val="Schedule L6"/>
    <w:basedOn w:val="HouseStyleBase"/>
    <w:pPr>
      <w:numPr>
        <w:ilvl w:val="5"/>
        <w:numId w:val="7"/>
      </w:numPr>
      <w:outlineLvl w:val="5"/>
    </w:pPr>
  </w:style>
  <w:style w:type="paragraph" w:customStyle="1" w:styleId="ScheduleL7">
    <w:name w:val="Schedule L7"/>
    <w:basedOn w:val="HouseStyleBase"/>
    <w:pPr>
      <w:numPr>
        <w:ilvl w:val="6"/>
        <w:numId w:val="7"/>
      </w:numPr>
      <w:outlineLvl w:val="6"/>
    </w:pPr>
  </w:style>
  <w:style w:type="paragraph" w:customStyle="1" w:styleId="ScheduleL8">
    <w:name w:val="Schedule L8"/>
    <w:basedOn w:val="HouseStyleBase"/>
    <w:pPr>
      <w:numPr>
        <w:ilvl w:val="7"/>
        <w:numId w:val="7"/>
      </w:numPr>
      <w:outlineLvl w:val="7"/>
    </w:pPr>
  </w:style>
  <w:style w:type="paragraph" w:customStyle="1" w:styleId="ScheduleL9">
    <w:name w:val="Schedule L9"/>
    <w:basedOn w:val="HouseStyleBase"/>
    <w:pPr>
      <w:numPr>
        <w:ilvl w:val="8"/>
        <w:numId w:val="7"/>
      </w:numPr>
      <w:outlineLvl w:val="8"/>
    </w:pPr>
  </w:style>
  <w:style w:type="paragraph" w:customStyle="1" w:styleId="ScheduleL2A">
    <w:name w:val="Schedule L2A"/>
    <w:basedOn w:val="HouseStyleBaseCentred"/>
    <w:next w:val="ScheduleL2"/>
    <w:link w:val="ScheduleL2AChar"/>
    <w:pPr>
      <w:keepNext/>
      <w:ind w:left="720"/>
      <w:jc w:val="both"/>
      <w:outlineLvl w:val="1"/>
    </w:pPr>
    <w:rPr>
      <w:b/>
    </w:r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ScheduleL2AChar">
    <w:name w:val="Schedule L2A Char"/>
    <w:link w:val="ScheduleL2A"/>
    <w:rPr>
      <w:rFonts w:eastAsia="STZhongsong"/>
      <w:b/>
      <w:sz w:val="22"/>
      <w:lang w:eastAsia="zh-CN"/>
    </w:rPr>
  </w:style>
  <w:style w:type="paragraph" w:customStyle="1" w:styleId="Heading2A">
    <w:name w:val="Heading 2A"/>
    <w:basedOn w:val="HouseStyleBaseCentred"/>
    <w:next w:val="Heading2"/>
    <w:link w:val="Heading2AChar"/>
    <w:pPr>
      <w:keepNext/>
      <w:ind w:left="720"/>
      <w:jc w:val="both"/>
      <w:outlineLvl w:val="1"/>
    </w:pPr>
    <w:rPr>
      <w:b/>
    </w:rPr>
  </w:style>
  <w:style w:type="character" w:customStyle="1" w:styleId="Heading2AChar">
    <w:name w:val="Heading 2A Char"/>
    <w:link w:val="Heading2A"/>
    <w:rPr>
      <w:rFonts w:eastAsia="STZhongsong"/>
      <w:b/>
      <w:sz w:val="22"/>
      <w:lang w:eastAsia="zh-CN"/>
    </w:rPr>
  </w:style>
  <w:style w:type="paragraph" w:customStyle="1" w:styleId="GeneralHeading1">
    <w:name w:val="General Heading 1"/>
    <w:basedOn w:val="HouseStyleBaseCentred"/>
    <w:next w:val="GeneralHeading2"/>
    <w:link w:val="GeneralHeading1Char"/>
    <w:pPr>
      <w:keepNext/>
      <w:jc w:val="both"/>
    </w:pPr>
    <w:rPr>
      <w:b/>
      <w:caps/>
    </w:rPr>
  </w:style>
  <w:style w:type="character" w:customStyle="1" w:styleId="GeneralHeading1Char">
    <w:name w:val="General Heading 1 Char"/>
    <w:link w:val="GeneralHeading1"/>
    <w:rPr>
      <w:rFonts w:eastAsia="STZhongsong"/>
      <w:b/>
      <w:caps/>
      <w:sz w:val="22"/>
      <w:lang w:eastAsia="zh-CN"/>
    </w:rPr>
  </w:style>
  <w:style w:type="paragraph" w:customStyle="1" w:styleId="GeneralHeading2">
    <w:name w:val="General Heading 2"/>
    <w:basedOn w:val="HouseStyleBaseCentred"/>
    <w:next w:val="Generallevel1"/>
    <w:link w:val="GeneralHeading2Char"/>
    <w:pPr>
      <w:keepNext/>
      <w:jc w:val="both"/>
    </w:pPr>
    <w:rPr>
      <w:b/>
    </w:rPr>
  </w:style>
  <w:style w:type="character" w:customStyle="1" w:styleId="GeneralHeading2Char">
    <w:name w:val="General Heading 2 Char"/>
    <w:link w:val="GeneralHeading2"/>
    <w:rPr>
      <w:rFonts w:eastAsia="STZhongsong"/>
      <w:b/>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en-GB"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val="en-GB" w:eastAsia="en-US"/>
    </w:rPr>
  </w:style>
  <w:style w:type="character" w:customStyle="1" w:styleId="BodyTextFirstIndentChar">
    <w:name w:val="Body Text First Indent Char"/>
    <w:basedOn w:val="BodyTextChar"/>
    <w:link w:val="BodyTextFirstIndent"/>
    <w:rPr>
      <w:sz w:val="22"/>
      <w:lang w:val="en-GB" w:eastAsia="en-US"/>
    </w:rPr>
  </w:style>
  <w:style w:type="paragraph" w:styleId="BodyTextFirstIndent2">
    <w:name w:val="Body Text First Indent 2"/>
    <w:basedOn w:val="BodyTextIndent"/>
    <w:link w:val="BodyTextFirstIndent2Char"/>
    <w:p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link w:val="BodyTextIndent"/>
    <w:rPr>
      <w:rFonts w:eastAsia="STZhongsong"/>
      <w:sz w:val="22"/>
      <w:lang w:val="en-GB" w:eastAsia="zh-CN"/>
    </w:rPr>
  </w:style>
  <w:style w:type="character" w:customStyle="1" w:styleId="BodyTextFirstIndent2Char">
    <w:name w:val="Body Text First Indent 2 Char"/>
    <w:link w:val="BodyTextFirstIndent2"/>
    <w:rPr>
      <w:rFonts w:eastAsia="STZhongsong"/>
      <w:sz w:val="22"/>
      <w:lang w:val="en-GB" w:eastAsia="en-US"/>
    </w:rPr>
  </w:style>
  <w:style w:type="paragraph" w:customStyle="1" w:styleId="BodyTextIndent8">
    <w:name w:val="Body Text Indent 8"/>
    <w:basedOn w:val="HouseStyleBase"/>
    <w:link w:val="BodyTextIndent8Char"/>
    <w:pPr>
      <w:ind w:left="5760"/>
    </w:p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pPr>
      <w:ind w:left="6480"/>
    </w:pPr>
  </w:style>
  <w:style w:type="character" w:customStyle="1" w:styleId="BodyTextIndent9Char">
    <w:name w:val="Body Text Indent 9 Char"/>
    <w:basedOn w:val="MarginTextChar"/>
    <w:link w:val="BodyTextIndent9"/>
    <w:rPr>
      <w:rFonts w:eastAsia="STZhongsong"/>
      <w:sz w:val="22"/>
      <w:lang w:eastAsia="zh-CN"/>
    </w:rPr>
  </w:style>
  <w:style w:type="paragraph" w:customStyle="1" w:styleId="Generallevel1">
    <w:name w:val="General level 1"/>
    <w:basedOn w:val="HouseStyleBase"/>
    <w:link w:val="Generallevel1Char"/>
    <w:pPr>
      <w:numPr>
        <w:numId w:val="28"/>
      </w:numPr>
      <w:outlineLvl w:val="0"/>
    </w:pPr>
  </w:style>
  <w:style w:type="character" w:customStyle="1" w:styleId="Generallevel1Char">
    <w:name w:val="General level 1 Char"/>
    <w:basedOn w:val="MarginTextChar"/>
    <w:link w:val="Generallevel1"/>
    <w:rPr>
      <w:rFonts w:eastAsia="STZhongsong"/>
      <w:sz w:val="22"/>
      <w:lang w:eastAsia="zh-CN"/>
    </w:rPr>
  </w:style>
  <w:style w:type="paragraph" w:customStyle="1" w:styleId="Generallevel2">
    <w:name w:val="General level 2"/>
    <w:basedOn w:val="HouseStyleBase"/>
    <w:link w:val="Generallevel2Char"/>
    <w:pPr>
      <w:numPr>
        <w:ilvl w:val="1"/>
        <w:numId w:val="28"/>
      </w:numPr>
      <w:outlineLvl w:val="1"/>
    </w:pPr>
  </w:style>
  <w:style w:type="character" w:customStyle="1" w:styleId="Generallevel2Char">
    <w:name w:val="General level 2 Char"/>
    <w:basedOn w:val="MarginTextChar"/>
    <w:link w:val="Generallevel2"/>
    <w:rPr>
      <w:rFonts w:eastAsia="STZhongsong"/>
      <w:sz w:val="22"/>
      <w:lang w:eastAsia="zh-CN"/>
    </w:rPr>
  </w:style>
  <w:style w:type="paragraph" w:customStyle="1" w:styleId="Generallevel3">
    <w:name w:val="General level 3"/>
    <w:basedOn w:val="HouseStyleBase"/>
    <w:link w:val="Generallevel3Char"/>
    <w:pPr>
      <w:numPr>
        <w:ilvl w:val="2"/>
        <w:numId w:val="28"/>
      </w:numPr>
      <w:outlineLvl w:val="2"/>
    </w:pPr>
  </w:style>
  <w:style w:type="character" w:customStyle="1" w:styleId="Generallevel3Char">
    <w:name w:val="General level 3 Char"/>
    <w:basedOn w:val="MarginTextChar"/>
    <w:link w:val="Generallevel3"/>
    <w:rPr>
      <w:rFonts w:eastAsia="STZhongsong"/>
      <w:sz w:val="22"/>
      <w:lang w:eastAsia="zh-CN"/>
    </w:rPr>
  </w:style>
  <w:style w:type="paragraph" w:customStyle="1" w:styleId="Generallevel4">
    <w:name w:val="General level 4"/>
    <w:basedOn w:val="HouseStyleBase"/>
    <w:link w:val="Generallevel4Char"/>
    <w:pPr>
      <w:numPr>
        <w:ilvl w:val="3"/>
        <w:numId w:val="28"/>
      </w:numPr>
      <w:outlineLvl w:val="3"/>
    </w:pPr>
  </w:style>
  <w:style w:type="character" w:customStyle="1" w:styleId="Generallevel4Char">
    <w:name w:val="General level 4 Char"/>
    <w:basedOn w:val="MarginTextChar"/>
    <w:link w:val="Generallevel4"/>
    <w:rPr>
      <w:rFonts w:eastAsia="STZhongsong"/>
      <w:sz w:val="22"/>
      <w:lang w:eastAsia="zh-CN"/>
    </w:rPr>
  </w:style>
  <w:style w:type="paragraph" w:customStyle="1" w:styleId="Generallevel5">
    <w:name w:val="General level 5"/>
    <w:basedOn w:val="HouseStyleBase"/>
    <w:link w:val="Generallevel5Char"/>
    <w:pPr>
      <w:numPr>
        <w:ilvl w:val="4"/>
        <w:numId w:val="28"/>
      </w:numPr>
      <w:outlineLvl w:val="4"/>
    </w:pPr>
  </w:style>
  <w:style w:type="character" w:customStyle="1" w:styleId="Generallevel5Char">
    <w:name w:val="General level 5 Char"/>
    <w:basedOn w:val="MarginTextChar"/>
    <w:link w:val="Generallevel5"/>
    <w:rPr>
      <w:rFonts w:eastAsia="STZhongsong"/>
      <w:sz w:val="22"/>
      <w:lang w:eastAsia="zh-CN"/>
    </w:rPr>
  </w:style>
  <w:style w:type="paragraph" w:customStyle="1" w:styleId="Generallevel6">
    <w:name w:val="General level 6"/>
    <w:basedOn w:val="HouseStyleBase"/>
    <w:link w:val="Generallevel6Char"/>
    <w:pPr>
      <w:numPr>
        <w:ilvl w:val="5"/>
        <w:numId w:val="28"/>
      </w:numPr>
      <w:outlineLvl w:val="5"/>
    </w:pPr>
  </w:style>
  <w:style w:type="character" w:customStyle="1" w:styleId="Generallevel6Char">
    <w:name w:val="General level 6 Char"/>
    <w:basedOn w:val="MarginTextChar"/>
    <w:link w:val="Generallevel6"/>
    <w:rPr>
      <w:rFonts w:eastAsia="STZhongsong"/>
      <w:sz w:val="22"/>
      <w:lang w:eastAsia="zh-CN"/>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val="en-GB"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val="en-GB"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en-GB"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en-GB"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en-GB"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23"/>
      </w:numPr>
      <w:contextualSpacing/>
    </w:pPr>
  </w:style>
  <w:style w:type="paragraph" w:styleId="ListNumber2">
    <w:name w:val="List Number 2"/>
    <w:basedOn w:val="Normal"/>
    <w:pPr>
      <w:numPr>
        <w:numId w:val="18"/>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6"/>
      </w:numPr>
      <w:contextualSpacing/>
    </w:pPr>
  </w:style>
  <w:style w:type="paragraph" w:styleId="ListNumber5">
    <w:name w:val="List Number 5"/>
    <w:basedOn w:val="Normal"/>
    <w:pPr>
      <w:numPr>
        <w:numId w:val="30"/>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val="en-GB"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en-US"/>
    </w:rPr>
  </w:style>
  <w:style w:type="paragraph" w:styleId="NoSpacing">
    <w:name w:val="No Spacing"/>
    <w:uiPriority w:val="1"/>
    <w:qFormat/>
    <w:pPr>
      <w:overflowPunct w:val="0"/>
      <w:autoSpaceDE w:val="0"/>
      <w:autoSpaceDN w:val="0"/>
      <w:adjustRightInd w:val="0"/>
      <w:jc w:val="both"/>
      <w:textAlignment w:val="baseline"/>
    </w:pPr>
    <w:rPr>
      <w:sz w:val="22"/>
      <w:lang w:val="en-GB"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en-GB"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en-GB"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Cs/>
      <w:caps w:val="0"/>
      <w:kern w:val="32"/>
      <w:sz w:val="32"/>
      <w:szCs w:val="32"/>
      <w:lang w:eastAsia="en-US"/>
    </w:rPr>
  </w:style>
  <w:style w:type="character" w:customStyle="1" w:styleId="HeaderChar">
    <w:name w:val="Header Char"/>
    <w:basedOn w:val="DefaultParagraphFont"/>
    <w:link w:val="Header"/>
    <w:uiPriority w:val="99"/>
    <w:rsid w:val="005F1795"/>
    <w:rPr>
      <w:sz w:val="22"/>
      <w:lang w:val="en-GB" w:eastAsia="en-US"/>
    </w:rPr>
  </w:style>
  <w:style w:type="paragraph" w:customStyle="1" w:styleId="Default">
    <w:name w:val="Default"/>
    <w:rsid w:val="00567942"/>
    <w:pPr>
      <w:autoSpaceDE w:val="0"/>
      <w:autoSpaceDN w:val="0"/>
      <w:adjustRightInd w:val="0"/>
    </w:pPr>
    <w:rPr>
      <w:rFonts w:ascii="Arial" w:hAnsi="Arial" w:cs="Arial"/>
      <w:color w:val="000000"/>
      <w:sz w:val="24"/>
      <w:szCs w:val="24"/>
    </w:rPr>
  </w:style>
  <w:style w:type="character" w:customStyle="1" w:styleId="AERbody">
    <w:name w:val="AER body"/>
    <w:qFormat/>
    <w:rsid w:val="00A6228F"/>
    <w:rPr>
      <w:rFonts w:ascii="Gautami" w:hAnsi="Gautami"/>
      <w:color w:val="auto"/>
      <w:sz w:val="20"/>
    </w:rPr>
  </w:style>
  <w:style w:type="paragraph" w:customStyle="1" w:styleId="AERtabletextleft">
    <w:name w:val="AER table text left"/>
    <w:qFormat/>
    <w:rsid w:val="00A6228F"/>
    <w:pPr>
      <w:spacing w:before="80" w:after="120" w:line="288" w:lineRule="auto"/>
    </w:pPr>
    <w:rPr>
      <w:rFonts w:ascii="Gautami" w:hAnsi="Gautami"/>
      <w:sz w:val="16"/>
      <w:szCs w:val="24"/>
      <w:lang w:eastAsia="en-US"/>
    </w:rPr>
  </w:style>
  <w:style w:type="paragraph" w:customStyle="1" w:styleId="AERbodytext">
    <w:name w:val="AER body text"/>
    <w:link w:val="AERbodytextChar"/>
    <w:qFormat/>
    <w:rsid w:val="00A6228F"/>
    <w:pPr>
      <w:numPr>
        <w:numId w:val="34"/>
      </w:numPr>
      <w:spacing w:after="240" w:line="288" w:lineRule="auto"/>
      <w:jc w:val="both"/>
    </w:pPr>
    <w:rPr>
      <w:rFonts w:ascii="Gautami" w:hAnsi="Gautami"/>
      <w:szCs w:val="24"/>
      <w:lang w:eastAsia="en-US"/>
    </w:rPr>
  </w:style>
  <w:style w:type="paragraph" w:customStyle="1" w:styleId="AERnumberedlistfirststyle">
    <w:name w:val="AER numbered list (first style)"/>
    <w:basedOn w:val="AERbodytext"/>
    <w:qFormat/>
    <w:rsid w:val="00A6228F"/>
    <w:pPr>
      <w:numPr>
        <w:ilvl w:val="1"/>
      </w:numPr>
      <w:tabs>
        <w:tab w:val="clear" w:pos="357"/>
        <w:tab w:val="num" w:pos="360"/>
        <w:tab w:val="num" w:pos="1440"/>
      </w:tabs>
      <w:spacing w:after="200"/>
      <w:ind w:left="1440" w:hanging="720"/>
    </w:pPr>
  </w:style>
  <w:style w:type="paragraph" w:customStyle="1" w:styleId="AERnumberedlistsecondstyle">
    <w:name w:val="AER numbered list (second style)"/>
    <w:basedOn w:val="AERnumberedlistfirststyle"/>
    <w:qFormat/>
    <w:rsid w:val="00A6228F"/>
    <w:pPr>
      <w:numPr>
        <w:ilvl w:val="2"/>
      </w:numPr>
      <w:tabs>
        <w:tab w:val="clear" w:pos="720"/>
        <w:tab w:val="num" w:pos="360"/>
        <w:tab w:val="num" w:pos="2160"/>
      </w:tabs>
      <w:ind w:left="2160" w:hanging="720"/>
    </w:pPr>
  </w:style>
  <w:style w:type="paragraph" w:customStyle="1" w:styleId="AERnumberedlistthirdstyle">
    <w:name w:val="AER numbered list (third style)"/>
    <w:basedOn w:val="AERnumberedlistsecondstyle"/>
    <w:qFormat/>
    <w:rsid w:val="00A6228F"/>
    <w:pPr>
      <w:numPr>
        <w:ilvl w:val="3"/>
      </w:numPr>
      <w:tabs>
        <w:tab w:val="clear" w:pos="1077"/>
        <w:tab w:val="num" w:pos="360"/>
        <w:tab w:val="num" w:pos="2880"/>
      </w:tabs>
      <w:ind w:left="2880" w:hanging="720"/>
    </w:pPr>
  </w:style>
  <w:style w:type="numbering" w:customStyle="1" w:styleId="AERnumberedlist">
    <w:name w:val="AER numbered list"/>
    <w:uiPriority w:val="99"/>
    <w:rsid w:val="00A6228F"/>
    <w:pPr>
      <w:numPr>
        <w:numId w:val="33"/>
      </w:numPr>
    </w:pPr>
  </w:style>
  <w:style w:type="paragraph" w:customStyle="1" w:styleId="AERnumberedlist2first">
    <w:name w:val="AER numbered list 2 first"/>
    <w:basedOn w:val="AERbodytext"/>
    <w:qFormat/>
    <w:rsid w:val="00A6228F"/>
    <w:pPr>
      <w:numPr>
        <w:ilvl w:val="4"/>
      </w:numPr>
      <w:tabs>
        <w:tab w:val="clear" w:pos="357"/>
        <w:tab w:val="num" w:pos="360"/>
        <w:tab w:val="num" w:pos="3600"/>
      </w:tabs>
      <w:ind w:left="3600" w:hanging="720"/>
    </w:pPr>
  </w:style>
  <w:style w:type="paragraph" w:customStyle="1" w:styleId="AERnumberedlist2second">
    <w:name w:val="AER numbered list 2 second"/>
    <w:basedOn w:val="AERnumberedlist2first"/>
    <w:qFormat/>
    <w:rsid w:val="00A6228F"/>
    <w:pPr>
      <w:numPr>
        <w:ilvl w:val="5"/>
      </w:numPr>
      <w:tabs>
        <w:tab w:val="clear" w:pos="720"/>
        <w:tab w:val="num" w:pos="360"/>
        <w:tab w:val="num" w:pos="4320"/>
      </w:tabs>
      <w:ind w:left="4320" w:hanging="720"/>
    </w:pPr>
  </w:style>
  <w:style w:type="paragraph" w:customStyle="1" w:styleId="AERnumberedlist2third">
    <w:name w:val="AER numbered list 2 third"/>
    <w:basedOn w:val="AERnumberedlist2second"/>
    <w:qFormat/>
    <w:rsid w:val="00A6228F"/>
    <w:pPr>
      <w:numPr>
        <w:ilvl w:val="6"/>
      </w:numPr>
      <w:tabs>
        <w:tab w:val="clear" w:pos="1077"/>
        <w:tab w:val="num" w:pos="360"/>
        <w:tab w:val="num" w:pos="5040"/>
      </w:tabs>
      <w:ind w:left="5040" w:hanging="720"/>
    </w:pPr>
  </w:style>
  <w:style w:type="character" w:customStyle="1" w:styleId="AERbodytextChar">
    <w:name w:val="AER body text Char"/>
    <w:link w:val="AERbodytext"/>
    <w:rsid w:val="00A6228F"/>
    <w:rPr>
      <w:rFonts w:ascii="Gautami" w:hAnsi="Gautami"/>
      <w:szCs w:val="24"/>
      <w:lang w:eastAsia="en-US"/>
    </w:rPr>
  </w:style>
  <w:style w:type="paragraph" w:customStyle="1" w:styleId="TableText">
    <w:name w:val="Table Text"/>
    <w:basedOn w:val="TableHeading"/>
    <w:qFormat/>
    <w:rsid w:val="00887A27"/>
    <w:rPr>
      <w:color w:val="333333"/>
      <w:sz w:val="18"/>
    </w:rPr>
  </w:style>
  <w:style w:type="paragraph" w:customStyle="1" w:styleId="TableHeading">
    <w:name w:val="Table Heading"/>
    <w:basedOn w:val="Normal"/>
    <w:qFormat/>
    <w:rsid w:val="00887A27"/>
    <w:pPr>
      <w:overflowPunct/>
      <w:autoSpaceDE/>
      <w:autoSpaceDN/>
      <w:snapToGrid w:val="0"/>
      <w:spacing w:before="50" w:after="50" w:line="240" w:lineRule="atLeast"/>
      <w:jc w:val="left"/>
      <w:textAlignment w:val="auto"/>
    </w:pPr>
    <w:rPr>
      <w:rFonts w:asciiTheme="minorHAnsi" w:eastAsia="SimSun" w:hAnsiTheme="minorHAnsi" w:cstheme="minorHAnsi"/>
      <w:color w:val="FFFFFF"/>
      <w:kern w:val="20"/>
      <w:sz w:val="21"/>
      <w:szCs w:val="24"/>
      <w:lang w:val="en-AU" w:eastAsia="zh-CN"/>
    </w:rPr>
  </w:style>
  <w:style w:type="paragraph" w:customStyle="1" w:styleId="para0bullet">
    <w:name w:val="para0bullet"/>
    <w:basedOn w:val="Normal"/>
    <w:rsid w:val="00F877FA"/>
    <w:pPr>
      <w:numPr>
        <w:numId w:val="36"/>
      </w:numPr>
      <w:overflowPunct/>
      <w:autoSpaceDE/>
      <w:autoSpaceDN/>
      <w:adjustRightInd/>
      <w:spacing w:after="60" w:line="240" w:lineRule="auto"/>
      <w:jc w:val="left"/>
      <w:textAlignment w:val="auto"/>
    </w:pPr>
    <w:rPr>
      <w:color w:val="000000"/>
      <w:szCs w:val="22"/>
      <w:lang w:val="en-AU" w:eastAsia="en-AU"/>
    </w:rPr>
  </w:style>
  <w:style w:type="paragraph" w:customStyle="1" w:styleId="TableCaption">
    <w:name w:val="Table Caption"/>
    <w:basedOn w:val="Normal"/>
    <w:next w:val="Normal"/>
    <w:rsid w:val="00515615"/>
    <w:pPr>
      <w:keepNext/>
      <w:overflowPunct/>
      <w:autoSpaceDE/>
      <w:autoSpaceDN/>
      <w:adjustRightInd/>
      <w:spacing w:before="240" w:after="113" w:line="240" w:lineRule="atLeast"/>
      <w:ind w:left="1134" w:hanging="1134"/>
      <w:contextualSpacing/>
      <w:jc w:val="left"/>
      <w:textAlignment w:val="auto"/>
    </w:pPr>
    <w:rPr>
      <w:rFonts w:asciiTheme="minorHAnsi" w:hAnsiTheme="minorHAnsi"/>
      <w:b/>
      <w:bCs/>
      <w:color w:val="666666"/>
      <w:spacing w:val="-3"/>
      <w:sz w:val="18"/>
      <w:szCs w:val="16"/>
      <w:lang w:val="en-AU" w:eastAsia="en-AU"/>
    </w:rPr>
  </w:style>
  <w:style w:type="paragraph" w:customStyle="1" w:styleId="Source">
    <w:name w:val="Source"/>
    <w:next w:val="Normal"/>
    <w:link w:val="SourceChar"/>
    <w:qFormat/>
    <w:rsid w:val="0071740C"/>
    <w:pPr>
      <w:numPr>
        <w:numId w:val="37"/>
      </w:numPr>
      <w:spacing w:before="43" w:after="110" w:line="200" w:lineRule="atLeast"/>
      <w:contextualSpacing/>
    </w:pPr>
    <w:rPr>
      <w:rFonts w:asciiTheme="minorHAnsi" w:hAnsiTheme="minorHAnsi" w:cstheme="minorHAnsi"/>
      <w:color w:val="1F497D" w:themeColor="text2"/>
      <w:spacing w:val="-3"/>
      <w:sz w:val="16"/>
      <w:szCs w:val="14"/>
    </w:rPr>
  </w:style>
  <w:style w:type="character" w:customStyle="1" w:styleId="SourceChar">
    <w:name w:val="Source Char"/>
    <w:basedOn w:val="DefaultParagraphFont"/>
    <w:link w:val="Source"/>
    <w:rsid w:val="0071740C"/>
    <w:rPr>
      <w:rFonts w:asciiTheme="minorHAnsi" w:hAnsiTheme="minorHAnsi" w:cstheme="minorHAnsi"/>
      <w:color w:val="1F497D" w:themeColor="text2"/>
      <w:spacing w:val="-3"/>
      <w:sz w:val="16"/>
      <w:szCs w:val="14"/>
    </w:rPr>
  </w:style>
  <w:style w:type="paragraph" w:customStyle="1" w:styleId="CoverHeading">
    <w:name w:val="Cover Heading"/>
    <w:basedOn w:val="Normal"/>
    <w:next w:val="Normal"/>
    <w:uiPriority w:val="11"/>
    <w:rsid w:val="007B28A3"/>
    <w:pPr>
      <w:overflowPunct/>
      <w:autoSpaceDE/>
      <w:autoSpaceDN/>
      <w:adjustRightInd/>
      <w:spacing w:after="0" w:line="240" w:lineRule="auto"/>
      <w:ind w:right="454"/>
      <w:jc w:val="right"/>
      <w:textAlignment w:val="auto"/>
    </w:pPr>
    <w:rPr>
      <w:rFonts w:asciiTheme="majorHAnsi" w:hAnsiTheme="majorHAnsi" w:cstheme="majorHAnsi"/>
      <w:b/>
      <w:bCs/>
      <w:color w:val="333333"/>
      <w:sz w:val="54"/>
      <w:szCs w:val="38"/>
      <w:lang w:val="en-AU"/>
    </w:rPr>
  </w:style>
  <w:style w:type="character" w:customStyle="1" w:styleId="Highlighttext">
    <w:name w:val="Highlight text"/>
    <w:basedOn w:val="DefaultParagraphFont"/>
    <w:uiPriority w:val="1"/>
    <w:qFormat/>
    <w:rsid w:val="007B28A3"/>
    <w:rPr>
      <w:b w:val="0"/>
      <w:bdr w:val="none" w:sz="0" w:space="0" w:color="auto"/>
      <w:shd w:val="clear" w:color="auto" w:fill="B2A1C7" w:themeFill="accent4" w:themeFillTint="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1" w:qFormat="1"/>
    <w:lsdException w:name="heading 8" w:uiPriority="1" w:qFormat="1"/>
    <w:lsdException w:name="heading 9" w:uiPriority="1" w:qFormat="1"/>
    <w:lsdException w:name="header" w:uiPriority="99"/>
    <w:lsdException w:name="caption" w:semiHidden="1" w:unhideWhenUsed="1" w:qFormat="1"/>
    <w:lsdException w:name="List Bullet 3" w:uiPriority="2"/>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val="en-GB" w:eastAsia="en-US"/>
    </w:rPr>
  </w:style>
  <w:style w:type="paragraph" w:styleId="Heading1">
    <w:name w:val="heading 1"/>
    <w:basedOn w:val="HouseStyleBase"/>
    <w:next w:val="MarginText"/>
    <w:qFormat/>
    <w:pPr>
      <w:keepNext/>
      <w:numPr>
        <w:numId w:val="3"/>
      </w:numPr>
      <w:outlineLvl w:val="0"/>
    </w:pPr>
    <w:rPr>
      <w:b/>
      <w:caps/>
    </w:rPr>
  </w:style>
  <w:style w:type="paragraph" w:styleId="Heading2">
    <w:name w:val="heading 2"/>
    <w:basedOn w:val="HouseStyleBaseCentred"/>
    <w:qFormat/>
    <w:pPr>
      <w:numPr>
        <w:ilvl w:val="1"/>
        <w:numId w:val="3"/>
      </w:numPr>
      <w:jc w:val="both"/>
      <w:outlineLvl w:val="1"/>
    </w:pPr>
  </w:style>
  <w:style w:type="paragraph" w:styleId="Heading3">
    <w:name w:val="heading 3"/>
    <w:basedOn w:val="HouseStyleBaseCentred"/>
    <w:qFormat/>
    <w:pPr>
      <w:numPr>
        <w:ilvl w:val="2"/>
        <w:numId w:val="3"/>
      </w:numPr>
      <w:jc w:val="both"/>
      <w:outlineLvl w:val="2"/>
    </w:pPr>
  </w:style>
  <w:style w:type="paragraph" w:styleId="Heading4">
    <w:name w:val="heading 4"/>
    <w:basedOn w:val="HouseStyleBaseCentred"/>
    <w:qFormat/>
    <w:pPr>
      <w:numPr>
        <w:ilvl w:val="3"/>
        <w:numId w:val="3"/>
      </w:numPr>
      <w:jc w:val="both"/>
      <w:outlineLvl w:val="3"/>
    </w:pPr>
  </w:style>
  <w:style w:type="paragraph" w:styleId="Heading5">
    <w:name w:val="heading 5"/>
    <w:basedOn w:val="HouseStyleBaseCentred"/>
    <w:qFormat/>
    <w:pPr>
      <w:numPr>
        <w:ilvl w:val="4"/>
        <w:numId w:val="3"/>
      </w:numPr>
      <w:jc w:val="both"/>
      <w:outlineLvl w:val="4"/>
    </w:pPr>
  </w:style>
  <w:style w:type="paragraph" w:styleId="Heading6">
    <w:name w:val="heading 6"/>
    <w:basedOn w:val="HouseStyleBaseCentred"/>
    <w:qFormat/>
    <w:pPr>
      <w:numPr>
        <w:ilvl w:val="5"/>
        <w:numId w:val="3"/>
      </w:numPr>
      <w:jc w:val="both"/>
      <w:outlineLvl w:val="5"/>
    </w:pPr>
  </w:style>
  <w:style w:type="paragraph" w:styleId="Heading7">
    <w:name w:val="heading 7"/>
    <w:basedOn w:val="HouseStyleBase"/>
    <w:uiPriority w:val="1"/>
    <w:qFormat/>
    <w:pPr>
      <w:numPr>
        <w:ilvl w:val="6"/>
        <w:numId w:val="3"/>
      </w:numPr>
      <w:outlineLvl w:val="6"/>
    </w:pPr>
  </w:style>
  <w:style w:type="paragraph" w:styleId="Heading8">
    <w:name w:val="heading 8"/>
    <w:basedOn w:val="HouseStyleBase"/>
    <w:uiPriority w:val="1"/>
    <w:qFormat/>
    <w:pPr>
      <w:numPr>
        <w:ilvl w:val="7"/>
        <w:numId w:val="3"/>
      </w:numPr>
      <w:outlineLvl w:val="7"/>
    </w:pPr>
  </w:style>
  <w:style w:type="paragraph" w:styleId="Heading9">
    <w:name w:val="heading 9"/>
    <w:basedOn w:val="HouseStyleBaseCentred"/>
    <w:uiPriority w:val="1"/>
    <w:qFormat/>
    <w:pPr>
      <w:numPr>
        <w:ilvl w:val="8"/>
        <w:numId w:val="3"/>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pPr>
      <w:ind w:left="720"/>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numPr>
        <w:numId w:val="4"/>
      </w:numPr>
      <w:jc w:val="center"/>
      <w:outlineLvl w:val="0"/>
    </w:pPr>
    <w:rPr>
      <w:b/>
      <w:caps/>
    </w:rPr>
  </w:style>
  <w:style w:type="paragraph" w:customStyle="1" w:styleId="SchSection">
    <w:name w:val="SchSection"/>
    <w:basedOn w:val="HouseStyleBaseCentred"/>
    <w:next w:val="MarginText"/>
    <w:pPr>
      <w:keepNext/>
      <w:numPr>
        <w:ilvl w:val="2"/>
        <w:numId w:val="4"/>
      </w:numPr>
      <w:jc w:val="center"/>
      <w:outlineLvl w:val="2"/>
    </w:pPr>
    <w:rPr>
      <w:b/>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Centred"/>
    <w:pPr>
      <w:numPr>
        <w:ilvl w:val="1"/>
        <w:numId w:val="8"/>
      </w:numPr>
      <w:jc w:val="both"/>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paragraph" w:styleId="TOC8">
    <w:name w:val="toc 8"/>
    <w:semiHidden/>
    <w:pPr>
      <w:tabs>
        <w:tab w:val="right" w:leader="dot" w:pos="9029"/>
      </w:tabs>
      <w:adjustRightInd w:val="0"/>
      <w:spacing w:after="120"/>
    </w:pPr>
    <w:rPr>
      <w:rFonts w:eastAsia="STZhongsong"/>
      <w:caps/>
      <w:sz w:val="22"/>
      <w:lang w:val="en-GB" w:eastAsia="zh-CN"/>
    </w:rPr>
  </w:style>
  <w:style w:type="paragraph" w:styleId="TOC9">
    <w:name w:val="toc 9"/>
    <w:semiHidden/>
    <w:pPr>
      <w:tabs>
        <w:tab w:val="right" w:leader="dot" w:pos="9029"/>
      </w:tabs>
      <w:adjustRightInd w:val="0"/>
      <w:spacing w:after="120"/>
      <w:ind w:left="720"/>
    </w:pPr>
    <w:rPr>
      <w:rFonts w:eastAsia="STZhongsong"/>
      <w:sz w:val="22"/>
      <w:lang w:val="en-GB" w:eastAsia="zh-CN"/>
    </w:r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SchPart">
    <w:name w:val="SchPart"/>
    <w:basedOn w:val="HouseStyleBaseCentred"/>
    <w:next w:val="MarginText"/>
    <w:pPr>
      <w:keepNext/>
      <w:numPr>
        <w:ilvl w:val="1"/>
        <w:numId w:val="4"/>
      </w:numPr>
      <w:jc w:val="center"/>
      <w:outlineLvl w:val="1"/>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keepNext/>
      <w:numPr>
        <w:numId w:val="13"/>
      </w:numPr>
      <w:jc w:val="center"/>
      <w:outlineLvl w:val="0"/>
    </w:pPr>
    <w:rPr>
      <w:b/>
      <w:caps/>
    </w:rPr>
  </w:style>
  <w:style w:type="paragraph" w:customStyle="1" w:styleId="AppPart">
    <w:name w:val="AppPart"/>
    <w:basedOn w:val="HouseStyleBaseCentred"/>
    <w:pPr>
      <w:keepNext/>
      <w:pageBreakBefore/>
      <w:numPr>
        <w:ilvl w:val="1"/>
        <w:numId w:val="13"/>
      </w:numPr>
      <w:jc w:val="center"/>
      <w:outlineLvl w:val="1"/>
    </w:pPr>
    <w:rPr>
      <w:b/>
    </w:rPr>
  </w:style>
  <w:style w:type="paragraph" w:customStyle="1" w:styleId="RecitalNumbering">
    <w:name w:val="Recital Numbering"/>
    <w:basedOn w:val="HouseStyleBase"/>
    <w:pPr>
      <w:numPr>
        <w:numId w:val="29"/>
      </w:numPr>
      <w:outlineLvl w:val="0"/>
    </w:pPr>
  </w:style>
  <w:style w:type="paragraph" w:customStyle="1" w:styleId="RecitalNumbering2">
    <w:name w:val="Recital Numbering 2"/>
    <w:basedOn w:val="HouseStyleBase"/>
    <w:pPr>
      <w:numPr>
        <w:ilvl w:val="1"/>
        <w:numId w:val="29"/>
      </w:numPr>
      <w:outlineLvl w:val="1"/>
    </w:pPr>
  </w:style>
  <w:style w:type="paragraph" w:customStyle="1" w:styleId="DefinitionNumbering1">
    <w:name w:val="Definition Numbering 1"/>
    <w:basedOn w:val="HouseStyleBase"/>
    <w:pPr>
      <w:numPr>
        <w:numId w:val="6"/>
      </w:numPr>
      <w:outlineLvl w:val="1"/>
    </w:pPr>
  </w:style>
  <w:style w:type="paragraph" w:customStyle="1" w:styleId="DefinitionNumbering2">
    <w:name w:val="Definition Numbering 2"/>
    <w:basedOn w:val="HouseStyleBase"/>
    <w:pPr>
      <w:numPr>
        <w:ilvl w:val="1"/>
        <w:numId w:val="6"/>
      </w:numPr>
      <w:outlineLvl w:val="1"/>
    </w:pPr>
  </w:style>
  <w:style w:type="paragraph" w:customStyle="1" w:styleId="DefinitionNumbering3">
    <w:name w:val="Definition Numbering 3"/>
    <w:basedOn w:val="HouseStyleBase"/>
    <w:pPr>
      <w:numPr>
        <w:ilvl w:val="2"/>
        <w:numId w:val="6"/>
      </w:numPr>
      <w:outlineLvl w:val="1"/>
    </w:pPr>
  </w:style>
  <w:style w:type="paragraph" w:customStyle="1" w:styleId="DefinitionNumbering4">
    <w:name w:val="Definition Numbering 4"/>
    <w:basedOn w:val="HouseStyleBase"/>
    <w:pPr>
      <w:numPr>
        <w:ilvl w:val="3"/>
        <w:numId w:val="6"/>
      </w:numPr>
      <w:outlineLvl w:val="1"/>
    </w:pPr>
  </w:style>
  <w:style w:type="paragraph" w:customStyle="1" w:styleId="DefinitionNumbering5">
    <w:name w:val="Definition Numbering 5"/>
    <w:basedOn w:val="HouseStyleBase"/>
    <w:pPr>
      <w:numPr>
        <w:ilvl w:val="4"/>
        <w:numId w:val="6"/>
      </w:numPr>
      <w:outlineLvl w:val="1"/>
    </w:pPr>
  </w:style>
  <w:style w:type="paragraph" w:customStyle="1" w:styleId="DefinitionNumbering6">
    <w:name w:val="Definition Numbering 6"/>
    <w:basedOn w:val="HouseStyleBase"/>
    <w:pPr>
      <w:numPr>
        <w:ilvl w:val="5"/>
        <w:numId w:val="6"/>
      </w:numPr>
      <w:outlineLvl w:val="1"/>
    </w:pPr>
  </w:style>
  <w:style w:type="paragraph" w:customStyle="1" w:styleId="DefinitionNumbering7">
    <w:name w:val="Definition Numbering 7"/>
    <w:basedOn w:val="HouseStyleBase"/>
    <w:pPr>
      <w:numPr>
        <w:ilvl w:val="6"/>
        <w:numId w:val="6"/>
      </w:numPr>
      <w:outlineLvl w:val="1"/>
    </w:pPr>
  </w:style>
  <w:style w:type="paragraph" w:customStyle="1" w:styleId="DefinitionNumbering8">
    <w:name w:val="Definition Numbering 8"/>
    <w:basedOn w:val="HouseStyleBase"/>
    <w:pPr>
      <w:numPr>
        <w:ilvl w:val="7"/>
        <w:numId w:val="10"/>
      </w:numPr>
      <w:outlineLvl w:val="7"/>
    </w:pPr>
  </w:style>
  <w:style w:type="paragraph" w:customStyle="1" w:styleId="DefinitionNumbering9">
    <w:name w:val="Definition Numbering 9"/>
    <w:basedOn w:val="HouseStyleBase"/>
    <w:pPr>
      <w:numPr>
        <w:ilvl w:val="8"/>
        <w:numId w:val="10"/>
      </w:numPr>
      <w:outlineLvl w:val="8"/>
    </w:pPr>
  </w:style>
  <w:style w:type="paragraph" w:customStyle="1" w:styleId="RecitalNumbering3">
    <w:name w:val="Recital Numbering 3"/>
    <w:basedOn w:val="HouseStyleBase"/>
    <w:pPr>
      <w:numPr>
        <w:ilvl w:val="2"/>
        <w:numId w:val="9"/>
      </w:numPr>
      <w:overflowPunct w:val="0"/>
      <w:autoSpaceDE w:val="0"/>
      <w:autoSpaceDN w:val="0"/>
      <w:textAlignment w:val="baseline"/>
    </w:p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Centred"/>
    <w:pPr>
      <w:numPr>
        <w:numId w:val="8"/>
      </w:numPr>
      <w:jc w:val="both"/>
    </w:pPr>
  </w:style>
  <w:style w:type="paragraph" w:styleId="ListBullet3">
    <w:name w:val="List Bullet 3"/>
    <w:basedOn w:val="HouseStyleBaseCentred"/>
    <w:uiPriority w:val="2"/>
    <w:pPr>
      <w:numPr>
        <w:ilvl w:val="2"/>
        <w:numId w:val="8"/>
      </w:numPr>
      <w:jc w:val="both"/>
    </w:pPr>
  </w:style>
  <w:style w:type="paragraph" w:styleId="ListBullet4">
    <w:name w:val="List Bullet 4"/>
    <w:basedOn w:val="HouseStyleBaseCentred"/>
    <w:pPr>
      <w:numPr>
        <w:ilvl w:val="3"/>
        <w:numId w:val="8"/>
      </w:numPr>
      <w:jc w:val="both"/>
    </w:pPr>
  </w:style>
  <w:style w:type="paragraph" w:styleId="ListBullet5">
    <w:name w:val="List Bullet 5"/>
    <w:basedOn w:val="HouseStyleBaseCentred"/>
    <w:pPr>
      <w:numPr>
        <w:ilvl w:val="4"/>
        <w:numId w:val="8"/>
      </w:numPr>
      <w:jc w:val="both"/>
    </w:pPr>
  </w:style>
  <w:style w:type="paragraph" w:customStyle="1" w:styleId="ListBullet6">
    <w:name w:val="List Bullet 6"/>
    <w:basedOn w:val="HouseStyleBaseCentred"/>
    <w:pPr>
      <w:numPr>
        <w:ilvl w:val="5"/>
        <w:numId w:val="8"/>
      </w:numPr>
      <w:jc w:val="both"/>
    </w:pPr>
  </w:style>
  <w:style w:type="paragraph" w:customStyle="1" w:styleId="ListBullet7">
    <w:name w:val="List Bullet 7"/>
    <w:basedOn w:val="HouseStyleBaseCentred"/>
    <w:pPr>
      <w:numPr>
        <w:ilvl w:val="6"/>
        <w:numId w:val="8"/>
      </w:numPr>
      <w:jc w:val="both"/>
    </w:pPr>
  </w:style>
  <w:style w:type="paragraph" w:customStyle="1" w:styleId="ListBullet8">
    <w:name w:val="List Bullet 8"/>
    <w:basedOn w:val="HouseStyleBaseCentred"/>
    <w:pPr>
      <w:numPr>
        <w:ilvl w:val="7"/>
        <w:numId w:val="8"/>
      </w:numPr>
      <w:jc w:val="both"/>
    </w:pPr>
  </w:style>
  <w:style w:type="paragraph" w:customStyle="1" w:styleId="ListBullet9">
    <w:name w:val="List Bullet 9"/>
    <w:basedOn w:val="HouseStyleBaseCentred"/>
    <w:pPr>
      <w:numPr>
        <w:ilvl w:val="8"/>
        <w:numId w:val="8"/>
      </w:numPr>
      <w:jc w:val="both"/>
    </w:pPr>
  </w:style>
  <w:style w:type="paragraph" w:customStyle="1" w:styleId="ScheduleL1">
    <w:name w:val="Schedule L1"/>
    <w:basedOn w:val="HouseStyleBase"/>
    <w:next w:val="ScheduleL2A"/>
    <w:pPr>
      <w:numPr>
        <w:numId w:val="7"/>
      </w:numPr>
      <w:outlineLvl w:val="1"/>
    </w:pPr>
    <w:rPr>
      <w:b/>
      <w:caps/>
    </w:rPr>
  </w:style>
  <w:style w:type="paragraph" w:customStyle="1" w:styleId="ScheduleL2">
    <w:name w:val="Schedule L2"/>
    <w:basedOn w:val="HouseStyleBase"/>
    <w:pPr>
      <w:numPr>
        <w:ilvl w:val="1"/>
        <w:numId w:val="7"/>
      </w:numPr>
      <w:outlineLvl w:val="0"/>
    </w:pPr>
  </w:style>
  <w:style w:type="paragraph" w:customStyle="1" w:styleId="ScheduleL3">
    <w:name w:val="Schedule L3"/>
    <w:basedOn w:val="HouseStyleBase"/>
    <w:pPr>
      <w:numPr>
        <w:ilvl w:val="2"/>
        <w:numId w:val="7"/>
      </w:numPr>
      <w:outlineLvl w:val="2"/>
    </w:pPr>
  </w:style>
  <w:style w:type="paragraph" w:customStyle="1" w:styleId="ScheduleL4">
    <w:name w:val="Schedule L4"/>
    <w:basedOn w:val="HouseStyleBase"/>
    <w:pPr>
      <w:numPr>
        <w:ilvl w:val="3"/>
        <w:numId w:val="7"/>
      </w:numPr>
      <w:outlineLvl w:val="3"/>
    </w:pPr>
  </w:style>
  <w:style w:type="paragraph" w:customStyle="1" w:styleId="ScheduleL5">
    <w:name w:val="Schedule L5"/>
    <w:basedOn w:val="HouseStyleBase"/>
    <w:pPr>
      <w:numPr>
        <w:ilvl w:val="4"/>
        <w:numId w:val="7"/>
      </w:numPr>
      <w:outlineLvl w:val="4"/>
    </w:pPr>
  </w:style>
  <w:style w:type="paragraph" w:customStyle="1" w:styleId="ScheduleL6">
    <w:name w:val="Schedule L6"/>
    <w:basedOn w:val="HouseStyleBase"/>
    <w:pPr>
      <w:numPr>
        <w:ilvl w:val="5"/>
        <w:numId w:val="7"/>
      </w:numPr>
      <w:outlineLvl w:val="5"/>
    </w:pPr>
  </w:style>
  <w:style w:type="paragraph" w:customStyle="1" w:styleId="ScheduleL7">
    <w:name w:val="Schedule L7"/>
    <w:basedOn w:val="HouseStyleBase"/>
    <w:pPr>
      <w:numPr>
        <w:ilvl w:val="6"/>
        <w:numId w:val="7"/>
      </w:numPr>
      <w:outlineLvl w:val="6"/>
    </w:pPr>
  </w:style>
  <w:style w:type="paragraph" w:customStyle="1" w:styleId="ScheduleL8">
    <w:name w:val="Schedule L8"/>
    <w:basedOn w:val="HouseStyleBase"/>
    <w:pPr>
      <w:numPr>
        <w:ilvl w:val="7"/>
        <w:numId w:val="7"/>
      </w:numPr>
      <w:outlineLvl w:val="7"/>
    </w:pPr>
  </w:style>
  <w:style w:type="paragraph" w:customStyle="1" w:styleId="ScheduleL9">
    <w:name w:val="Schedule L9"/>
    <w:basedOn w:val="HouseStyleBase"/>
    <w:pPr>
      <w:numPr>
        <w:ilvl w:val="8"/>
        <w:numId w:val="7"/>
      </w:numPr>
      <w:outlineLvl w:val="8"/>
    </w:pPr>
  </w:style>
  <w:style w:type="paragraph" w:customStyle="1" w:styleId="ScheduleL2A">
    <w:name w:val="Schedule L2A"/>
    <w:basedOn w:val="HouseStyleBaseCentred"/>
    <w:next w:val="ScheduleL2"/>
    <w:link w:val="ScheduleL2AChar"/>
    <w:pPr>
      <w:keepNext/>
      <w:ind w:left="720"/>
      <w:jc w:val="both"/>
      <w:outlineLvl w:val="1"/>
    </w:pPr>
    <w:rPr>
      <w:b/>
    </w:r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ScheduleL2AChar">
    <w:name w:val="Schedule L2A Char"/>
    <w:link w:val="ScheduleL2A"/>
    <w:rPr>
      <w:rFonts w:eastAsia="STZhongsong"/>
      <w:b/>
      <w:sz w:val="22"/>
      <w:lang w:eastAsia="zh-CN"/>
    </w:rPr>
  </w:style>
  <w:style w:type="paragraph" w:customStyle="1" w:styleId="Heading2A">
    <w:name w:val="Heading 2A"/>
    <w:basedOn w:val="HouseStyleBaseCentred"/>
    <w:next w:val="Heading2"/>
    <w:link w:val="Heading2AChar"/>
    <w:pPr>
      <w:keepNext/>
      <w:ind w:left="720"/>
      <w:jc w:val="both"/>
      <w:outlineLvl w:val="1"/>
    </w:pPr>
    <w:rPr>
      <w:b/>
    </w:rPr>
  </w:style>
  <w:style w:type="character" w:customStyle="1" w:styleId="Heading2AChar">
    <w:name w:val="Heading 2A Char"/>
    <w:link w:val="Heading2A"/>
    <w:rPr>
      <w:rFonts w:eastAsia="STZhongsong"/>
      <w:b/>
      <w:sz w:val="22"/>
      <w:lang w:eastAsia="zh-CN"/>
    </w:rPr>
  </w:style>
  <w:style w:type="paragraph" w:customStyle="1" w:styleId="GeneralHeading1">
    <w:name w:val="General Heading 1"/>
    <w:basedOn w:val="HouseStyleBaseCentred"/>
    <w:next w:val="GeneralHeading2"/>
    <w:link w:val="GeneralHeading1Char"/>
    <w:pPr>
      <w:keepNext/>
      <w:jc w:val="both"/>
    </w:pPr>
    <w:rPr>
      <w:b/>
      <w:caps/>
    </w:rPr>
  </w:style>
  <w:style w:type="character" w:customStyle="1" w:styleId="GeneralHeading1Char">
    <w:name w:val="General Heading 1 Char"/>
    <w:link w:val="GeneralHeading1"/>
    <w:rPr>
      <w:rFonts w:eastAsia="STZhongsong"/>
      <w:b/>
      <w:caps/>
      <w:sz w:val="22"/>
      <w:lang w:eastAsia="zh-CN"/>
    </w:rPr>
  </w:style>
  <w:style w:type="paragraph" w:customStyle="1" w:styleId="GeneralHeading2">
    <w:name w:val="General Heading 2"/>
    <w:basedOn w:val="HouseStyleBaseCentred"/>
    <w:next w:val="Generallevel1"/>
    <w:link w:val="GeneralHeading2Char"/>
    <w:pPr>
      <w:keepNext/>
      <w:jc w:val="both"/>
    </w:pPr>
    <w:rPr>
      <w:b/>
    </w:rPr>
  </w:style>
  <w:style w:type="character" w:customStyle="1" w:styleId="GeneralHeading2Char">
    <w:name w:val="General Heading 2 Char"/>
    <w:link w:val="GeneralHeading2"/>
    <w:rPr>
      <w:rFonts w:eastAsia="STZhongsong"/>
      <w:b/>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en-GB"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val="en-GB" w:eastAsia="en-US"/>
    </w:rPr>
  </w:style>
  <w:style w:type="character" w:customStyle="1" w:styleId="BodyTextFirstIndentChar">
    <w:name w:val="Body Text First Indent Char"/>
    <w:basedOn w:val="BodyTextChar"/>
    <w:link w:val="BodyTextFirstIndent"/>
    <w:rPr>
      <w:sz w:val="22"/>
      <w:lang w:val="en-GB" w:eastAsia="en-US"/>
    </w:rPr>
  </w:style>
  <w:style w:type="paragraph" w:styleId="BodyTextFirstIndent2">
    <w:name w:val="Body Text First Indent 2"/>
    <w:basedOn w:val="BodyTextIndent"/>
    <w:link w:val="BodyTextFirstIndent2Char"/>
    <w:p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link w:val="BodyTextIndent"/>
    <w:rPr>
      <w:rFonts w:eastAsia="STZhongsong"/>
      <w:sz w:val="22"/>
      <w:lang w:val="en-GB" w:eastAsia="zh-CN"/>
    </w:rPr>
  </w:style>
  <w:style w:type="character" w:customStyle="1" w:styleId="BodyTextFirstIndent2Char">
    <w:name w:val="Body Text First Indent 2 Char"/>
    <w:link w:val="BodyTextFirstIndent2"/>
    <w:rPr>
      <w:rFonts w:eastAsia="STZhongsong"/>
      <w:sz w:val="22"/>
      <w:lang w:val="en-GB" w:eastAsia="en-US"/>
    </w:rPr>
  </w:style>
  <w:style w:type="paragraph" w:customStyle="1" w:styleId="BodyTextIndent8">
    <w:name w:val="Body Text Indent 8"/>
    <w:basedOn w:val="HouseStyleBase"/>
    <w:link w:val="BodyTextIndent8Char"/>
    <w:pPr>
      <w:ind w:left="5760"/>
    </w:p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pPr>
      <w:ind w:left="6480"/>
    </w:pPr>
  </w:style>
  <w:style w:type="character" w:customStyle="1" w:styleId="BodyTextIndent9Char">
    <w:name w:val="Body Text Indent 9 Char"/>
    <w:basedOn w:val="MarginTextChar"/>
    <w:link w:val="BodyTextIndent9"/>
    <w:rPr>
      <w:rFonts w:eastAsia="STZhongsong"/>
      <w:sz w:val="22"/>
      <w:lang w:eastAsia="zh-CN"/>
    </w:rPr>
  </w:style>
  <w:style w:type="paragraph" w:customStyle="1" w:styleId="Generallevel1">
    <w:name w:val="General level 1"/>
    <w:basedOn w:val="HouseStyleBase"/>
    <w:link w:val="Generallevel1Char"/>
    <w:pPr>
      <w:numPr>
        <w:numId w:val="28"/>
      </w:numPr>
      <w:outlineLvl w:val="0"/>
    </w:pPr>
  </w:style>
  <w:style w:type="character" w:customStyle="1" w:styleId="Generallevel1Char">
    <w:name w:val="General level 1 Char"/>
    <w:basedOn w:val="MarginTextChar"/>
    <w:link w:val="Generallevel1"/>
    <w:rPr>
      <w:rFonts w:eastAsia="STZhongsong"/>
      <w:sz w:val="22"/>
      <w:lang w:eastAsia="zh-CN"/>
    </w:rPr>
  </w:style>
  <w:style w:type="paragraph" w:customStyle="1" w:styleId="Generallevel2">
    <w:name w:val="General level 2"/>
    <w:basedOn w:val="HouseStyleBase"/>
    <w:link w:val="Generallevel2Char"/>
    <w:pPr>
      <w:numPr>
        <w:ilvl w:val="1"/>
        <w:numId w:val="28"/>
      </w:numPr>
      <w:outlineLvl w:val="1"/>
    </w:pPr>
  </w:style>
  <w:style w:type="character" w:customStyle="1" w:styleId="Generallevel2Char">
    <w:name w:val="General level 2 Char"/>
    <w:basedOn w:val="MarginTextChar"/>
    <w:link w:val="Generallevel2"/>
    <w:rPr>
      <w:rFonts w:eastAsia="STZhongsong"/>
      <w:sz w:val="22"/>
      <w:lang w:eastAsia="zh-CN"/>
    </w:rPr>
  </w:style>
  <w:style w:type="paragraph" w:customStyle="1" w:styleId="Generallevel3">
    <w:name w:val="General level 3"/>
    <w:basedOn w:val="HouseStyleBase"/>
    <w:link w:val="Generallevel3Char"/>
    <w:pPr>
      <w:numPr>
        <w:ilvl w:val="2"/>
        <w:numId w:val="28"/>
      </w:numPr>
      <w:outlineLvl w:val="2"/>
    </w:pPr>
  </w:style>
  <w:style w:type="character" w:customStyle="1" w:styleId="Generallevel3Char">
    <w:name w:val="General level 3 Char"/>
    <w:basedOn w:val="MarginTextChar"/>
    <w:link w:val="Generallevel3"/>
    <w:rPr>
      <w:rFonts w:eastAsia="STZhongsong"/>
      <w:sz w:val="22"/>
      <w:lang w:eastAsia="zh-CN"/>
    </w:rPr>
  </w:style>
  <w:style w:type="paragraph" w:customStyle="1" w:styleId="Generallevel4">
    <w:name w:val="General level 4"/>
    <w:basedOn w:val="HouseStyleBase"/>
    <w:link w:val="Generallevel4Char"/>
    <w:pPr>
      <w:numPr>
        <w:ilvl w:val="3"/>
        <w:numId w:val="28"/>
      </w:numPr>
      <w:outlineLvl w:val="3"/>
    </w:pPr>
  </w:style>
  <w:style w:type="character" w:customStyle="1" w:styleId="Generallevel4Char">
    <w:name w:val="General level 4 Char"/>
    <w:basedOn w:val="MarginTextChar"/>
    <w:link w:val="Generallevel4"/>
    <w:rPr>
      <w:rFonts w:eastAsia="STZhongsong"/>
      <w:sz w:val="22"/>
      <w:lang w:eastAsia="zh-CN"/>
    </w:rPr>
  </w:style>
  <w:style w:type="paragraph" w:customStyle="1" w:styleId="Generallevel5">
    <w:name w:val="General level 5"/>
    <w:basedOn w:val="HouseStyleBase"/>
    <w:link w:val="Generallevel5Char"/>
    <w:pPr>
      <w:numPr>
        <w:ilvl w:val="4"/>
        <w:numId w:val="28"/>
      </w:numPr>
      <w:outlineLvl w:val="4"/>
    </w:pPr>
  </w:style>
  <w:style w:type="character" w:customStyle="1" w:styleId="Generallevel5Char">
    <w:name w:val="General level 5 Char"/>
    <w:basedOn w:val="MarginTextChar"/>
    <w:link w:val="Generallevel5"/>
    <w:rPr>
      <w:rFonts w:eastAsia="STZhongsong"/>
      <w:sz w:val="22"/>
      <w:lang w:eastAsia="zh-CN"/>
    </w:rPr>
  </w:style>
  <w:style w:type="paragraph" w:customStyle="1" w:styleId="Generallevel6">
    <w:name w:val="General level 6"/>
    <w:basedOn w:val="HouseStyleBase"/>
    <w:link w:val="Generallevel6Char"/>
    <w:pPr>
      <w:numPr>
        <w:ilvl w:val="5"/>
        <w:numId w:val="28"/>
      </w:numPr>
      <w:outlineLvl w:val="5"/>
    </w:pPr>
  </w:style>
  <w:style w:type="character" w:customStyle="1" w:styleId="Generallevel6Char">
    <w:name w:val="General level 6 Char"/>
    <w:basedOn w:val="MarginTextChar"/>
    <w:link w:val="Generallevel6"/>
    <w:rPr>
      <w:rFonts w:eastAsia="STZhongsong"/>
      <w:sz w:val="22"/>
      <w:lang w:eastAsia="zh-CN"/>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val="en-GB"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val="en-GB"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en-GB"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en-GB"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en-GB"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23"/>
      </w:numPr>
      <w:contextualSpacing/>
    </w:pPr>
  </w:style>
  <w:style w:type="paragraph" w:styleId="ListNumber2">
    <w:name w:val="List Number 2"/>
    <w:basedOn w:val="Normal"/>
    <w:pPr>
      <w:numPr>
        <w:numId w:val="18"/>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6"/>
      </w:numPr>
      <w:contextualSpacing/>
    </w:pPr>
  </w:style>
  <w:style w:type="paragraph" w:styleId="ListNumber5">
    <w:name w:val="List Number 5"/>
    <w:basedOn w:val="Normal"/>
    <w:pPr>
      <w:numPr>
        <w:numId w:val="30"/>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val="en-GB"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en-US"/>
    </w:rPr>
  </w:style>
  <w:style w:type="paragraph" w:styleId="NoSpacing">
    <w:name w:val="No Spacing"/>
    <w:uiPriority w:val="1"/>
    <w:qFormat/>
    <w:pPr>
      <w:overflowPunct w:val="0"/>
      <w:autoSpaceDE w:val="0"/>
      <w:autoSpaceDN w:val="0"/>
      <w:adjustRightInd w:val="0"/>
      <w:jc w:val="both"/>
      <w:textAlignment w:val="baseline"/>
    </w:pPr>
    <w:rPr>
      <w:sz w:val="22"/>
      <w:lang w:val="en-GB"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en-GB"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en-GB"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Cs/>
      <w:caps w:val="0"/>
      <w:kern w:val="32"/>
      <w:sz w:val="32"/>
      <w:szCs w:val="32"/>
      <w:lang w:eastAsia="en-US"/>
    </w:rPr>
  </w:style>
  <w:style w:type="character" w:customStyle="1" w:styleId="HeaderChar">
    <w:name w:val="Header Char"/>
    <w:basedOn w:val="DefaultParagraphFont"/>
    <w:link w:val="Header"/>
    <w:uiPriority w:val="99"/>
    <w:rsid w:val="005F1795"/>
    <w:rPr>
      <w:sz w:val="22"/>
      <w:lang w:val="en-GB" w:eastAsia="en-US"/>
    </w:rPr>
  </w:style>
  <w:style w:type="paragraph" w:customStyle="1" w:styleId="Default">
    <w:name w:val="Default"/>
    <w:rsid w:val="00567942"/>
    <w:pPr>
      <w:autoSpaceDE w:val="0"/>
      <w:autoSpaceDN w:val="0"/>
      <w:adjustRightInd w:val="0"/>
    </w:pPr>
    <w:rPr>
      <w:rFonts w:ascii="Arial" w:hAnsi="Arial" w:cs="Arial"/>
      <w:color w:val="000000"/>
      <w:sz w:val="24"/>
      <w:szCs w:val="24"/>
    </w:rPr>
  </w:style>
  <w:style w:type="character" w:customStyle="1" w:styleId="AERbody">
    <w:name w:val="AER body"/>
    <w:qFormat/>
    <w:rsid w:val="00A6228F"/>
    <w:rPr>
      <w:rFonts w:ascii="Gautami" w:hAnsi="Gautami"/>
      <w:color w:val="auto"/>
      <w:sz w:val="20"/>
    </w:rPr>
  </w:style>
  <w:style w:type="paragraph" w:customStyle="1" w:styleId="AERtabletextleft">
    <w:name w:val="AER table text left"/>
    <w:qFormat/>
    <w:rsid w:val="00A6228F"/>
    <w:pPr>
      <w:spacing w:before="80" w:after="120" w:line="288" w:lineRule="auto"/>
    </w:pPr>
    <w:rPr>
      <w:rFonts w:ascii="Gautami" w:hAnsi="Gautami"/>
      <w:sz w:val="16"/>
      <w:szCs w:val="24"/>
      <w:lang w:eastAsia="en-US"/>
    </w:rPr>
  </w:style>
  <w:style w:type="paragraph" w:customStyle="1" w:styleId="AERbodytext">
    <w:name w:val="AER body text"/>
    <w:link w:val="AERbodytextChar"/>
    <w:qFormat/>
    <w:rsid w:val="00A6228F"/>
    <w:pPr>
      <w:numPr>
        <w:numId w:val="34"/>
      </w:numPr>
      <w:spacing w:after="240" w:line="288" w:lineRule="auto"/>
      <w:jc w:val="both"/>
    </w:pPr>
    <w:rPr>
      <w:rFonts w:ascii="Gautami" w:hAnsi="Gautami"/>
      <w:szCs w:val="24"/>
      <w:lang w:eastAsia="en-US"/>
    </w:rPr>
  </w:style>
  <w:style w:type="paragraph" w:customStyle="1" w:styleId="AERnumberedlistfirststyle">
    <w:name w:val="AER numbered list (first style)"/>
    <w:basedOn w:val="AERbodytext"/>
    <w:qFormat/>
    <w:rsid w:val="00A6228F"/>
    <w:pPr>
      <w:numPr>
        <w:ilvl w:val="1"/>
      </w:numPr>
      <w:tabs>
        <w:tab w:val="clear" w:pos="357"/>
        <w:tab w:val="num" w:pos="360"/>
        <w:tab w:val="num" w:pos="1440"/>
      </w:tabs>
      <w:spacing w:after="200"/>
      <w:ind w:left="1440" w:hanging="720"/>
    </w:pPr>
  </w:style>
  <w:style w:type="paragraph" w:customStyle="1" w:styleId="AERnumberedlistsecondstyle">
    <w:name w:val="AER numbered list (second style)"/>
    <w:basedOn w:val="AERnumberedlistfirststyle"/>
    <w:qFormat/>
    <w:rsid w:val="00A6228F"/>
    <w:pPr>
      <w:numPr>
        <w:ilvl w:val="2"/>
      </w:numPr>
      <w:tabs>
        <w:tab w:val="clear" w:pos="720"/>
        <w:tab w:val="num" w:pos="360"/>
        <w:tab w:val="num" w:pos="2160"/>
      </w:tabs>
      <w:ind w:left="2160" w:hanging="720"/>
    </w:pPr>
  </w:style>
  <w:style w:type="paragraph" w:customStyle="1" w:styleId="AERnumberedlistthirdstyle">
    <w:name w:val="AER numbered list (third style)"/>
    <w:basedOn w:val="AERnumberedlistsecondstyle"/>
    <w:qFormat/>
    <w:rsid w:val="00A6228F"/>
    <w:pPr>
      <w:numPr>
        <w:ilvl w:val="3"/>
      </w:numPr>
      <w:tabs>
        <w:tab w:val="clear" w:pos="1077"/>
        <w:tab w:val="num" w:pos="360"/>
        <w:tab w:val="num" w:pos="2880"/>
      </w:tabs>
      <w:ind w:left="2880" w:hanging="720"/>
    </w:pPr>
  </w:style>
  <w:style w:type="numbering" w:customStyle="1" w:styleId="AERnumberedlist">
    <w:name w:val="AER numbered list"/>
    <w:uiPriority w:val="99"/>
    <w:rsid w:val="00A6228F"/>
    <w:pPr>
      <w:numPr>
        <w:numId w:val="33"/>
      </w:numPr>
    </w:pPr>
  </w:style>
  <w:style w:type="paragraph" w:customStyle="1" w:styleId="AERnumberedlist2first">
    <w:name w:val="AER numbered list 2 first"/>
    <w:basedOn w:val="AERbodytext"/>
    <w:qFormat/>
    <w:rsid w:val="00A6228F"/>
    <w:pPr>
      <w:numPr>
        <w:ilvl w:val="4"/>
      </w:numPr>
      <w:tabs>
        <w:tab w:val="clear" w:pos="357"/>
        <w:tab w:val="num" w:pos="360"/>
        <w:tab w:val="num" w:pos="3600"/>
      </w:tabs>
      <w:ind w:left="3600" w:hanging="720"/>
    </w:pPr>
  </w:style>
  <w:style w:type="paragraph" w:customStyle="1" w:styleId="AERnumberedlist2second">
    <w:name w:val="AER numbered list 2 second"/>
    <w:basedOn w:val="AERnumberedlist2first"/>
    <w:qFormat/>
    <w:rsid w:val="00A6228F"/>
    <w:pPr>
      <w:numPr>
        <w:ilvl w:val="5"/>
      </w:numPr>
      <w:tabs>
        <w:tab w:val="clear" w:pos="720"/>
        <w:tab w:val="num" w:pos="360"/>
        <w:tab w:val="num" w:pos="4320"/>
      </w:tabs>
      <w:ind w:left="4320" w:hanging="720"/>
    </w:pPr>
  </w:style>
  <w:style w:type="paragraph" w:customStyle="1" w:styleId="AERnumberedlist2third">
    <w:name w:val="AER numbered list 2 third"/>
    <w:basedOn w:val="AERnumberedlist2second"/>
    <w:qFormat/>
    <w:rsid w:val="00A6228F"/>
    <w:pPr>
      <w:numPr>
        <w:ilvl w:val="6"/>
      </w:numPr>
      <w:tabs>
        <w:tab w:val="clear" w:pos="1077"/>
        <w:tab w:val="num" w:pos="360"/>
        <w:tab w:val="num" w:pos="5040"/>
      </w:tabs>
      <w:ind w:left="5040" w:hanging="720"/>
    </w:pPr>
  </w:style>
  <w:style w:type="character" w:customStyle="1" w:styleId="AERbodytextChar">
    <w:name w:val="AER body text Char"/>
    <w:link w:val="AERbodytext"/>
    <w:rsid w:val="00A6228F"/>
    <w:rPr>
      <w:rFonts w:ascii="Gautami" w:hAnsi="Gautami"/>
      <w:szCs w:val="24"/>
      <w:lang w:eastAsia="en-US"/>
    </w:rPr>
  </w:style>
  <w:style w:type="paragraph" w:customStyle="1" w:styleId="TableText">
    <w:name w:val="Table Text"/>
    <w:basedOn w:val="TableHeading"/>
    <w:qFormat/>
    <w:rsid w:val="00887A27"/>
    <w:rPr>
      <w:color w:val="333333"/>
      <w:sz w:val="18"/>
    </w:rPr>
  </w:style>
  <w:style w:type="paragraph" w:customStyle="1" w:styleId="TableHeading">
    <w:name w:val="Table Heading"/>
    <w:basedOn w:val="Normal"/>
    <w:qFormat/>
    <w:rsid w:val="00887A27"/>
    <w:pPr>
      <w:overflowPunct/>
      <w:autoSpaceDE/>
      <w:autoSpaceDN/>
      <w:snapToGrid w:val="0"/>
      <w:spacing w:before="50" w:after="50" w:line="240" w:lineRule="atLeast"/>
      <w:jc w:val="left"/>
      <w:textAlignment w:val="auto"/>
    </w:pPr>
    <w:rPr>
      <w:rFonts w:asciiTheme="minorHAnsi" w:eastAsia="SimSun" w:hAnsiTheme="minorHAnsi" w:cstheme="minorHAnsi"/>
      <w:color w:val="FFFFFF"/>
      <w:kern w:val="20"/>
      <w:sz w:val="21"/>
      <w:szCs w:val="24"/>
      <w:lang w:val="en-AU" w:eastAsia="zh-CN"/>
    </w:rPr>
  </w:style>
  <w:style w:type="paragraph" w:customStyle="1" w:styleId="para0bullet">
    <w:name w:val="para0bullet"/>
    <w:basedOn w:val="Normal"/>
    <w:rsid w:val="00F877FA"/>
    <w:pPr>
      <w:numPr>
        <w:numId w:val="36"/>
      </w:numPr>
      <w:overflowPunct/>
      <w:autoSpaceDE/>
      <w:autoSpaceDN/>
      <w:adjustRightInd/>
      <w:spacing w:after="60" w:line="240" w:lineRule="auto"/>
      <w:jc w:val="left"/>
      <w:textAlignment w:val="auto"/>
    </w:pPr>
    <w:rPr>
      <w:color w:val="000000"/>
      <w:szCs w:val="22"/>
      <w:lang w:val="en-AU" w:eastAsia="en-AU"/>
    </w:rPr>
  </w:style>
  <w:style w:type="paragraph" w:customStyle="1" w:styleId="TableCaption">
    <w:name w:val="Table Caption"/>
    <w:basedOn w:val="Normal"/>
    <w:next w:val="Normal"/>
    <w:rsid w:val="00515615"/>
    <w:pPr>
      <w:keepNext/>
      <w:overflowPunct/>
      <w:autoSpaceDE/>
      <w:autoSpaceDN/>
      <w:adjustRightInd/>
      <w:spacing w:before="240" w:after="113" w:line="240" w:lineRule="atLeast"/>
      <w:ind w:left="1134" w:hanging="1134"/>
      <w:contextualSpacing/>
      <w:jc w:val="left"/>
      <w:textAlignment w:val="auto"/>
    </w:pPr>
    <w:rPr>
      <w:rFonts w:asciiTheme="minorHAnsi" w:hAnsiTheme="minorHAnsi"/>
      <w:b/>
      <w:bCs/>
      <w:color w:val="666666"/>
      <w:spacing w:val="-3"/>
      <w:sz w:val="18"/>
      <w:szCs w:val="16"/>
      <w:lang w:val="en-AU" w:eastAsia="en-AU"/>
    </w:rPr>
  </w:style>
  <w:style w:type="paragraph" w:customStyle="1" w:styleId="Source">
    <w:name w:val="Source"/>
    <w:next w:val="Normal"/>
    <w:link w:val="SourceChar"/>
    <w:qFormat/>
    <w:rsid w:val="0071740C"/>
    <w:pPr>
      <w:numPr>
        <w:numId w:val="37"/>
      </w:numPr>
      <w:spacing w:before="43" w:after="110" w:line="200" w:lineRule="atLeast"/>
      <w:contextualSpacing/>
    </w:pPr>
    <w:rPr>
      <w:rFonts w:asciiTheme="minorHAnsi" w:hAnsiTheme="minorHAnsi" w:cstheme="minorHAnsi"/>
      <w:color w:val="1F497D" w:themeColor="text2"/>
      <w:spacing w:val="-3"/>
      <w:sz w:val="16"/>
      <w:szCs w:val="14"/>
    </w:rPr>
  </w:style>
  <w:style w:type="character" w:customStyle="1" w:styleId="SourceChar">
    <w:name w:val="Source Char"/>
    <w:basedOn w:val="DefaultParagraphFont"/>
    <w:link w:val="Source"/>
    <w:rsid w:val="0071740C"/>
    <w:rPr>
      <w:rFonts w:asciiTheme="minorHAnsi" w:hAnsiTheme="minorHAnsi" w:cstheme="minorHAnsi"/>
      <w:color w:val="1F497D" w:themeColor="text2"/>
      <w:spacing w:val="-3"/>
      <w:sz w:val="16"/>
      <w:szCs w:val="14"/>
    </w:rPr>
  </w:style>
  <w:style w:type="paragraph" w:customStyle="1" w:styleId="CoverHeading">
    <w:name w:val="Cover Heading"/>
    <w:basedOn w:val="Normal"/>
    <w:next w:val="Normal"/>
    <w:uiPriority w:val="11"/>
    <w:rsid w:val="007B28A3"/>
    <w:pPr>
      <w:overflowPunct/>
      <w:autoSpaceDE/>
      <w:autoSpaceDN/>
      <w:adjustRightInd/>
      <w:spacing w:after="0" w:line="240" w:lineRule="auto"/>
      <w:ind w:right="454"/>
      <w:jc w:val="right"/>
      <w:textAlignment w:val="auto"/>
    </w:pPr>
    <w:rPr>
      <w:rFonts w:asciiTheme="majorHAnsi" w:hAnsiTheme="majorHAnsi" w:cstheme="majorHAnsi"/>
      <w:b/>
      <w:bCs/>
      <w:color w:val="333333"/>
      <w:sz w:val="54"/>
      <w:szCs w:val="38"/>
      <w:lang w:val="en-AU"/>
    </w:rPr>
  </w:style>
  <w:style w:type="character" w:customStyle="1" w:styleId="Highlighttext">
    <w:name w:val="Highlight text"/>
    <w:basedOn w:val="DefaultParagraphFont"/>
    <w:uiPriority w:val="1"/>
    <w:qFormat/>
    <w:rsid w:val="007B28A3"/>
    <w:rPr>
      <w:b w:val="0"/>
      <w:bdr w:val="none" w:sz="0" w:space="0" w:color="auto"/>
      <w:shd w:val="clear" w:color="auto" w:fill="B2A1C7" w:themeFill="accent4" w:themeFill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734134">
      <w:bodyDiv w:val="1"/>
      <w:marLeft w:val="0"/>
      <w:marRight w:val="0"/>
      <w:marTop w:val="0"/>
      <w:marBottom w:val="0"/>
      <w:divBdr>
        <w:top w:val="none" w:sz="0" w:space="0" w:color="auto"/>
        <w:left w:val="none" w:sz="0" w:space="0" w:color="auto"/>
        <w:bottom w:val="none" w:sz="0" w:space="0" w:color="auto"/>
        <w:right w:val="none" w:sz="0" w:space="0" w:color="auto"/>
      </w:divBdr>
      <w:divsChild>
        <w:div w:id="397821841">
          <w:marLeft w:val="446"/>
          <w:marRight w:val="0"/>
          <w:marTop w:val="0"/>
          <w:marBottom w:val="0"/>
          <w:divBdr>
            <w:top w:val="none" w:sz="0" w:space="0" w:color="auto"/>
            <w:left w:val="none" w:sz="0" w:space="0" w:color="auto"/>
            <w:bottom w:val="none" w:sz="0" w:space="0" w:color="auto"/>
            <w:right w:val="none" w:sz="0" w:space="0" w:color="auto"/>
          </w:divBdr>
        </w:div>
        <w:div w:id="1215041424">
          <w:marLeft w:val="446"/>
          <w:marRight w:val="0"/>
          <w:marTop w:val="0"/>
          <w:marBottom w:val="0"/>
          <w:divBdr>
            <w:top w:val="none" w:sz="0" w:space="0" w:color="auto"/>
            <w:left w:val="none" w:sz="0" w:space="0" w:color="auto"/>
            <w:bottom w:val="none" w:sz="0" w:space="0" w:color="auto"/>
            <w:right w:val="none" w:sz="0" w:space="0" w:color="auto"/>
          </w:divBdr>
        </w:div>
        <w:div w:id="474220953">
          <w:marLeft w:val="446"/>
          <w:marRight w:val="0"/>
          <w:marTop w:val="0"/>
          <w:marBottom w:val="0"/>
          <w:divBdr>
            <w:top w:val="none" w:sz="0" w:space="0" w:color="auto"/>
            <w:left w:val="none" w:sz="0" w:space="0" w:color="auto"/>
            <w:bottom w:val="none" w:sz="0" w:space="0" w:color="auto"/>
            <w:right w:val="none" w:sz="0" w:space="0" w:color="auto"/>
          </w:divBdr>
        </w:div>
        <w:div w:id="910040957">
          <w:marLeft w:val="446"/>
          <w:marRight w:val="0"/>
          <w:marTop w:val="0"/>
          <w:marBottom w:val="0"/>
          <w:divBdr>
            <w:top w:val="none" w:sz="0" w:space="0" w:color="auto"/>
            <w:left w:val="none" w:sz="0" w:space="0" w:color="auto"/>
            <w:bottom w:val="none" w:sz="0" w:space="0" w:color="auto"/>
            <w:right w:val="none" w:sz="0" w:space="0" w:color="auto"/>
          </w:divBdr>
        </w:div>
        <w:div w:id="1480732156">
          <w:marLeft w:val="446"/>
          <w:marRight w:val="0"/>
          <w:marTop w:val="0"/>
          <w:marBottom w:val="0"/>
          <w:divBdr>
            <w:top w:val="none" w:sz="0" w:space="0" w:color="auto"/>
            <w:left w:val="none" w:sz="0" w:space="0" w:color="auto"/>
            <w:bottom w:val="none" w:sz="0" w:space="0" w:color="auto"/>
            <w:right w:val="none" w:sz="0" w:space="0" w:color="auto"/>
          </w:divBdr>
        </w:div>
        <w:div w:id="420219996">
          <w:marLeft w:val="446"/>
          <w:marRight w:val="0"/>
          <w:marTop w:val="0"/>
          <w:marBottom w:val="0"/>
          <w:divBdr>
            <w:top w:val="none" w:sz="0" w:space="0" w:color="auto"/>
            <w:left w:val="none" w:sz="0" w:space="0" w:color="auto"/>
            <w:bottom w:val="none" w:sz="0" w:space="0" w:color="auto"/>
            <w:right w:val="none" w:sz="0" w:space="0" w:color="auto"/>
          </w:divBdr>
        </w:div>
        <w:div w:id="1383678648">
          <w:marLeft w:val="446"/>
          <w:marRight w:val="0"/>
          <w:marTop w:val="0"/>
          <w:marBottom w:val="0"/>
          <w:divBdr>
            <w:top w:val="none" w:sz="0" w:space="0" w:color="auto"/>
            <w:left w:val="none" w:sz="0" w:space="0" w:color="auto"/>
            <w:bottom w:val="none" w:sz="0" w:space="0" w:color="auto"/>
            <w:right w:val="none" w:sz="0" w:space="0" w:color="auto"/>
          </w:divBdr>
        </w:div>
        <w:div w:id="1736850145">
          <w:marLeft w:val="446"/>
          <w:marRight w:val="0"/>
          <w:marTop w:val="0"/>
          <w:marBottom w:val="0"/>
          <w:divBdr>
            <w:top w:val="none" w:sz="0" w:space="0" w:color="auto"/>
            <w:left w:val="none" w:sz="0" w:space="0" w:color="auto"/>
            <w:bottom w:val="none" w:sz="0" w:space="0" w:color="auto"/>
            <w:right w:val="none" w:sz="0" w:space="0" w:color="auto"/>
          </w:divBdr>
        </w:div>
        <w:div w:id="1992362304">
          <w:marLeft w:val="446"/>
          <w:marRight w:val="0"/>
          <w:marTop w:val="0"/>
          <w:marBottom w:val="0"/>
          <w:divBdr>
            <w:top w:val="none" w:sz="0" w:space="0" w:color="auto"/>
            <w:left w:val="none" w:sz="0" w:space="0" w:color="auto"/>
            <w:bottom w:val="none" w:sz="0" w:space="0" w:color="auto"/>
            <w:right w:val="none" w:sz="0" w:space="0" w:color="auto"/>
          </w:divBdr>
        </w:div>
        <w:div w:id="309022024">
          <w:marLeft w:val="446"/>
          <w:marRight w:val="0"/>
          <w:marTop w:val="0"/>
          <w:marBottom w:val="0"/>
          <w:divBdr>
            <w:top w:val="none" w:sz="0" w:space="0" w:color="auto"/>
            <w:left w:val="none" w:sz="0" w:space="0" w:color="auto"/>
            <w:bottom w:val="none" w:sz="0" w:space="0" w:color="auto"/>
            <w:right w:val="none" w:sz="0" w:space="0" w:color="auto"/>
          </w:divBdr>
        </w:div>
      </w:divsChild>
    </w:div>
    <w:div w:id="1651248055">
      <w:bodyDiv w:val="1"/>
      <w:marLeft w:val="0"/>
      <w:marRight w:val="0"/>
      <w:marTop w:val="0"/>
      <w:marBottom w:val="0"/>
      <w:divBdr>
        <w:top w:val="none" w:sz="0" w:space="0" w:color="auto"/>
        <w:left w:val="none" w:sz="0" w:space="0" w:color="auto"/>
        <w:bottom w:val="none" w:sz="0" w:space="0" w:color="auto"/>
        <w:right w:val="none" w:sz="0" w:space="0" w:color="auto"/>
      </w:divBdr>
    </w:div>
    <w:div w:id="208437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eur.gibbons\AppData\Roaming\plato\data\main\template-files\international-blank-a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A448707F24254388AB379A4EE9C7CB" ma:contentTypeVersion="0" ma:contentTypeDescription="Create a new document." ma:contentTypeScope="" ma:versionID="bd9080542d17dfcef12dd1d72a4894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DE450-F40F-474B-948D-5D2146CF5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5947C3-3F1D-4298-A6E8-997A4DBF3E4A}">
  <ds:schemaRefs>
    <ds:schemaRef ds:uri="http://schemas.microsoft.com/sharepoint/v3/contenttype/forms"/>
  </ds:schemaRefs>
</ds:datastoreItem>
</file>

<file path=customXml/itemProps3.xml><?xml version="1.0" encoding="utf-8"?>
<ds:datastoreItem xmlns:ds="http://schemas.openxmlformats.org/officeDocument/2006/customXml" ds:itemID="{68C8E261-640C-4B54-A290-E7A8A787811F}">
  <ds:schemaRef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international-blank-au.dot</Template>
  <TotalTime>0</TotalTime>
  <Pages>14</Pages>
  <Words>3175</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CitiPower Revised Regulatory Proposal Confidentiality Claim</vt:lpstr>
    </vt:vector>
  </TitlesOfParts>
  <LinksUpToDate>false</LinksUpToDate>
  <CharactersWithSpaces>21237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CitiPower Revised Regulatory Proposal Confidentiality Claim</dc:title>
  <dc:creator/>
  <cp:lastModifiedBy/>
  <cp:revision>1</cp:revision>
  <dcterms:created xsi:type="dcterms:W3CDTF">2016-01-06T04:46:00Z</dcterms:created>
  <dcterms:modified xsi:type="dcterms:W3CDTF">2016-01-06T04:46:00Z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international-blank-single</vt:lpwstr>
  </property>
  <property fmtid="{D5CDD505-2E9C-101B-9397-08002B2CF9AE}" pid="3" name="Plato Template Version">
    <vt:lpwstr>0.0</vt:lpwstr>
  </property>
  <property fmtid="{D5CDD505-2E9C-101B-9397-08002B2CF9AE}" pid="4" name="Plato Language">
    <vt:lpwstr>en_AU</vt:lpwstr>
  </property>
  <property fmtid="{D5CDD505-2E9C-101B-9397-08002B2CF9AE}" pid="5" name="Plato Office">
    <vt:lpwstr>MELBRN</vt:lpwstr>
  </property>
  <property fmtid="{D5CDD505-2E9C-101B-9397-08002B2CF9AE}" pid="6" name="Plato Jurisdiction">
    <vt:lpwstr>AUS</vt:lpwstr>
  </property>
  <property fmtid="{D5CDD505-2E9C-101B-9397-08002B2CF9AE}" pid="7" name="ContentTypeId">
    <vt:lpwstr>0x0101006FA448707F24254388AB379A4EE9C7CB</vt:lpwstr>
  </property>
</Properties>
</file>